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1A00" w14:textId="461E617E" w:rsidR="00D91DEF" w:rsidRPr="00300698" w:rsidRDefault="00D91DEF" w:rsidP="0034519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B0B0B"/>
          <w:sz w:val="22"/>
          <w:szCs w:val="22"/>
        </w:rPr>
      </w:pPr>
      <w:r w:rsidRPr="00300698">
        <w:rPr>
          <w:rFonts w:ascii="Arial" w:hAnsi="Arial" w:cs="Arial"/>
          <w:b/>
          <w:color w:val="0B0B0B"/>
          <w:sz w:val="22"/>
          <w:szCs w:val="22"/>
        </w:rPr>
        <w:t>Changes to student nurse financing in the UK: A good or a bad thing?</w:t>
      </w:r>
    </w:p>
    <w:p w14:paraId="1276C7B5" w14:textId="2259809A" w:rsidR="001C6B68" w:rsidRPr="00300698" w:rsidRDefault="002B68CB" w:rsidP="003451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  <w:r w:rsidRPr="00300698">
        <w:rPr>
          <w:rFonts w:ascii="Arial" w:hAnsi="Arial" w:cs="Arial"/>
          <w:color w:val="0B0B0B"/>
          <w:sz w:val="22"/>
          <w:szCs w:val="22"/>
        </w:rPr>
        <w:t>As I write this editorial rumours abou</w:t>
      </w:r>
      <w:r w:rsidR="00C327B6" w:rsidRPr="00300698">
        <w:rPr>
          <w:rFonts w:ascii="Arial" w:hAnsi="Arial" w:cs="Arial"/>
          <w:color w:val="0B0B0B"/>
          <w:sz w:val="22"/>
          <w:szCs w:val="22"/>
        </w:rPr>
        <w:t>n</w:t>
      </w:r>
      <w:r w:rsidRPr="00300698">
        <w:rPr>
          <w:rFonts w:ascii="Arial" w:hAnsi="Arial" w:cs="Arial"/>
          <w:color w:val="0B0B0B"/>
          <w:sz w:val="22"/>
          <w:szCs w:val="22"/>
        </w:rPr>
        <w:t xml:space="preserve">d about </w:t>
      </w:r>
      <w:r w:rsidR="0054567F" w:rsidRPr="00300698">
        <w:rPr>
          <w:rFonts w:ascii="Arial" w:hAnsi="Arial" w:cs="Arial"/>
          <w:color w:val="0B0B0B"/>
          <w:sz w:val="22"/>
          <w:szCs w:val="22"/>
        </w:rPr>
        <w:t>the future of funding for pre-registration nurse</w:t>
      </w:r>
      <w:r w:rsidR="002F43F1">
        <w:rPr>
          <w:rFonts w:ascii="Arial" w:hAnsi="Arial" w:cs="Arial"/>
          <w:color w:val="0B0B0B"/>
          <w:sz w:val="22"/>
          <w:szCs w:val="22"/>
        </w:rPr>
        <w:t xml:space="preserve"> and </w:t>
      </w:r>
      <w:r w:rsidR="00AD5EF7">
        <w:rPr>
          <w:rFonts w:ascii="Arial" w:hAnsi="Arial" w:cs="Arial"/>
          <w:color w:val="0B0B0B"/>
          <w:sz w:val="22"/>
          <w:szCs w:val="22"/>
        </w:rPr>
        <w:t>midwifery</w:t>
      </w:r>
      <w:r w:rsidR="0054567F" w:rsidRPr="00300698">
        <w:rPr>
          <w:rFonts w:ascii="Arial" w:hAnsi="Arial" w:cs="Arial"/>
          <w:color w:val="0B0B0B"/>
          <w:sz w:val="22"/>
          <w:szCs w:val="22"/>
        </w:rPr>
        <w:t xml:space="preserve"> education</w:t>
      </w:r>
      <w:r w:rsidRPr="00300698">
        <w:rPr>
          <w:rFonts w:ascii="Arial" w:hAnsi="Arial" w:cs="Arial"/>
          <w:color w:val="0B0B0B"/>
          <w:sz w:val="22"/>
          <w:szCs w:val="22"/>
        </w:rPr>
        <w:t xml:space="preserve"> </w:t>
      </w:r>
      <w:r w:rsidR="007B226F">
        <w:rPr>
          <w:rFonts w:ascii="Arial" w:hAnsi="Arial" w:cs="Arial"/>
          <w:color w:val="0B0B0B"/>
          <w:sz w:val="22"/>
          <w:szCs w:val="22"/>
        </w:rPr>
        <w:t>following</w:t>
      </w:r>
      <w:r w:rsidRPr="00300698">
        <w:rPr>
          <w:rFonts w:ascii="Arial" w:hAnsi="Arial" w:cs="Arial"/>
          <w:color w:val="0B0B0B"/>
          <w:sz w:val="22"/>
          <w:szCs w:val="22"/>
        </w:rPr>
        <w:t xml:space="preserve"> the Comprehensive </w:t>
      </w:r>
      <w:r w:rsidR="00C010E4">
        <w:rPr>
          <w:rFonts w:ascii="Arial" w:hAnsi="Arial" w:cs="Arial"/>
          <w:color w:val="0B0B0B"/>
          <w:sz w:val="22"/>
          <w:szCs w:val="22"/>
        </w:rPr>
        <w:t>Spending</w:t>
      </w:r>
      <w:r w:rsidR="00C010E4" w:rsidRPr="00300698">
        <w:rPr>
          <w:rFonts w:ascii="Arial" w:hAnsi="Arial" w:cs="Arial"/>
          <w:color w:val="0B0B0B"/>
          <w:sz w:val="22"/>
          <w:szCs w:val="22"/>
        </w:rPr>
        <w:t xml:space="preserve"> </w:t>
      </w:r>
      <w:r w:rsidRPr="00300698">
        <w:rPr>
          <w:rFonts w:ascii="Arial" w:hAnsi="Arial" w:cs="Arial"/>
          <w:color w:val="0B0B0B"/>
          <w:sz w:val="22"/>
          <w:szCs w:val="22"/>
        </w:rPr>
        <w:t xml:space="preserve">Review on </w:t>
      </w:r>
      <w:r w:rsidR="008665AC" w:rsidRPr="00300698">
        <w:rPr>
          <w:rFonts w:ascii="Arial" w:hAnsi="Arial" w:cs="Arial"/>
          <w:color w:val="0B0B0B"/>
          <w:sz w:val="22"/>
          <w:szCs w:val="22"/>
        </w:rPr>
        <w:t>25</w:t>
      </w:r>
      <w:r w:rsidR="008665AC" w:rsidRPr="00300698">
        <w:rPr>
          <w:rFonts w:ascii="Arial" w:hAnsi="Arial" w:cs="Arial"/>
          <w:color w:val="0B0B0B"/>
          <w:sz w:val="22"/>
          <w:szCs w:val="22"/>
          <w:vertAlign w:val="superscript"/>
        </w:rPr>
        <w:t>th</w:t>
      </w:r>
      <w:r w:rsidR="008665AC" w:rsidRPr="00300698">
        <w:rPr>
          <w:rFonts w:ascii="Arial" w:hAnsi="Arial" w:cs="Arial"/>
          <w:color w:val="0B0B0B"/>
          <w:sz w:val="22"/>
          <w:szCs w:val="22"/>
        </w:rPr>
        <w:t xml:space="preserve"> </w:t>
      </w:r>
      <w:r w:rsidRPr="00300698">
        <w:rPr>
          <w:rFonts w:ascii="Arial" w:hAnsi="Arial" w:cs="Arial"/>
          <w:color w:val="0B0B0B"/>
          <w:sz w:val="22"/>
          <w:szCs w:val="22"/>
        </w:rPr>
        <w:t>November.</w:t>
      </w:r>
      <w:r w:rsidR="00C327B6" w:rsidRPr="00300698">
        <w:rPr>
          <w:rFonts w:ascii="Arial" w:hAnsi="Arial" w:cs="Arial"/>
          <w:color w:val="0B0B0B"/>
          <w:sz w:val="22"/>
          <w:szCs w:val="22"/>
        </w:rPr>
        <w:t xml:space="preserve"> </w:t>
      </w:r>
      <w:r w:rsidR="00562952" w:rsidRPr="00300698">
        <w:rPr>
          <w:rFonts w:ascii="Arial" w:hAnsi="Arial" w:cs="Arial"/>
          <w:color w:val="0B0B0B"/>
          <w:sz w:val="22"/>
          <w:szCs w:val="22"/>
        </w:rPr>
        <w:t xml:space="preserve">Each year </w:t>
      </w:r>
      <w:r w:rsidR="004C1166" w:rsidRPr="00300698">
        <w:rPr>
          <w:rFonts w:ascii="Arial" w:hAnsi="Arial" w:cs="Arial"/>
          <w:color w:val="0B0B0B"/>
          <w:sz w:val="22"/>
          <w:szCs w:val="22"/>
        </w:rPr>
        <w:t xml:space="preserve">around </w:t>
      </w:r>
      <w:r w:rsidR="00562952" w:rsidRPr="00300698">
        <w:rPr>
          <w:rFonts w:ascii="Arial" w:hAnsi="Arial" w:cs="Arial"/>
          <w:color w:val="0B0B0B"/>
          <w:sz w:val="22"/>
          <w:szCs w:val="22"/>
        </w:rPr>
        <w:t xml:space="preserve">£5bn is spent funding </w:t>
      </w:r>
      <w:r w:rsidR="00B8006D">
        <w:rPr>
          <w:rFonts w:ascii="Arial" w:hAnsi="Arial" w:cs="Arial"/>
          <w:color w:val="0B0B0B"/>
          <w:sz w:val="22"/>
          <w:szCs w:val="22"/>
        </w:rPr>
        <w:t>health care</w:t>
      </w:r>
      <w:r w:rsidR="00562952" w:rsidRPr="00300698">
        <w:rPr>
          <w:rFonts w:ascii="Arial" w:hAnsi="Arial" w:cs="Arial"/>
          <w:color w:val="0B0B0B"/>
          <w:sz w:val="22"/>
          <w:szCs w:val="22"/>
        </w:rPr>
        <w:t xml:space="preserve"> education</w:t>
      </w:r>
      <w:r w:rsidR="004C1166" w:rsidRPr="00300698">
        <w:rPr>
          <w:rFonts w:ascii="Arial" w:hAnsi="Arial" w:cs="Arial"/>
          <w:color w:val="0B0B0B"/>
          <w:sz w:val="22"/>
          <w:szCs w:val="22"/>
        </w:rPr>
        <w:t xml:space="preserve"> </w:t>
      </w:r>
      <w:r w:rsidR="00B8006D">
        <w:rPr>
          <w:rFonts w:ascii="Arial" w:hAnsi="Arial" w:cs="Arial"/>
          <w:color w:val="0B0B0B"/>
          <w:sz w:val="22"/>
          <w:szCs w:val="22"/>
        </w:rPr>
        <w:t>by Health Education England</w:t>
      </w:r>
      <w:r w:rsidR="00EC426D">
        <w:rPr>
          <w:rFonts w:ascii="Arial" w:hAnsi="Arial" w:cs="Arial"/>
          <w:color w:val="0B0B0B"/>
          <w:sz w:val="22"/>
          <w:szCs w:val="22"/>
        </w:rPr>
        <w:t xml:space="preserve"> (HEE)</w:t>
      </w:r>
      <w:r w:rsidR="00C010E4">
        <w:rPr>
          <w:rFonts w:ascii="Arial" w:hAnsi="Arial" w:cs="Arial"/>
          <w:color w:val="0B0B0B"/>
          <w:sz w:val="22"/>
          <w:szCs w:val="22"/>
        </w:rPr>
        <w:t>, about £1bn of that is spent funding pre-registration non-medical education</w:t>
      </w:r>
      <w:r w:rsidR="00562952" w:rsidRPr="00300698">
        <w:rPr>
          <w:rFonts w:ascii="Arial" w:hAnsi="Arial" w:cs="Arial"/>
          <w:color w:val="0B0B0B"/>
          <w:sz w:val="22"/>
          <w:szCs w:val="22"/>
        </w:rPr>
        <w:t>. In a time of austerity and as t</w:t>
      </w:r>
      <w:r w:rsidR="002F43F1">
        <w:rPr>
          <w:rFonts w:ascii="Arial" w:hAnsi="Arial" w:cs="Arial"/>
          <w:color w:val="0B0B0B"/>
          <w:sz w:val="22"/>
          <w:szCs w:val="22"/>
        </w:rPr>
        <w:t>he Government tries to cut the C</w:t>
      </w:r>
      <w:r w:rsidR="00562952" w:rsidRPr="00300698">
        <w:rPr>
          <w:rFonts w:ascii="Arial" w:hAnsi="Arial" w:cs="Arial"/>
          <w:color w:val="0B0B0B"/>
          <w:sz w:val="22"/>
          <w:szCs w:val="22"/>
        </w:rPr>
        <w:t xml:space="preserve">ountry’s </w:t>
      </w:r>
      <w:r w:rsidR="002F43F1">
        <w:rPr>
          <w:rFonts w:ascii="Arial" w:hAnsi="Arial" w:cs="Arial"/>
          <w:color w:val="0B0B0B"/>
          <w:sz w:val="22"/>
          <w:szCs w:val="22"/>
        </w:rPr>
        <w:t xml:space="preserve">budget </w:t>
      </w:r>
      <w:r w:rsidR="00562952" w:rsidRPr="00300698">
        <w:rPr>
          <w:rFonts w:ascii="Arial" w:hAnsi="Arial" w:cs="Arial"/>
          <w:color w:val="0B0B0B"/>
          <w:sz w:val="22"/>
          <w:szCs w:val="22"/>
        </w:rPr>
        <w:t xml:space="preserve">deficit this is potentially an easy target. </w:t>
      </w:r>
    </w:p>
    <w:p w14:paraId="50B51EFE" w14:textId="77777777" w:rsidR="00562952" w:rsidRPr="00300698" w:rsidRDefault="00562952" w:rsidP="003451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</w:p>
    <w:p w14:paraId="57737D43" w14:textId="6F78EE63" w:rsidR="00562952" w:rsidRPr="00300698" w:rsidRDefault="00562952" w:rsidP="003451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  <w:r w:rsidRPr="00300698">
        <w:rPr>
          <w:rFonts w:ascii="Arial" w:hAnsi="Arial" w:cs="Arial"/>
          <w:color w:val="0B0B0B"/>
          <w:sz w:val="22"/>
          <w:szCs w:val="22"/>
        </w:rPr>
        <w:t>Currently pre-registration nursing students in England have their tuition fees paid</w:t>
      </w:r>
      <w:r w:rsidR="004C1166" w:rsidRPr="00300698">
        <w:rPr>
          <w:rFonts w:ascii="Arial" w:hAnsi="Arial" w:cs="Arial"/>
          <w:color w:val="0B0B0B"/>
          <w:sz w:val="22"/>
          <w:szCs w:val="22"/>
        </w:rPr>
        <w:t xml:space="preserve"> by the Department of Health</w:t>
      </w:r>
      <w:r w:rsidRPr="00300698">
        <w:rPr>
          <w:rFonts w:ascii="Arial" w:hAnsi="Arial" w:cs="Arial"/>
          <w:color w:val="0B0B0B"/>
          <w:sz w:val="22"/>
          <w:szCs w:val="22"/>
        </w:rPr>
        <w:t>. Universities are paid the benchmark price of £</w:t>
      </w:r>
      <w:r w:rsidR="000B440A">
        <w:rPr>
          <w:rFonts w:ascii="Arial" w:hAnsi="Arial" w:cs="Arial"/>
          <w:color w:val="0B0B0B"/>
          <w:sz w:val="22"/>
          <w:szCs w:val="22"/>
        </w:rPr>
        <w:t>8</w:t>
      </w:r>
      <w:r w:rsidR="00F46B0D">
        <w:rPr>
          <w:rFonts w:ascii="Arial" w:hAnsi="Arial" w:cs="Arial"/>
          <w:color w:val="0B0B0B"/>
          <w:sz w:val="22"/>
          <w:szCs w:val="22"/>
        </w:rPr>
        <w:t>,</w:t>
      </w:r>
      <w:r w:rsidR="000B440A">
        <w:rPr>
          <w:rFonts w:ascii="Arial" w:hAnsi="Arial" w:cs="Arial"/>
          <w:color w:val="0B0B0B"/>
          <w:sz w:val="22"/>
          <w:szCs w:val="22"/>
        </w:rPr>
        <w:t xml:space="preserve">315 (outside London). This is </w:t>
      </w:r>
      <w:r w:rsidR="00027D4F" w:rsidRPr="00300698">
        <w:rPr>
          <w:rFonts w:ascii="Arial" w:hAnsi="Arial" w:cs="Arial"/>
          <w:color w:val="0B0B0B"/>
          <w:sz w:val="22"/>
          <w:szCs w:val="22"/>
        </w:rPr>
        <w:t xml:space="preserve">significantly </w:t>
      </w:r>
      <w:r w:rsidRPr="00300698">
        <w:rPr>
          <w:rFonts w:ascii="Arial" w:hAnsi="Arial" w:cs="Arial"/>
          <w:color w:val="0B0B0B"/>
          <w:sz w:val="22"/>
          <w:szCs w:val="22"/>
        </w:rPr>
        <w:t>less than the £9</w:t>
      </w:r>
      <w:r w:rsidR="00F46B0D">
        <w:rPr>
          <w:rFonts w:ascii="Arial" w:hAnsi="Arial" w:cs="Arial"/>
          <w:color w:val="0B0B0B"/>
          <w:sz w:val="22"/>
          <w:szCs w:val="22"/>
        </w:rPr>
        <w:t>,</w:t>
      </w:r>
      <w:r w:rsidRPr="00300698">
        <w:rPr>
          <w:rFonts w:ascii="Arial" w:hAnsi="Arial" w:cs="Arial"/>
          <w:color w:val="0B0B0B"/>
          <w:sz w:val="22"/>
          <w:szCs w:val="22"/>
        </w:rPr>
        <w:t>000 tuition fees paid by students on other courses</w:t>
      </w:r>
      <w:r w:rsidR="00027D4F" w:rsidRPr="00300698">
        <w:rPr>
          <w:rFonts w:ascii="Arial" w:hAnsi="Arial" w:cs="Arial"/>
          <w:color w:val="0B0B0B"/>
          <w:sz w:val="22"/>
          <w:szCs w:val="22"/>
        </w:rPr>
        <w:t xml:space="preserve"> despite nursing courses normally running for 42 weeks rather than the standard 30</w:t>
      </w:r>
      <w:r w:rsidRPr="00300698">
        <w:rPr>
          <w:rFonts w:ascii="Arial" w:hAnsi="Arial" w:cs="Arial"/>
          <w:color w:val="0B0B0B"/>
          <w:sz w:val="22"/>
          <w:szCs w:val="22"/>
        </w:rPr>
        <w:t xml:space="preserve">. </w:t>
      </w:r>
      <w:r w:rsidR="002F43F1">
        <w:rPr>
          <w:rFonts w:ascii="Arial" w:hAnsi="Arial" w:cs="Arial"/>
          <w:color w:val="0B0B0B"/>
          <w:sz w:val="22"/>
          <w:szCs w:val="22"/>
        </w:rPr>
        <w:t>T</w:t>
      </w:r>
      <w:r w:rsidR="00027D4F" w:rsidRPr="00300698">
        <w:rPr>
          <w:rFonts w:ascii="Arial" w:hAnsi="Arial" w:cs="Arial"/>
          <w:color w:val="0B0B0B"/>
          <w:sz w:val="22"/>
          <w:szCs w:val="22"/>
        </w:rPr>
        <w:t xml:space="preserve">he Council of Deans of Health </w:t>
      </w:r>
      <w:r w:rsidR="00055862">
        <w:rPr>
          <w:rFonts w:ascii="Arial" w:hAnsi="Arial" w:cs="Arial"/>
          <w:color w:val="0B0B0B"/>
          <w:sz w:val="22"/>
          <w:szCs w:val="22"/>
        </w:rPr>
        <w:t xml:space="preserve">(CoDH) </w:t>
      </w:r>
      <w:r w:rsidR="002F43F1">
        <w:rPr>
          <w:rFonts w:ascii="Arial" w:hAnsi="Arial" w:cs="Arial"/>
          <w:color w:val="0B0B0B"/>
          <w:sz w:val="22"/>
          <w:szCs w:val="22"/>
        </w:rPr>
        <w:t xml:space="preserve">have </w:t>
      </w:r>
      <w:r w:rsidR="00027D4F" w:rsidRPr="00300698">
        <w:rPr>
          <w:rFonts w:ascii="Arial" w:hAnsi="Arial" w:cs="Arial"/>
          <w:color w:val="0B0B0B"/>
          <w:sz w:val="22"/>
          <w:szCs w:val="22"/>
        </w:rPr>
        <w:t>calculat</w:t>
      </w:r>
      <w:r w:rsidR="002F43F1">
        <w:rPr>
          <w:rFonts w:ascii="Arial" w:hAnsi="Arial" w:cs="Arial"/>
          <w:color w:val="0B0B0B"/>
          <w:sz w:val="22"/>
          <w:szCs w:val="22"/>
        </w:rPr>
        <w:t>ed</w:t>
      </w:r>
      <w:r w:rsidR="00027D4F" w:rsidRPr="00300698">
        <w:rPr>
          <w:rFonts w:ascii="Arial" w:hAnsi="Arial" w:cs="Arial"/>
          <w:color w:val="0B0B0B"/>
          <w:sz w:val="22"/>
          <w:szCs w:val="22"/>
        </w:rPr>
        <w:t xml:space="preserve"> that the gap between funding </w:t>
      </w:r>
      <w:r w:rsidR="007B226F">
        <w:rPr>
          <w:rFonts w:ascii="Arial" w:hAnsi="Arial" w:cs="Arial"/>
          <w:color w:val="0B0B0B"/>
          <w:sz w:val="22"/>
          <w:szCs w:val="22"/>
        </w:rPr>
        <w:t xml:space="preserve">for </w:t>
      </w:r>
      <w:r w:rsidR="00027D4F" w:rsidRPr="00300698">
        <w:rPr>
          <w:rFonts w:ascii="Arial" w:hAnsi="Arial" w:cs="Arial"/>
          <w:color w:val="0B0B0B"/>
          <w:sz w:val="22"/>
          <w:szCs w:val="22"/>
        </w:rPr>
        <w:t>a nursing course and what it actually costs is at least 7.6% (</w:t>
      </w:r>
      <w:r w:rsidR="00E97E6E">
        <w:rPr>
          <w:rFonts w:ascii="Arial" w:hAnsi="Arial" w:cs="Arial"/>
          <w:color w:val="0B0B0B"/>
          <w:sz w:val="22"/>
          <w:szCs w:val="22"/>
        </w:rPr>
        <w:t>1</w:t>
      </w:r>
      <w:r w:rsidR="00622B4D" w:rsidRPr="00300698">
        <w:rPr>
          <w:rFonts w:ascii="Arial" w:hAnsi="Arial" w:cs="Arial"/>
          <w:color w:val="0B0B0B"/>
          <w:sz w:val="22"/>
          <w:szCs w:val="22"/>
        </w:rPr>
        <w:t xml:space="preserve">). </w:t>
      </w:r>
      <w:r w:rsidR="00C010E4">
        <w:rPr>
          <w:rFonts w:ascii="Arial" w:hAnsi="Arial" w:cs="Arial"/>
          <w:color w:val="0B0B0B"/>
          <w:sz w:val="22"/>
          <w:szCs w:val="22"/>
        </w:rPr>
        <w:t>Universities say that t</w:t>
      </w:r>
      <w:r w:rsidR="00622B4D" w:rsidRPr="00300698">
        <w:rPr>
          <w:rFonts w:ascii="Arial" w:hAnsi="Arial" w:cs="Arial"/>
          <w:color w:val="0B0B0B"/>
          <w:sz w:val="22"/>
          <w:szCs w:val="22"/>
        </w:rPr>
        <w:t xml:space="preserve">his under-funding is </w:t>
      </w:r>
      <w:r w:rsidR="004112E7">
        <w:rPr>
          <w:rFonts w:ascii="Arial" w:hAnsi="Arial" w:cs="Arial"/>
          <w:color w:val="0B0B0B"/>
          <w:sz w:val="22"/>
          <w:szCs w:val="22"/>
        </w:rPr>
        <w:t>un</w:t>
      </w:r>
      <w:r w:rsidR="00622B4D" w:rsidRPr="00300698">
        <w:rPr>
          <w:rFonts w:ascii="Arial" w:hAnsi="Arial" w:cs="Arial"/>
          <w:color w:val="0B0B0B"/>
          <w:sz w:val="22"/>
          <w:szCs w:val="22"/>
        </w:rPr>
        <w:t>sustainable.</w:t>
      </w:r>
    </w:p>
    <w:p w14:paraId="096C0CC1" w14:textId="77777777" w:rsidR="00562952" w:rsidRPr="00300698" w:rsidRDefault="00562952" w:rsidP="003451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</w:p>
    <w:p w14:paraId="754A3D6F" w14:textId="3D33BE5A" w:rsidR="009B3167" w:rsidRDefault="004112E7" w:rsidP="0005586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The current situation for nursing students and those on non-NHS courses is outlined in Box 1.</w:t>
      </w:r>
      <w:r w:rsidR="00562952" w:rsidRPr="00300698">
        <w:rPr>
          <w:rFonts w:ascii="Arial" w:hAnsi="Arial" w:cs="Arial"/>
          <w:color w:val="0B0B0B"/>
          <w:sz w:val="22"/>
          <w:szCs w:val="22"/>
        </w:rPr>
        <w:t xml:space="preserve"> </w:t>
      </w:r>
      <w:r>
        <w:rPr>
          <w:rFonts w:ascii="Arial" w:hAnsi="Arial" w:cs="Arial"/>
          <w:color w:val="0B0B0B"/>
          <w:sz w:val="22"/>
          <w:szCs w:val="22"/>
        </w:rPr>
        <w:t xml:space="preserve">Nursing students are entitled to significantly less financial support </w:t>
      </w:r>
      <w:r w:rsidR="00C56A2C" w:rsidRPr="00300698">
        <w:rPr>
          <w:rFonts w:ascii="Arial" w:hAnsi="Arial" w:cs="Arial"/>
          <w:color w:val="0B0B0B"/>
          <w:sz w:val="22"/>
          <w:szCs w:val="22"/>
        </w:rPr>
        <w:t>and many struggle financially</w:t>
      </w:r>
      <w:r w:rsidR="00562952" w:rsidRPr="00300698">
        <w:rPr>
          <w:rFonts w:ascii="Arial" w:hAnsi="Arial" w:cs="Arial"/>
          <w:color w:val="0B0B0B"/>
          <w:sz w:val="22"/>
          <w:szCs w:val="22"/>
        </w:rPr>
        <w:t>.</w:t>
      </w:r>
      <w:r w:rsidR="00A846DB" w:rsidRPr="00300698">
        <w:rPr>
          <w:rFonts w:ascii="Arial" w:hAnsi="Arial" w:cs="Arial"/>
          <w:color w:val="0B0B0B"/>
          <w:sz w:val="22"/>
          <w:szCs w:val="22"/>
        </w:rPr>
        <w:t xml:space="preserve"> </w:t>
      </w:r>
      <w:r w:rsidR="007B226F">
        <w:rPr>
          <w:rFonts w:ascii="Arial" w:hAnsi="Arial" w:cs="Arial"/>
          <w:color w:val="0B0B0B"/>
          <w:sz w:val="22"/>
          <w:szCs w:val="22"/>
        </w:rPr>
        <w:t>N</w:t>
      </w:r>
      <w:r w:rsidR="00A846DB" w:rsidRPr="00300698">
        <w:rPr>
          <w:rFonts w:ascii="Arial" w:hAnsi="Arial" w:cs="Arial"/>
          <w:color w:val="0B0B0B"/>
          <w:sz w:val="22"/>
          <w:szCs w:val="22"/>
        </w:rPr>
        <w:t xml:space="preserve">ursing students </w:t>
      </w:r>
      <w:r w:rsidR="00C56A2C" w:rsidRPr="00300698">
        <w:rPr>
          <w:rFonts w:ascii="Arial" w:hAnsi="Arial" w:cs="Arial"/>
          <w:color w:val="0B0B0B"/>
          <w:sz w:val="22"/>
          <w:szCs w:val="22"/>
        </w:rPr>
        <w:t>would</w:t>
      </w:r>
      <w:r w:rsidR="00A846DB" w:rsidRPr="00300698">
        <w:rPr>
          <w:rFonts w:ascii="Arial" w:hAnsi="Arial" w:cs="Arial"/>
          <w:color w:val="0B0B0B"/>
          <w:sz w:val="22"/>
          <w:szCs w:val="22"/>
        </w:rPr>
        <w:t xml:space="preserve"> be better off </w:t>
      </w:r>
      <w:r w:rsidR="00C56A2C" w:rsidRPr="00300698">
        <w:rPr>
          <w:rFonts w:ascii="Arial" w:hAnsi="Arial" w:cs="Arial"/>
          <w:color w:val="0B0B0B"/>
          <w:sz w:val="22"/>
          <w:szCs w:val="22"/>
        </w:rPr>
        <w:t xml:space="preserve">financially </w:t>
      </w:r>
      <w:r w:rsidR="00A846DB" w:rsidRPr="00300698">
        <w:rPr>
          <w:rFonts w:ascii="Arial" w:hAnsi="Arial" w:cs="Arial"/>
          <w:color w:val="0B0B0B"/>
          <w:sz w:val="22"/>
          <w:szCs w:val="22"/>
        </w:rPr>
        <w:t xml:space="preserve">while on the course if they </w:t>
      </w:r>
      <w:r w:rsidR="00C56A2C" w:rsidRPr="00300698">
        <w:rPr>
          <w:rFonts w:ascii="Arial" w:hAnsi="Arial" w:cs="Arial"/>
          <w:color w:val="0B0B0B"/>
          <w:sz w:val="22"/>
          <w:szCs w:val="22"/>
        </w:rPr>
        <w:t>were</w:t>
      </w:r>
      <w:r w:rsidR="00A846DB" w:rsidRPr="00300698">
        <w:rPr>
          <w:rFonts w:ascii="Arial" w:hAnsi="Arial" w:cs="Arial"/>
          <w:color w:val="0B0B0B"/>
          <w:sz w:val="22"/>
          <w:szCs w:val="22"/>
        </w:rPr>
        <w:t xml:space="preserve"> treated like those on non-NHS funded courses. </w:t>
      </w:r>
      <w:r w:rsidR="00D01BE9" w:rsidRPr="00300698">
        <w:rPr>
          <w:rFonts w:ascii="Arial" w:hAnsi="Arial" w:cs="Arial"/>
          <w:color w:val="0B0B0B"/>
          <w:sz w:val="22"/>
          <w:szCs w:val="22"/>
        </w:rPr>
        <w:t xml:space="preserve">However, students on a </w:t>
      </w:r>
      <w:r w:rsidR="00AD5EF7" w:rsidRPr="00300698">
        <w:rPr>
          <w:rFonts w:ascii="Arial" w:hAnsi="Arial" w:cs="Arial"/>
          <w:color w:val="0B0B0B"/>
          <w:sz w:val="22"/>
          <w:szCs w:val="22"/>
        </w:rPr>
        <w:t>three-year</w:t>
      </w:r>
      <w:r w:rsidR="00D01BE9" w:rsidRPr="00300698">
        <w:rPr>
          <w:rFonts w:ascii="Arial" w:hAnsi="Arial" w:cs="Arial"/>
          <w:color w:val="0B0B0B"/>
          <w:sz w:val="22"/>
          <w:szCs w:val="22"/>
        </w:rPr>
        <w:t xml:space="preserve"> course </w:t>
      </w:r>
      <w:r w:rsidR="00A846DB" w:rsidRPr="00300698">
        <w:rPr>
          <w:rFonts w:ascii="Arial" w:hAnsi="Arial" w:cs="Arial"/>
          <w:color w:val="0B0B0B"/>
          <w:sz w:val="22"/>
          <w:szCs w:val="22"/>
        </w:rPr>
        <w:t>would finish University with, on the current figures, up to £59,106 of debt if they study in London and £51,600 if they study outside London.</w:t>
      </w:r>
      <w:r w:rsidR="00D01BE9" w:rsidRPr="00300698">
        <w:rPr>
          <w:rFonts w:ascii="Arial" w:hAnsi="Arial" w:cs="Arial"/>
          <w:color w:val="0B0B0B"/>
          <w:sz w:val="22"/>
          <w:szCs w:val="22"/>
        </w:rPr>
        <w:t xml:space="preserve"> </w:t>
      </w:r>
      <w:r w:rsidR="00055862">
        <w:rPr>
          <w:rFonts w:ascii="Arial" w:hAnsi="Arial" w:cs="Arial"/>
          <w:color w:val="0B0B0B"/>
          <w:sz w:val="22"/>
          <w:szCs w:val="22"/>
        </w:rPr>
        <w:t>(</w:t>
      </w:r>
      <w:r w:rsidR="007B226F">
        <w:rPr>
          <w:rFonts w:ascii="Arial" w:hAnsi="Arial" w:cs="Arial"/>
          <w:color w:val="0B0B0B"/>
          <w:sz w:val="22"/>
          <w:szCs w:val="22"/>
        </w:rPr>
        <w:t>Loan r</w:t>
      </w:r>
      <w:r w:rsidR="00055862">
        <w:rPr>
          <w:rFonts w:ascii="Arial" w:hAnsi="Arial" w:cs="Arial"/>
          <w:color w:val="0B0B0B"/>
          <w:sz w:val="22"/>
          <w:szCs w:val="22"/>
        </w:rPr>
        <w:t>epayments for a nurse at the bottom of the Band 5 pay scale would be around £7 per month.)</w:t>
      </w:r>
    </w:p>
    <w:p w14:paraId="6B389C1E" w14:textId="77777777" w:rsidR="00055862" w:rsidRPr="00055862" w:rsidRDefault="00055862" w:rsidP="0005586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</w:p>
    <w:p w14:paraId="401CA1E2" w14:textId="77777777" w:rsidR="007B226F" w:rsidRDefault="007B226F">
      <w:pPr>
        <w:rPr>
          <w:rFonts w:ascii="Arial" w:hAnsi="Arial" w:cs="Arial"/>
          <w:b/>
          <w:color w:val="0B0B0B"/>
          <w:sz w:val="20"/>
          <w:szCs w:val="22"/>
        </w:rPr>
      </w:pPr>
      <w:r>
        <w:rPr>
          <w:rFonts w:ascii="Arial" w:hAnsi="Arial" w:cs="Arial"/>
          <w:b/>
          <w:color w:val="0B0B0B"/>
          <w:sz w:val="20"/>
          <w:szCs w:val="22"/>
        </w:rPr>
        <w:br w:type="page"/>
      </w:r>
    </w:p>
    <w:p w14:paraId="13DB0B80" w14:textId="3CA27984" w:rsidR="004C3926" w:rsidRPr="00055862" w:rsidRDefault="004C3926" w:rsidP="0034519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B0B0B"/>
          <w:sz w:val="20"/>
          <w:szCs w:val="22"/>
        </w:rPr>
      </w:pPr>
      <w:r w:rsidRPr="00055862">
        <w:rPr>
          <w:rFonts w:ascii="Arial" w:hAnsi="Arial" w:cs="Arial"/>
          <w:b/>
          <w:color w:val="0B0B0B"/>
          <w:sz w:val="20"/>
          <w:szCs w:val="22"/>
        </w:rPr>
        <w:lastRenderedPageBreak/>
        <w:t xml:space="preserve">Box 1: </w:t>
      </w:r>
      <w:r w:rsidR="00A846DB" w:rsidRPr="00055862">
        <w:rPr>
          <w:rFonts w:ascii="Arial" w:hAnsi="Arial" w:cs="Arial"/>
          <w:b/>
          <w:color w:val="0B0B0B"/>
          <w:sz w:val="20"/>
          <w:szCs w:val="22"/>
        </w:rPr>
        <w:t xml:space="preserve">Student funding - </w:t>
      </w:r>
      <w:r w:rsidRPr="00055862">
        <w:rPr>
          <w:rFonts w:ascii="Arial" w:hAnsi="Arial" w:cs="Arial"/>
          <w:b/>
          <w:color w:val="0B0B0B"/>
          <w:sz w:val="20"/>
          <w:szCs w:val="22"/>
        </w:rPr>
        <w:t xml:space="preserve">Current situation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3"/>
        <w:gridCol w:w="4387"/>
      </w:tblGrid>
      <w:tr w:rsidR="00A846DB" w:rsidRPr="00300698" w14:paraId="232D57AB" w14:textId="77777777" w:rsidTr="00A846DB">
        <w:tc>
          <w:tcPr>
            <w:tcW w:w="5093" w:type="dxa"/>
            <w:shd w:val="clear" w:color="auto" w:fill="CCCCCC"/>
          </w:tcPr>
          <w:p w14:paraId="3D4B6D84" w14:textId="77777777" w:rsidR="00A846DB" w:rsidRPr="0061110F" w:rsidRDefault="00A846DB" w:rsidP="006111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b/>
                <w:color w:val="0B0B0B"/>
                <w:sz w:val="20"/>
                <w:szCs w:val="20"/>
              </w:rPr>
              <w:t>Current situation for pre-registration nursing students in England (from 1</w:t>
            </w:r>
            <w:r w:rsidRPr="0061110F">
              <w:rPr>
                <w:rFonts w:ascii="Arial" w:hAnsi="Arial" w:cs="Arial"/>
                <w:b/>
                <w:color w:val="0B0B0B"/>
                <w:sz w:val="20"/>
                <w:szCs w:val="20"/>
                <w:vertAlign w:val="superscript"/>
              </w:rPr>
              <w:t>st</w:t>
            </w:r>
            <w:r w:rsidRPr="0061110F">
              <w:rPr>
                <w:rFonts w:ascii="Arial" w:hAnsi="Arial" w:cs="Arial"/>
                <w:b/>
                <w:color w:val="0B0B0B"/>
                <w:sz w:val="20"/>
                <w:szCs w:val="20"/>
              </w:rPr>
              <w:t xml:space="preserve"> September 2012)</w:t>
            </w:r>
          </w:p>
          <w:p w14:paraId="298986D1" w14:textId="30A928C7" w:rsidR="00A846DB" w:rsidRPr="0061110F" w:rsidRDefault="005879DB" w:rsidP="0061110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(</w:t>
            </w:r>
            <w:hyperlink r:id="rId8" w:history="1">
              <w:r w:rsidRPr="0061110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https://www.gov.uk/nhs-bursaries</w:t>
              </w:r>
            </w:hyperlink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)</w:t>
            </w:r>
          </w:p>
        </w:tc>
        <w:tc>
          <w:tcPr>
            <w:tcW w:w="4471" w:type="dxa"/>
            <w:shd w:val="clear" w:color="auto" w:fill="CCCCCC"/>
          </w:tcPr>
          <w:p w14:paraId="1C05BCEC" w14:textId="61F390EB" w:rsidR="00A846DB" w:rsidRPr="0061110F" w:rsidRDefault="00A846DB" w:rsidP="0061110F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b/>
                <w:color w:val="0B0B0B"/>
                <w:sz w:val="20"/>
                <w:szCs w:val="20"/>
              </w:rPr>
              <w:t xml:space="preserve">Current situation for student on non-NHS funded courses </w:t>
            </w: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(</w:t>
            </w:r>
            <w:hyperlink r:id="rId9" w:history="1">
              <w:r w:rsidRPr="0061110F">
                <w:rPr>
                  <w:rStyle w:val="Hyperlink"/>
                  <w:rFonts w:ascii="Arial" w:hAnsi="Arial" w:cs="Arial"/>
                  <w:sz w:val="20"/>
                  <w:szCs w:val="20"/>
                </w:rPr>
                <w:t>www.studentloanrepayment.co.uk</w:t>
              </w:r>
            </w:hyperlink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)</w:t>
            </w:r>
          </w:p>
        </w:tc>
      </w:tr>
      <w:tr w:rsidR="00A846DB" w:rsidRPr="00300698" w14:paraId="221B742A" w14:textId="3D84C98A" w:rsidTr="00A846DB">
        <w:tc>
          <w:tcPr>
            <w:tcW w:w="5093" w:type="dxa"/>
          </w:tcPr>
          <w:p w14:paraId="70E21CE5" w14:textId="43E2E431" w:rsidR="00304150" w:rsidRPr="0061110F" w:rsidRDefault="00304150" w:rsidP="0061110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T</w:t>
            </w:r>
            <w:r w:rsidR="00A846DB" w:rsidRPr="0061110F">
              <w:rPr>
                <w:rFonts w:ascii="Arial" w:hAnsi="Arial" w:cs="Arial"/>
                <w:color w:val="0B0B0B"/>
                <w:sz w:val="20"/>
                <w:szCs w:val="20"/>
              </w:rPr>
              <w:t xml:space="preserve">uition fees </w:t>
            </w: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 xml:space="preserve">paid </w:t>
            </w:r>
            <w:r w:rsidR="00A846DB" w:rsidRPr="0061110F">
              <w:rPr>
                <w:rFonts w:ascii="Arial" w:hAnsi="Arial" w:cs="Arial"/>
                <w:color w:val="0B0B0B"/>
                <w:sz w:val="20"/>
                <w:szCs w:val="20"/>
              </w:rPr>
              <w:t>(</w:t>
            </w:r>
            <w:r w:rsidR="00A846DB" w:rsidRPr="0061110F">
              <w:rPr>
                <w:rFonts w:ascii="Arial" w:hAnsi="Arial" w:cs="Arial"/>
                <w:sz w:val="20"/>
                <w:szCs w:val="20"/>
              </w:rPr>
              <w:t>benchmark price</w:t>
            </w:r>
            <w:r w:rsidR="00A846DB" w:rsidRPr="0061110F">
              <w:rPr>
                <w:rFonts w:ascii="Arial" w:hAnsi="Arial" w:cs="Arial"/>
                <w:color w:val="0B0B0B"/>
                <w:sz w:val="20"/>
                <w:szCs w:val="20"/>
              </w:rPr>
              <w:t>) – students are not required to pay this back</w:t>
            </w:r>
          </w:p>
          <w:p w14:paraId="03609482" w14:textId="77777777" w:rsidR="00304150" w:rsidRPr="0061110F" w:rsidRDefault="00A846DB" w:rsidP="0061110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Students can apply for a £1,000 grant from the NHS</w:t>
            </w:r>
            <w:r w:rsidR="00304150" w:rsidRPr="0061110F">
              <w:rPr>
                <w:rFonts w:ascii="Arial" w:hAnsi="Arial" w:cs="Arial"/>
                <w:color w:val="0B0B0B"/>
                <w:sz w:val="20"/>
                <w:szCs w:val="20"/>
              </w:rPr>
              <w:t xml:space="preserve">. </w:t>
            </w:r>
          </w:p>
          <w:p w14:paraId="3C0CC34B" w14:textId="50EFAE68" w:rsidR="00304150" w:rsidRPr="0061110F" w:rsidRDefault="00A846DB" w:rsidP="0061110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 xml:space="preserve">A </w:t>
            </w:r>
            <w:r w:rsidR="00C56A2C" w:rsidRPr="0061110F">
              <w:rPr>
                <w:rFonts w:ascii="Arial" w:hAnsi="Arial" w:cs="Arial"/>
                <w:color w:val="0B0B0B"/>
                <w:sz w:val="20"/>
                <w:szCs w:val="20"/>
              </w:rPr>
              <w:t xml:space="preserve">means tested </w:t>
            </w: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 xml:space="preserve">bursary from the NHS </w:t>
            </w:r>
          </w:p>
          <w:p w14:paraId="193898C6" w14:textId="77777777" w:rsidR="00A846DB" w:rsidRPr="0061110F" w:rsidRDefault="00A846DB" w:rsidP="0061110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A reduced Maintenance Loan from Student Finance England</w:t>
            </w:r>
          </w:p>
          <w:p w14:paraId="5CF0EF5C" w14:textId="2B49A8F1" w:rsidR="00C71A10" w:rsidRPr="0061110F" w:rsidRDefault="00C71A10" w:rsidP="0061110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Additional support available for children and other dependents</w:t>
            </w:r>
          </w:p>
        </w:tc>
        <w:tc>
          <w:tcPr>
            <w:tcW w:w="4471" w:type="dxa"/>
          </w:tcPr>
          <w:p w14:paraId="574C0EAD" w14:textId="77777777" w:rsidR="00A846DB" w:rsidRPr="0061110F" w:rsidRDefault="00A846DB" w:rsidP="0061110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Get a loan to cover their tuition fees of up to £9,000 per year</w:t>
            </w:r>
          </w:p>
          <w:p w14:paraId="1BDBEF45" w14:textId="77777777" w:rsidR="00A846DB" w:rsidRPr="0061110F" w:rsidRDefault="00A846DB" w:rsidP="0061110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Can apply for a maintenance loan which varies depending on the student’s circumstances:</w:t>
            </w:r>
          </w:p>
          <w:p w14:paraId="5F76FD89" w14:textId="77777777" w:rsidR="00A846DB" w:rsidRPr="0061110F" w:rsidRDefault="00A846DB" w:rsidP="0061110F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Living with parents – up to £6,904</w:t>
            </w:r>
          </w:p>
          <w:p w14:paraId="72E957F1" w14:textId="77777777" w:rsidR="00A846DB" w:rsidRPr="0061110F" w:rsidRDefault="00A846DB" w:rsidP="0061110F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Studying in London and not living with parents – up to £10,702</w:t>
            </w:r>
          </w:p>
          <w:p w14:paraId="7CDFBD52" w14:textId="77777777" w:rsidR="00A846DB" w:rsidRPr="0061110F" w:rsidRDefault="00A846DB" w:rsidP="0061110F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Studying outside London and not living with parents – up to £8,200</w:t>
            </w:r>
          </w:p>
          <w:p w14:paraId="09D938EA" w14:textId="77777777" w:rsidR="00A846DB" w:rsidRDefault="00A846DB" w:rsidP="0061110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color w:val="0B0B0B"/>
                <w:sz w:val="20"/>
                <w:szCs w:val="20"/>
              </w:rPr>
            </w:pPr>
            <w:r w:rsidRPr="0061110F">
              <w:rPr>
                <w:rFonts w:ascii="Arial" w:hAnsi="Arial" w:cs="Arial"/>
                <w:color w:val="0B0B0B"/>
                <w:sz w:val="20"/>
                <w:szCs w:val="20"/>
              </w:rPr>
              <w:t>Loans are paid back once the student earns more than £21,000 per annum</w:t>
            </w:r>
          </w:p>
          <w:p w14:paraId="2A34978A" w14:textId="6D690FAB" w:rsidR="0061110F" w:rsidRPr="0061110F" w:rsidRDefault="0061110F" w:rsidP="0061110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jc w:val="both"/>
              <w:rPr>
                <w:rFonts w:ascii="Arial" w:hAnsi="Arial" w:cs="Arial"/>
                <w:color w:val="0B0B0B"/>
                <w:sz w:val="20"/>
                <w:szCs w:val="20"/>
              </w:rPr>
            </w:pPr>
            <w:r>
              <w:rPr>
                <w:rFonts w:ascii="Arial" w:hAnsi="Arial" w:cs="Arial"/>
                <w:color w:val="0B0B0B"/>
                <w:sz w:val="20"/>
                <w:szCs w:val="20"/>
              </w:rPr>
              <w:t>Loans are written off after 30 years</w:t>
            </w:r>
          </w:p>
        </w:tc>
      </w:tr>
    </w:tbl>
    <w:p w14:paraId="09F606A8" w14:textId="77777777" w:rsidR="004C3926" w:rsidRPr="00300698" w:rsidRDefault="004C3926" w:rsidP="0034519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B0B0B"/>
          <w:sz w:val="22"/>
          <w:szCs w:val="22"/>
        </w:rPr>
      </w:pPr>
    </w:p>
    <w:p w14:paraId="09DEB172" w14:textId="3FA6FBAC" w:rsidR="00055862" w:rsidRDefault="006252B8" w:rsidP="003451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  <w:r w:rsidRPr="00300698">
        <w:rPr>
          <w:rFonts w:ascii="Arial" w:hAnsi="Arial" w:cs="Arial"/>
          <w:color w:val="0B0B0B"/>
          <w:sz w:val="22"/>
          <w:szCs w:val="22"/>
        </w:rPr>
        <w:t xml:space="preserve">Many people think that if student nurses and midwives have to pay tuition fees and take out student maintenance loans this will reduce the number of applicants to pre-registration courses. However, there are significantly more applicants than places available at the moment. Given this it could be argued that </w:t>
      </w:r>
      <w:r w:rsidR="00055862">
        <w:rPr>
          <w:rFonts w:ascii="Arial" w:hAnsi="Arial" w:cs="Arial"/>
          <w:color w:val="0B0B0B"/>
          <w:sz w:val="22"/>
          <w:szCs w:val="22"/>
        </w:rPr>
        <w:t xml:space="preserve">there are enough people wanting to do nursing and so </w:t>
      </w:r>
      <w:r w:rsidR="007B226F">
        <w:rPr>
          <w:rFonts w:ascii="Arial" w:hAnsi="Arial" w:cs="Arial"/>
          <w:color w:val="0B0B0B"/>
          <w:sz w:val="22"/>
          <w:szCs w:val="22"/>
        </w:rPr>
        <w:t xml:space="preserve">changes in financial arrangements </w:t>
      </w:r>
      <w:r w:rsidR="00055862">
        <w:rPr>
          <w:rFonts w:ascii="Arial" w:hAnsi="Arial" w:cs="Arial"/>
          <w:color w:val="0B0B0B"/>
          <w:sz w:val="22"/>
          <w:szCs w:val="22"/>
        </w:rPr>
        <w:t xml:space="preserve">will not be a problem. </w:t>
      </w:r>
    </w:p>
    <w:p w14:paraId="1A502552" w14:textId="77777777" w:rsidR="00055862" w:rsidRDefault="00055862" w:rsidP="003451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</w:p>
    <w:p w14:paraId="02463730" w14:textId="30993042" w:rsidR="006252B8" w:rsidRDefault="00A60926" w:rsidP="003451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N</w:t>
      </w:r>
      <w:r w:rsidR="00055862">
        <w:rPr>
          <w:rFonts w:ascii="Arial" w:hAnsi="Arial" w:cs="Arial"/>
          <w:color w:val="0B0B0B"/>
          <w:sz w:val="22"/>
          <w:szCs w:val="22"/>
        </w:rPr>
        <w:t xml:space="preserve">umbers of students on pre-registration nursing courses are currently restricted by how many places </w:t>
      </w:r>
      <w:r w:rsidR="00EC426D">
        <w:rPr>
          <w:rFonts w:ascii="Arial" w:hAnsi="Arial" w:cs="Arial"/>
          <w:color w:val="0B0B0B"/>
          <w:sz w:val="22"/>
          <w:szCs w:val="22"/>
        </w:rPr>
        <w:t>HEE</w:t>
      </w:r>
      <w:r w:rsidR="007B226F">
        <w:rPr>
          <w:rFonts w:ascii="Arial" w:hAnsi="Arial" w:cs="Arial"/>
          <w:color w:val="0B0B0B"/>
          <w:sz w:val="22"/>
          <w:szCs w:val="22"/>
        </w:rPr>
        <w:t>, who have a finite budget, commission</w:t>
      </w:r>
      <w:r>
        <w:rPr>
          <w:rFonts w:ascii="Arial" w:hAnsi="Arial" w:cs="Arial"/>
          <w:color w:val="0B0B0B"/>
          <w:sz w:val="22"/>
          <w:szCs w:val="22"/>
        </w:rPr>
        <w:t xml:space="preserve">. </w:t>
      </w:r>
      <w:r w:rsidR="007B226F">
        <w:rPr>
          <w:rFonts w:ascii="Arial" w:hAnsi="Arial" w:cs="Arial"/>
          <w:color w:val="0B0B0B"/>
          <w:sz w:val="22"/>
          <w:szCs w:val="22"/>
        </w:rPr>
        <w:t>The number of</w:t>
      </w:r>
      <w:r>
        <w:rPr>
          <w:rFonts w:ascii="Arial" w:hAnsi="Arial" w:cs="Arial"/>
          <w:color w:val="0B0B0B"/>
          <w:sz w:val="22"/>
          <w:szCs w:val="22"/>
        </w:rPr>
        <w:t xml:space="preserve"> </w:t>
      </w:r>
      <w:r w:rsidR="00055862">
        <w:rPr>
          <w:rFonts w:ascii="Arial" w:hAnsi="Arial" w:cs="Arial"/>
          <w:color w:val="0B0B0B"/>
          <w:sz w:val="22"/>
          <w:szCs w:val="22"/>
        </w:rPr>
        <w:t xml:space="preserve">overseas nurses recruited </w:t>
      </w:r>
      <w:r>
        <w:rPr>
          <w:rFonts w:ascii="Arial" w:hAnsi="Arial" w:cs="Arial"/>
          <w:color w:val="0B0B0B"/>
          <w:sz w:val="22"/>
          <w:szCs w:val="22"/>
        </w:rPr>
        <w:t xml:space="preserve">to work in the NHS </w:t>
      </w:r>
      <w:r w:rsidR="00EC426D">
        <w:rPr>
          <w:rFonts w:ascii="Arial" w:hAnsi="Arial" w:cs="Arial"/>
          <w:color w:val="0B0B0B"/>
          <w:sz w:val="22"/>
          <w:szCs w:val="22"/>
        </w:rPr>
        <w:t>indicates</w:t>
      </w:r>
      <w:r w:rsidR="00AD5EF7">
        <w:rPr>
          <w:rFonts w:ascii="Arial" w:hAnsi="Arial" w:cs="Arial"/>
          <w:color w:val="0B0B0B"/>
          <w:sz w:val="22"/>
          <w:szCs w:val="22"/>
        </w:rPr>
        <w:t xml:space="preserve"> </w:t>
      </w:r>
      <w:r w:rsidR="00EC426D">
        <w:rPr>
          <w:rFonts w:ascii="Arial" w:hAnsi="Arial" w:cs="Arial"/>
          <w:color w:val="0B0B0B"/>
          <w:sz w:val="22"/>
          <w:szCs w:val="22"/>
        </w:rPr>
        <w:t>insufficient</w:t>
      </w:r>
      <w:r w:rsidR="00055862">
        <w:rPr>
          <w:rFonts w:ascii="Arial" w:hAnsi="Arial" w:cs="Arial"/>
          <w:color w:val="0B0B0B"/>
          <w:sz w:val="22"/>
          <w:szCs w:val="22"/>
        </w:rPr>
        <w:t xml:space="preserve"> nurses </w:t>
      </w:r>
      <w:r w:rsidR="002364CE">
        <w:rPr>
          <w:rFonts w:ascii="Arial" w:hAnsi="Arial" w:cs="Arial"/>
          <w:color w:val="0B0B0B"/>
          <w:sz w:val="22"/>
          <w:szCs w:val="22"/>
        </w:rPr>
        <w:t xml:space="preserve">are </w:t>
      </w:r>
      <w:r w:rsidR="00055862">
        <w:rPr>
          <w:rFonts w:ascii="Arial" w:hAnsi="Arial" w:cs="Arial"/>
          <w:color w:val="0B0B0B"/>
          <w:sz w:val="22"/>
          <w:szCs w:val="22"/>
        </w:rPr>
        <w:t xml:space="preserve">being commissioned. The CoDH suggest that if </w:t>
      </w:r>
      <w:r w:rsidR="00AD5EF7">
        <w:rPr>
          <w:rFonts w:ascii="Arial" w:hAnsi="Arial" w:cs="Arial"/>
          <w:color w:val="0B0B0B"/>
          <w:sz w:val="22"/>
          <w:szCs w:val="22"/>
        </w:rPr>
        <w:t xml:space="preserve">the </w:t>
      </w:r>
      <w:r>
        <w:rPr>
          <w:rFonts w:ascii="Arial" w:hAnsi="Arial" w:cs="Arial"/>
          <w:color w:val="0B0B0B"/>
          <w:sz w:val="22"/>
          <w:szCs w:val="22"/>
        </w:rPr>
        <w:t xml:space="preserve">student finance system, and thus the commissioning process, change this would </w:t>
      </w:r>
      <w:r w:rsidR="00EC426D">
        <w:rPr>
          <w:rFonts w:ascii="Arial" w:hAnsi="Arial" w:cs="Arial"/>
          <w:color w:val="0B0B0B"/>
          <w:sz w:val="22"/>
          <w:szCs w:val="22"/>
        </w:rPr>
        <w:t>allow</w:t>
      </w:r>
      <w:r>
        <w:rPr>
          <w:rFonts w:ascii="Arial" w:hAnsi="Arial" w:cs="Arial"/>
          <w:color w:val="0B0B0B"/>
          <w:sz w:val="22"/>
          <w:szCs w:val="22"/>
        </w:rPr>
        <w:t xml:space="preserve"> </w:t>
      </w:r>
      <w:r w:rsidR="00AD5EF7">
        <w:rPr>
          <w:rFonts w:ascii="Arial" w:hAnsi="Arial" w:cs="Arial"/>
          <w:color w:val="0B0B0B"/>
          <w:sz w:val="22"/>
          <w:szCs w:val="22"/>
        </w:rPr>
        <w:t>u</w:t>
      </w:r>
      <w:r>
        <w:rPr>
          <w:rFonts w:ascii="Arial" w:hAnsi="Arial" w:cs="Arial"/>
          <w:color w:val="0B0B0B"/>
          <w:sz w:val="22"/>
          <w:szCs w:val="22"/>
        </w:rPr>
        <w:t xml:space="preserve">niversities </w:t>
      </w:r>
      <w:r w:rsidR="00EC426D">
        <w:rPr>
          <w:rFonts w:ascii="Arial" w:hAnsi="Arial" w:cs="Arial"/>
          <w:color w:val="0B0B0B"/>
          <w:sz w:val="22"/>
          <w:szCs w:val="22"/>
        </w:rPr>
        <w:t>to</w:t>
      </w:r>
      <w:r>
        <w:rPr>
          <w:rFonts w:ascii="Arial" w:hAnsi="Arial" w:cs="Arial"/>
          <w:color w:val="0B0B0B"/>
          <w:sz w:val="22"/>
          <w:szCs w:val="22"/>
        </w:rPr>
        <w:t xml:space="preserve"> recruit more students (</w:t>
      </w:r>
      <w:r w:rsidR="002364CE">
        <w:rPr>
          <w:rFonts w:ascii="Arial" w:hAnsi="Arial" w:cs="Arial"/>
          <w:color w:val="0B0B0B"/>
          <w:sz w:val="22"/>
          <w:szCs w:val="22"/>
        </w:rPr>
        <w:t>2</w:t>
      </w:r>
      <w:r>
        <w:rPr>
          <w:rFonts w:ascii="Arial" w:hAnsi="Arial" w:cs="Arial"/>
          <w:color w:val="0B0B0B"/>
          <w:sz w:val="22"/>
          <w:szCs w:val="22"/>
        </w:rPr>
        <w:t xml:space="preserve">). This </w:t>
      </w:r>
      <w:r w:rsidR="00AD5EF7">
        <w:rPr>
          <w:rFonts w:ascii="Arial" w:hAnsi="Arial" w:cs="Arial"/>
          <w:color w:val="0B0B0B"/>
          <w:sz w:val="22"/>
          <w:szCs w:val="22"/>
        </w:rPr>
        <w:t>is</w:t>
      </w:r>
      <w:r w:rsidR="000B440A">
        <w:rPr>
          <w:rFonts w:ascii="Arial" w:hAnsi="Arial" w:cs="Arial"/>
          <w:color w:val="0B0B0B"/>
          <w:sz w:val="22"/>
          <w:szCs w:val="22"/>
        </w:rPr>
        <w:t xml:space="preserve"> </w:t>
      </w:r>
      <w:r w:rsidR="00AD5EF7">
        <w:rPr>
          <w:rFonts w:ascii="Arial" w:hAnsi="Arial" w:cs="Arial"/>
          <w:color w:val="0B0B0B"/>
          <w:sz w:val="22"/>
          <w:szCs w:val="22"/>
        </w:rPr>
        <w:t>dependent on there being</w:t>
      </w:r>
      <w:r>
        <w:rPr>
          <w:rFonts w:ascii="Arial" w:hAnsi="Arial" w:cs="Arial"/>
          <w:color w:val="0B0B0B"/>
          <w:sz w:val="22"/>
          <w:szCs w:val="22"/>
        </w:rPr>
        <w:t xml:space="preserve"> sufficient placements </w:t>
      </w:r>
      <w:r w:rsidR="00AD5EF7">
        <w:rPr>
          <w:rFonts w:ascii="Arial" w:hAnsi="Arial" w:cs="Arial"/>
          <w:color w:val="0B0B0B"/>
          <w:sz w:val="22"/>
          <w:szCs w:val="22"/>
        </w:rPr>
        <w:t>and so is unlikely to be a solution for children’s nursing</w:t>
      </w:r>
      <w:r w:rsidR="00C010E4">
        <w:rPr>
          <w:rFonts w:ascii="Arial" w:hAnsi="Arial" w:cs="Arial"/>
          <w:color w:val="0B0B0B"/>
          <w:sz w:val="22"/>
          <w:szCs w:val="22"/>
        </w:rPr>
        <w:t>, where placements are limited</w:t>
      </w:r>
      <w:r>
        <w:rPr>
          <w:rFonts w:ascii="Arial" w:hAnsi="Arial" w:cs="Arial"/>
          <w:color w:val="0B0B0B"/>
          <w:sz w:val="22"/>
          <w:szCs w:val="22"/>
        </w:rPr>
        <w:t xml:space="preserve">. </w:t>
      </w:r>
    </w:p>
    <w:p w14:paraId="6E86DDFC" w14:textId="77777777" w:rsidR="0072365B" w:rsidRDefault="0072365B" w:rsidP="003451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</w:p>
    <w:p w14:paraId="47526994" w14:textId="073A3BD9" w:rsidR="004B0FCF" w:rsidRPr="00300698" w:rsidRDefault="006252B8" w:rsidP="0027002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00698">
        <w:rPr>
          <w:rFonts w:ascii="Arial" w:hAnsi="Arial" w:cs="Arial"/>
          <w:color w:val="0B0B0B"/>
          <w:sz w:val="22"/>
          <w:szCs w:val="22"/>
        </w:rPr>
        <w:t>In an earlier editorial (</w:t>
      </w:r>
      <w:r w:rsidR="00E97E6E">
        <w:rPr>
          <w:rFonts w:ascii="Arial" w:hAnsi="Arial" w:cs="Arial"/>
          <w:color w:val="0B0B0B"/>
          <w:sz w:val="22"/>
          <w:szCs w:val="22"/>
        </w:rPr>
        <w:t>3</w:t>
      </w:r>
      <w:r w:rsidRPr="00300698">
        <w:rPr>
          <w:rFonts w:ascii="Arial" w:hAnsi="Arial" w:cs="Arial"/>
          <w:color w:val="0B0B0B"/>
          <w:sz w:val="22"/>
          <w:szCs w:val="22"/>
        </w:rPr>
        <w:t xml:space="preserve">) I reflected that </w:t>
      </w:r>
      <w:r w:rsidR="002364CE">
        <w:rPr>
          <w:rFonts w:ascii="Arial" w:hAnsi="Arial" w:cs="Arial"/>
          <w:sz w:val="22"/>
          <w:szCs w:val="22"/>
        </w:rPr>
        <w:t>nursing students in Canada</w:t>
      </w:r>
      <w:r w:rsidRPr="00300698">
        <w:rPr>
          <w:rFonts w:ascii="Arial" w:hAnsi="Arial" w:cs="Arial"/>
          <w:sz w:val="22"/>
          <w:szCs w:val="22"/>
        </w:rPr>
        <w:t xml:space="preserve"> pay</w:t>
      </w:r>
      <w:r w:rsidR="002364CE">
        <w:rPr>
          <w:rFonts w:ascii="Arial" w:hAnsi="Arial" w:cs="Arial"/>
          <w:sz w:val="22"/>
          <w:szCs w:val="22"/>
        </w:rPr>
        <w:t xml:space="preserve"> </w:t>
      </w:r>
      <w:r w:rsidRPr="00300698">
        <w:rPr>
          <w:rFonts w:ascii="Arial" w:hAnsi="Arial" w:cs="Arial"/>
          <w:sz w:val="22"/>
          <w:szCs w:val="22"/>
        </w:rPr>
        <w:t>their course fees, and do not receive a bursary to cover their living expenses. So would it be catastrophic if this was to happen in the UK? Do we need a change of societal attitude in the UK in relation to funding for degrees? Do we need to accept that we can no longer afford to fund students’ degree level education?</w:t>
      </w:r>
      <w:r w:rsidR="0034519E">
        <w:rPr>
          <w:rFonts w:ascii="Arial" w:hAnsi="Arial" w:cs="Arial"/>
          <w:sz w:val="22"/>
          <w:szCs w:val="22"/>
        </w:rPr>
        <w:t xml:space="preserve"> </w:t>
      </w:r>
      <w:r w:rsidR="004B0FCF">
        <w:rPr>
          <w:rFonts w:ascii="Arial" w:hAnsi="Arial" w:cs="Arial"/>
          <w:sz w:val="22"/>
          <w:szCs w:val="22"/>
        </w:rPr>
        <w:t>Should</w:t>
      </w:r>
      <w:r w:rsidR="0034519E">
        <w:rPr>
          <w:rFonts w:ascii="Arial" w:hAnsi="Arial" w:cs="Arial"/>
          <w:sz w:val="22"/>
          <w:szCs w:val="22"/>
        </w:rPr>
        <w:t xml:space="preserve"> nursing students be treated differently</w:t>
      </w:r>
      <w:r w:rsidR="004B0FCF">
        <w:rPr>
          <w:rFonts w:ascii="Arial" w:hAnsi="Arial" w:cs="Arial"/>
          <w:sz w:val="22"/>
          <w:szCs w:val="22"/>
        </w:rPr>
        <w:t>?</w:t>
      </w:r>
    </w:p>
    <w:p w14:paraId="6016B684" w14:textId="77777777" w:rsidR="0027002B" w:rsidRDefault="0027002B" w:rsidP="003451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</w:p>
    <w:p w14:paraId="04C0AA75" w14:textId="62A8F522" w:rsidR="004B0FCF" w:rsidRPr="004B0FCF" w:rsidRDefault="007B226F" w:rsidP="003451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I</w:t>
      </w:r>
      <w:r w:rsidR="00DD4225">
        <w:rPr>
          <w:rFonts w:ascii="Arial" w:hAnsi="Arial" w:cs="Arial"/>
          <w:color w:val="0B0B0B"/>
          <w:sz w:val="22"/>
          <w:szCs w:val="22"/>
        </w:rPr>
        <w:t>t is timely to review the financing of nursing courses</w:t>
      </w:r>
      <w:r>
        <w:rPr>
          <w:rFonts w:ascii="Arial" w:hAnsi="Arial" w:cs="Arial"/>
          <w:color w:val="0B0B0B"/>
          <w:sz w:val="22"/>
          <w:szCs w:val="22"/>
        </w:rPr>
        <w:t xml:space="preserve"> but </w:t>
      </w:r>
      <w:r w:rsidR="004B0FCF" w:rsidRPr="004B0FCF">
        <w:rPr>
          <w:rFonts w:ascii="Arial" w:hAnsi="Arial" w:cs="Arial"/>
          <w:color w:val="0B0B0B"/>
          <w:sz w:val="22"/>
          <w:szCs w:val="22"/>
        </w:rPr>
        <w:t>we need to ask:</w:t>
      </w:r>
    </w:p>
    <w:p w14:paraId="11B5D034" w14:textId="65048788" w:rsidR="004B0FCF" w:rsidRDefault="004B0FCF" w:rsidP="004B0FC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Should those on nursing and midwifery courses be treated differently from other students in terms of student finance?</w:t>
      </w:r>
    </w:p>
    <w:p w14:paraId="16955FE9" w14:textId="7C066DBC" w:rsidR="007B226F" w:rsidRDefault="007B226F" w:rsidP="004B0FC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Will the changes in financing mean students are less likely to experience financial hardship?</w:t>
      </w:r>
    </w:p>
    <w:p w14:paraId="1F91DA69" w14:textId="77777777" w:rsidR="00EC426D" w:rsidRDefault="00EC426D" w:rsidP="0027002B">
      <w:pPr>
        <w:jc w:val="both"/>
        <w:rPr>
          <w:rFonts w:ascii="Arial" w:hAnsi="Arial" w:cs="Arial"/>
          <w:b/>
          <w:sz w:val="22"/>
          <w:szCs w:val="22"/>
        </w:rPr>
      </w:pPr>
    </w:p>
    <w:p w14:paraId="1C5B985A" w14:textId="310F8E88" w:rsidR="00F20EF0" w:rsidRPr="004506B3" w:rsidRDefault="00300698" w:rsidP="0034519E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506B3">
        <w:rPr>
          <w:rFonts w:ascii="Arial" w:hAnsi="Arial" w:cs="Arial"/>
          <w:b/>
          <w:sz w:val="22"/>
          <w:szCs w:val="22"/>
        </w:rPr>
        <w:t xml:space="preserve">References </w:t>
      </w:r>
    </w:p>
    <w:p w14:paraId="1941A4B8" w14:textId="15FB7733" w:rsidR="002F43F1" w:rsidRPr="007B226F" w:rsidRDefault="00E97E6E" w:rsidP="007B226F">
      <w:pPr>
        <w:widowControl w:val="0"/>
        <w:autoSpaceDE w:val="0"/>
        <w:autoSpaceDN w:val="0"/>
        <w:adjustRightInd w:val="0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 xml:space="preserve">1. </w:t>
      </w:r>
      <w:r w:rsidR="002F43F1" w:rsidRPr="007B226F">
        <w:rPr>
          <w:rFonts w:ascii="Arial" w:hAnsi="Arial" w:cs="Arial"/>
          <w:color w:val="0B0B0B"/>
          <w:sz w:val="22"/>
          <w:szCs w:val="22"/>
        </w:rPr>
        <w:t xml:space="preserve">Council of Deans of Health </w:t>
      </w:r>
      <w:r w:rsidR="007B226F">
        <w:rPr>
          <w:rFonts w:ascii="Arial" w:hAnsi="Arial" w:cs="Arial"/>
          <w:color w:val="0B0B0B"/>
          <w:sz w:val="22"/>
          <w:szCs w:val="22"/>
        </w:rPr>
        <w:t>(</w:t>
      </w:r>
      <w:r w:rsidR="002F43F1" w:rsidRPr="007B226F">
        <w:rPr>
          <w:rFonts w:ascii="Arial" w:hAnsi="Arial" w:cs="Arial"/>
          <w:color w:val="0B0B0B"/>
          <w:sz w:val="22"/>
          <w:szCs w:val="22"/>
        </w:rPr>
        <w:t>2014</w:t>
      </w:r>
      <w:r w:rsidR="007B226F">
        <w:rPr>
          <w:rFonts w:ascii="Arial" w:hAnsi="Arial" w:cs="Arial"/>
          <w:color w:val="0B0B0B"/>
          <w:sz w:val="22"/>
          <w:szCs w:val="22"/>
        </w:rPr>
        <w:t xml:space="preserve">) </w:t>
      </w:r>
      <w:r w:rsidR="007B226F" w:rsidRPr="007B226F">
        <w:rPr>
          <w:rFonts w:ascii="Arial" w:hAnsi="Arial" w:cs="Arial"/>
          <w:i/>
          <w:sz w:val="22"/>
          <w:szCs w:val="22"/>
          <w:lang w:val="en-US"/>
        </w:rPr>
        <w:t>Nursing, Midwifery and AHP Pre-registration Education: The Funding Gap – Briefing Paper</w:t>
      </w:r>
      <w:r w:rsidR="007B226F" w:rsidRPr="007B226F">
        <w:rPr>
          <w:rFonts w:ascii="Arial" w:hAnsi="Arial" w:cs="Arial"/>
          <w:sz w:val="22"/>
          <w:szCs w:val="22"/>
          <w:lang w:val="en-US"/>
        </w:rPr>
        <w:t xml:space="preserve">, </w:t>
      </w:r>
      <w:r w:rsidR="007B226F" w:rsidRPr="007B226F">
        <w:rPr>
          <w:rFonts w:ascii="Arial" w:hAnsi="Arial" w:cs="Arial"/>
          <w:color w:val="0B0B0B"/>
          <w:sz w:val="22"/>
          <w:szCs w:val="22"/>
        </w:rPr>
        <w:t>Council of Deans of Health, London</w:t>
      </w:r>
    </w:p>
    <w:p w14:paraId="1BAAB738" w14:textId="77777777" w:rsidR="002F43F1" w:rsidRDefault="002F43F1" w:rsidP="0034519E">
      <w:pPr>
        <w:autoSpaceDE w:val="0"/>
        <w:autoSpaceDN w:val="0"/>
        <w:adjustRightInd w:val="0"/>
        <w:rPr>
          <w:rFonts w:ascii="Arial" w:hAnsi="Arial" w:cs="Arial"/>
          <w:color w:val="0B0B0B"/>
          <w:sz w:val="22"/>
          <w:szCs w:val="22"/>
        </w:rPr>
      </w:pPr>
    </w:p>
    <w:p w14:paraId="66C039E3" w14:textId="37157AA5" w:rsidR="00E97E6E" w:rsidRPr="007B226F" w:rsidRDefault="00E97E6E" w:rsidP="00E97E6E">
      <w:pPr>
        <w:widowControl w:val="0"/>
        <w:autoSpaceDE w:val="0"/>
        <w:autoSpaceDN w:val="0"/>
        <w:adjustRightInd w:val="0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 xml:space="preserve">2. </w:t>
      </w:r>
      <w:r w:rsidRPr="007B226F">
        <w:rPr>
          <w:rFonts w:ascii="Arial" w:hAnsi="Arial" w:cs="Arial"/>
          <w:color w:val="0B0B0B"/>
          <w:sz w:val="22"/>
          <w:szCs w:val="22"/>
        </w:rPr>
        <w:t xml:space="preserve">Council of Deans of Health </w:t>
      </w:r>
      <w:r>
        <w:rPr>
          <w:rFonts w:ascii="Arial" w:hAnsi="Arial" w:cs="Arial"/>
          <w:color w:val="0B0B0B"/>
          <w:sz w:val="22"/>
          <w:szCs w:val="22"/>
        </w:rPr>
        <w:t>(</w:t>
      </w:r>
      <w:r w:rsidRPr="007B226F">
        <w:rPr>
          <w:rFonts w:ascii="Arial" w:hAnsi="Arial" w:cs="Arial"/>
          <w:color w:val="0B0B0B"/>
          <w:sz w:val="22"/>
          <w:szCs w:val="22"/>
        </w:rPr>
        <w:t>201</w:t>
      </w:r>
      <w:r>
        <w:rPr>
          <w:rFonts w:ascii="Arial" w:hAnsi="Arial" w:cs="Arial"/>
          <w:color w:val="0B0B0B"/>
          <w:sz w:val="22"/>
          <w:szCs w:val="22"/>
        </w:rPr>
        <w:t xml:space="preserve">5) </w:t>
      </w:r>
      <w:r>
        <w:rPr>
          <w:rFonts w:ascii="Arial" w:hAnsi="Arial" w:cs="Arial"/>
          <w:i/>
          <w:sz w:val="22"/>
          <w:szCs w:val="22"/>
          <w:lang w:val="en-US"/>
        </w:rPr>
        <w:t>Reforming initial education funding for nursing, midwifery and AHP students in England</w:t>
      </w:r>
      <w:r w:rsidRPr="007B226F">
        <w:rPr>
          <w:rFonts w:ascii="Arial" w:hAnsi="Arial" w:cs="Arial"/>
          <w:sz w:val="22"/>
          <w:szCs w:val="22"/>
          <w:lang w:val="en-US"/>
        </w:rPr>
        <w:t xml:space="preserve">, </w:t>
      </w:r>
      <w:r w:rsidRPr="007B226F">
        <w:rPr>
          <w:rFonts w:ascii="Arial" w:hAnsi="Arial" w:cs="Arial"/>
          <w:color w:val="0B0B0B"/>
          <w:sz w:val="22"/>
          <w:szCs w:val="22"/>
        </w:rPr>
        <w:t>Council of Deans of Health, London</w:t>
      </w:r>
    </w:p>
    <w:p w14:paraId="7779B804" w14:textId="77777777" w:rsidR="00E97E6E" w:rsidRDefault="00E97E6E" w:rsidP="003451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A0BA3D" w14:textId="77777777" w:rsidR="00E97E6E" w:rsidRPr="00610827" w:rsidRDefault="00E97E6E" w:rsidP="00E97E6E">
      <w:pPr>
        <w:spacing w:after="240"/>
        <w:ind w:right="11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E525CF">
        <w:rPr>
          <w:rFonts w:ascii="Arial" w:hAnsi="Arial" w:cs="Arial"/>
          <w:bCs/>
          <w:sz w:val="22"/>
          <w:szCs w:val="22"/>
        </w:rPr>
        <w:t xml:space="preserve">Twycross, A. (2011) Let’s talk about nursing, </w:t>
      </w:r>
      <w:r w:rsidRPr="00E525CF">
        <w:rPr>
          <w:rFonts w:ascii="Arial" w:hAnsi="Arial" w:cs="Arial"/>
          <w:bCs/>
          <w:i/>
          <w:sz w:val="22"/>
          <w:szCs w:val="22"/>
        </w:rPr>
        <w:t xml:space="preserve">Evidence-Based Nursing, </w:t>
      </w:r>
      <w:r w:rsidRPr="00E525CF">
        <w:rPr>
          <w:rFonts w:ascii="Arial" w:hAnsi="Arial" w:cs="Arial"/>
          <w:bCs/>
          <w:sz w:val="22"/>
          <w:szCs w:val="22"/>
        </w:rPr>
        <w:t>14(4): 95-96.</w:t>
      </w:r>
    </w:p>
    <w:p w14:paraId="6187E12B" w14:textId="77777777" w:rsidR="00C010E4" w:rsidRPr="00C010E4" w:rsidRDefault="00C010E4" w:rsidP="0027002B">
      <w:pPr>
        <w:pStyle w:val="NormalWeb"/>
        <w:spacing w:before="0" w:beforeAutospacing="0" w:after="0" w:afterAutospacing="0" w:line="480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19BB0730" w14:textId="77777777" w:rsidR="00423CC8" w:rsidRPr="00300698" w:rsidRDefault="00423CC8" w:rsidP="0034519E">
      <w:pPr>
        <w:pStyle w:val="NormalWeb"/>
        <w:spacing w:before="0" w:beforeAutospacing="0" w:after="0" w:afterAutospacing="0" w:line="480" w:lineRule="auto"/>
        <w:rPr>
          <w:rFonts w:ascii="Arial" w:hAnsi="Arial"/>
          <w:sz w:val="22"/>
          <w:szCs w:val="22"/>
        </w:rPr>
      </w:pPr>
    </w:p>
    <w:p w14:paraId="6043C90E" w14:textId="77777777" w:rsidR="002B68CB" w:rsidRPr="00300698" w:rsidRDefault="002B68CB" w:rsidP="0034519E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2B68CB" w:rsidRPr="00300698" w:rsidSect="009B3167">
      <w:footerReference w:type="even" r:id="rId10"/>
      <w:footerReference w:type="default" r:id="rId11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45B60" w14:textId="77777777" w:rsidR="002364CE" w:rsidRDefault="002364CE" w:rsidP="004B0FCF">
      <w:r>
        <w:separator/>
      </w:r>
    </w:p>
  </w:endnote>
  <w:endnote w:type="continuationSeparator" w:id="0">
    <w:p w14:paraId="0B977E58" w14:textId="77777777" w:rsidR="002364CE" w:rsidRDefault="002364CE" w:rsidP="004B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0CF7D" w14:textId="77777777" w:rsidR="002364CE" w:rsidRDefault="002364CE" w:rsidP="00B82B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A44DD" w14:textId="77777777" w:rsidR="002364CE" w:rsidRDefault="002364CE" w:rsidP="004B0F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E1D3" w14:textId="77777777" w:rsidR="002364CE" w:rsidRPr="004B0FCF" w:rsidRDefault="002364CE" w:rsidP="00B82BF3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4B0FCF">
      <w:rPr>
        <w:rStyle w:val="PageNumber"/>
        <w:rFonts w:ascii="Arial" w:hAnsi="Arial"/>
        <w:sz w:val="20"/>
        <w:szCs w:val="20"/>
      </w:rPr>
      <w:fldChar w:fldCharType="begin"/>
    </w:r>
    <w:r w:rsidRPr="004B0FCF">
      <w:rPr>
        <w:rStyle w:val="PageNumber"/>
        <w:rFonts w:ascii="Arial" w:hAnsi="Arial"/>
        <w:sz w:val="20"/>
        <w:szCs w:val="20"/>
      </w:rPr>
      <w:instrText xml:space="preserve">PAGE  </w:instrText>
    </w:r>
    <w:r w:rsidRPr="004B0FCF">
      <w:rPr>
        <w:rStyle w:val="PageNumber"/>
        <w:rFonts w:ascii="Arial" w:hAnsi="Arial"/>
        <w:sz w:val="20"/>
        <w:szCs w:val="20"/>
      </w:rPr>
      <w:fldChar w:fldCharType="separate"/>
    </w:r>
    <w:r w:rsidR="00D6298C">
      <w:rPr>
        <w:rStyle w:val="PageNumber"/>
        <w:rFonts w:ascii="Arial" w:hAnsi="Arial"/>
        <w:noProof/>
        <w:sz w:val="20"/>
        <w:szCs w:val="20"/>
      </w:rPr>
      <w:t>1</w:t>
    </w:r>
    <w:r w:rsidRPr="004B0FCF">
      <w:rPr>
        <w:rStyle w:val="PageNumber"/>
        <w:rFonts w:ascii="Arial" w:hAnsi="Arial"/>
        <w:sz w:val="20"/>
        <w:szCs w:val="20"/>
      </w:rPr>
      <w:fldChar w:fldCharType="end"/>
    </w:r>
  </w:p>
  <w:p w14:paraId="30356E44" w14:textId="77777777" w:rsidR="002364CE" w:rsidRDefault="002364CE" w:rsidP="004B0F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F757F" w14:textId="77777777" w:rsidR="002364CE" w:rsidRDefault="002364CE" w:rsidP="004B0FCF">
      <w:r>
        <w:separator/>
      </w:r>
    </w:p>
  </w:footnote>
  <w:footnote w:type="continuationSeparator" w:id="0">
    <w:p w14:paraId="0B24206F" w14:textId="77777777" w:rsidR="002364CE" w:rsidRDefault="002364CE" w:rsidP="004B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3F0E358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F7788"/>
    <w:multiLevelType w:val="hybridMultilevel"/>
    <w:tmpl w:val="EF0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51F4F"/>
    <w:multiLevelType w:val="hybridMultilevel"/>
    <w:tmpl w:val="AFA4CF0A"/>
    <w:lvl w:ilvl="0" w:tplc="00000065">
      <w:start w:val="1"/>
      <w:numFmt w:val="bullet"/>
      <w:lvlText w:val="◦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7769D"/>
    <w:multiLevelType w:val="hybridMultilevel"/>
    <w:tmpl w:val="49E4FC9E"/>
    <w:lvl w:ilvl="0" w:tplc="00000065">
      <w:start w:val="1"/>
      <w:numFmt w:val="bullet"/>
      <w:lvlText w:val="◦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77487"/>
    <w:multiLevelType w:val="hybridMultilevel"/>
    <w:tmpl w:val="1B8C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E5E2E"/>
    <w:multiLevelType w:val="hybridMultilevel"/>
    <w:tmpl w:val="BA0C1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C0C6C"/>
    <w:multiLevelType w:val="hybridMultilevel"/>
    <w:tmpl w:val="10BAF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D1394"/>
    <w:multiLevelType w:val="hybridMultilevel"/>
    <w:tmpl w:val="8318B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677A06"/>
    <w:multiLevelType w:val="hybridMultilevel"/>
    <w:tmpl w:val="068201AE"/>
    <w:lvl w:ilvl="0" w:tplc="ECCE619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F30E03"/>
    <w:multiLevelType w:val="hybridMultilevel"/>
    <w:tmpl w:val="5ABEA278"/>
    <w:lvl w:ilvl="0" w:tplc="00000065">
      <w:start w:val="1"/>
      <w:numFmt w:val="bullet"/>
      <w:lvlText w:val="◦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43100F"/>
    <w:multiLevelType w:val="hybridMultilevel"/>
    <w:tmpl w:val="2C9E1732"/>
    <w:lvl w:ilvl="0" w:tplc="ECCE61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B0"/>
    <w:rsid w:val="00005968"/>
    <w:rsid w:val="00027D4F"/>
    <w:rsid w:val="00055862"/>
    <w:rsid w:val="00080FF4"/>
    <w:rsid w:val="00097347"/>
    <w:rsid w:val="000B440A"/>
    <w:rsid w:val="000D61D5"/>
    <w:rsid w:val="001C6B68"/>
    <w:rsid w:val="002364CE"/>
    <w:rsid w:val="00244292"/>
    <w:rsid w:val="0027002B"/>
    <w:rsid w:val="00276BFA"/>
    <w:rsid w:val="002B68CB"/>
    <w:rsid w:val="002F43F1"/>
    <w:rsid w:val="00300698"/>
    <w:rsid w:val="00304150"/>
    <w:rsid w:val="00321DBE"/>
    <w:rsid w:val="00334296"/>
    <w:rsid w:val="0034519E"/>
    <w:rsid w:val="004112E7"/>
    <w:rsid w:val="00423CC8"/>
    <w:rsid w:val="004506B3"/>
    <w:rsid w:val="00473AD1"/>
    <w:rsid w:val="004A4A7C"/>
    <w:rsid w:val="004B0FCF"/>
    <w:rsid w:val="004C1166"/>
    <w:rsid w:val="004C3926"/>
    <w:rsid w:val="0054567F"/>
    <w:rsid w:val="00562952"/>
    <w:rsid w:val="005652C6"/>
    <w:rsid w:val="005879DB"/>
    <w:rsid w:val="005E6949"/>
    <w:rsid w:val="005F31DE"/>
    <w:rsid w:val="00610827"/>
    <w:rsid w:val="0061110F"/>
    <w:rsid w:val="00622B4D"/>
    <w:rsid w:val="006252B8"/>
    <w:rsid w:val="006A4F93"/>
    <w:rsid w:val="006A6F7C"/>
    <w:rsid w:val="007054FA"/>
    <w:rsid w:val="0072365B"/>
    <w:rsid w:val="00773CCA"/>
    <w:rsid w:val="007B226F"/>
    <w:rsid w:val="008665AC"/>
    <w:rsid w:val="0099039C"/>
    <w:rsid w:val="009B3167"/>
    <w:rsid w:val="009F1156"/>
    <w:rsid w:val="00A32B6D"/>
    <w:rsid w:val="00A60926"/>
    <w:rsid w:val="00A846DB"/>
    <w:rsid w:val="00AD5EF7"/>
    <w:rsid w:val="00AF0B2B"/>
    <w:rsid w:val="00B14493"/>
    <w:rsid w:val="00B16D99"/>
    <w:rsid w:val="00B215B0"/>
    <w:rsid w:val="00B8006D"/>
    <w:rsid w:val="00B82BF3"/>
    <w:rsid w:val="00C010E4"/>
    <w:rsid w:val="00C327B6"/>
    <w:rsid w:val="00C56A2C"/>
    <w:rsid w:val="00C71A10"/>
    <w:rsid w:val="00C7293F"/>
    <w:rsid w:val="00CF555D"/>
    <w:rsid w:val="00D01BE9"/>
    <w:rsid w:val="00D15F34"/>
    <w:rsid w:val="00D601C4"/>
    <w:rsid w:val="00D6298C"/>
    <w:rsid w:val="00D91DEF"/>
    <w:rsid w:val="00DD4225"/>
    <w:rsid w:val="00E21A91"/>
    <w:rsid w:val="00E638A9"/>
    <w:rsid w:val="00E700BE"/>
    <w:rsid w:val="00E97E6E"/>
    <w:rsid w:val="00EC426D"/>
    <w:rsid w:val="00F20EF0"/>
    <w:rsid w:val="00F46B0D"/>
    <w:rsid w:val="00F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A4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05"/>
    <w:rPr>
      <w:rFonts w:ascii="Lucida Grande" w:hAnsi="Lucida Grande" w:cs="Lucida Grande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5F31DE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1DE"/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9903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8CB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3C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6B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4429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92"/>
    <w:rPr>
      <w:rFonts w:ascii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92"/>
    <w:rPr>
      <w:rFonts w:ascii="Arial" w:hAnsi="Arial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0FCF"/>
  </w:style>
  <w:style w:type="paragraph" w:styleId="Header">
    <w:name w:val="header"/>
    <w:basedOn w:val="Normal"/>
    <w:link w:val="HeaderChar"/>
    <w:uiPriority w:val="99"/>
    <w:unhideWhenUsed/>
    <w:rsid w:val="004B0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C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05"/>
    <w:rPr>
      <w:rFonts w:ascii="Lucida Grande" w:hAnsi="Lucida Grande" w:cs="Lucida Grande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5F31DE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1DE"/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9903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8CB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3C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6B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4429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92"/>
    <w:rPr>
      <w:rFonts w:ascii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92"/>
    <w:rPr>
      <w:rFonts w:ascii="Arial" w:hAnsi="Arial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B0FCF"/>
  </w:style>
  <w:style w:type="paragraph" w:styleId="Header">
    <w:name w:val="header"/>
    <w:basedOn w:val="Normal"/>
    <w:link w:val="HeaderChar"/>
    <w:uiPriority w:val="99"/>
    <w:unhideWhenUsed/>
    <w:rsid w:val="004B0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v.uk/nhs-bursaries" TargetMode="External"/><Relationship Id="rId9" Type="http://schemas.openxmlformats.org/officeDocument/2006/relationships/hyperlink" Target="http://www.studentloanrepayment.co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4208</Characters>
  <Application>Microsoft Macintosh Word</Application>
  <DocSecurity>0</DocSecurity>
  <Lines>35</Lines>
  <Paragraphs>9</Paragraphs>
  <ScaleCrop>false</ScaleCrop>
  <Company>Kingston University London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Twycross</dc:creator>
  <cp:keywords/>
  <dc:description/>
  <cp:lastModifiedBy>a twycross</cp:lastModifiedBy>
  <cp:revision>2</cp:revision>
  <cp:lastPrinted>2015-10-29T17:26:00Z</cp:lastPrinted>
  <dcterms:created xsi:type="dcterms:W3CDTF">2015-10-30T07:40:00Z</dcterms:created>
  <dcterms:modified xsi:type="dcterms:W3CDTF">2015-10-30T07:40:00Z</dcterms:modified>
</cp:coreProperties>
</file>