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90" w:rsidRDefault="00122EDE" w:rsidP="007F54C2">
      <w:pPr>
        <w:pStyle w:val="Title"/>
      </w:pPr>
      <w:r>
        <w:t>Verdictive Foresight</w:t>
      </w:r>
    </w:p>
    <w:p w:rsidR="00122EDE" w:rsidRPr="00F45BA3" w:rsidRDefault="00122EDE" w:rsidP="00E058AA">
      <w:pPr>
        <w:pStyle w:val="Subtitle"/>
        <w:spacing w:after="200"/>
        <w:rPr>
          <w:rFonts w:ascii="Doves Type" w:hAnsi="Doves Type"/>
        </w:rPr>
      </w:pPr>
      <w:r w:rsidRPr="00F45BA3">
        <w:rPr>
          <w:rFonts w:ascii="Doves Type" w:hAnsi="Doves Type"/>
        </w:rPr>
        <w:t>Outline</w:t>
      </w:r>
      <w:r w:rsidR="00CD54B1">
        <w:rPr>
          <w:rFonts w:ascii="Doves Type" w:hAnsi="Doves Type"/>
        </w:rPr>
        <w:t xml:space="preserve"> </w:t>
      </w:r>
      <w:r w:rsidRPr="00F45BA3">
        <w:rPr>
          <w:rFonts w:ascii="Doves Type" w:hAnsi="Doves Type"/>
        </w:rPr>
        <w:t>for</w:t>
      </w:r>
      <w:r w:rsidR="00CD54B1">
        <w:rPr>
          <w:rFonts w:ascii="Doves Type" w:hAnsi="Doves Type"/>
        </w:rPr>
        <w:t xml:space="preserve"> Conference of the Society of Legal Scholars</w:t>
      </w:r>
      <w:r w:rsidRPr="00F45BA3">
        <w:rPr>
          <w:rFonts w:ascii="Doves Type" w:hAnsi="Doves Type"/>
        </w:rPr>
        <w:t xml:space="preserve"> 1 September 2015</w:t>
      </w:r>
    </w:p>
    <w:p w:rsidR="00122EDE" w:rsidRPr="00F45BA3" w:rsidRDefault="00122EDE" w:rsidP="00E058AA">
      <w:pPr>
        <w:pStyle w:val="Subtitle"/>
        <w:spacing w:after="200"/>
        <w:rPr>
          <w:rFonts w:ascii="Doves Type" w:hAnsi="Doves Type"/>
          <w:i/>
          <w:smallCaps w:val="0"/>
        </w:rPr>
      </w:pPr>
      <w:r w:rsidRPr="00F45BA3">
        <w:rPr>
          <w:rFonts w:ascii="Doves Type" w:hAnsi="Doves Type"/>
        </w:rPr>
        <w:t xml:space="preserve">Max Weaver </w:t>
      </w:r>
      <w:r w:rsidR="00C76DD3">
        <w:rPr>
          <w:rFonts w:ascii="Doves Type" w:hAnsi="Doves Type"/>
        </w:rPr>
        <w:t>(</w:t>
      </w:r>
      <w:r w:rsidRPr="00F45BA3">
        <w:rPr>
          <w:rFonts w:ascii="Doves Type" w:hAnsi="Doves Type"/>
          <w:i/>
          <w:smallCaps w:val="0"/>
        </w:rPr>
        <w:t>weaverm@lsbu.ac.uk</w:t>
      </w:r>
      <w:r w:rsidR="00C76DD3" w:rsidRPr="00C76DD3">
        <w:rPr>
          <w:rFonts w:ascii="Doves Type" w:hAnsi="Doves Type"/>
          <w:smallCaps w:val="0"/>
        </w:rPr>
        <w:t>)</w:t>
      </w:r>
    </w:p>
    <w:p w:rsidR="00122EDE" w:rsidRDefault="00122EDE" w:rsidP="00122EDE">
      <w:pPr>
        <w:pStyle w:val="Heading1"/>
      </w:pPr>
      <w:r>
        <w:t>Introduction</w:t>
      </w:r>
    </w:p>
    <w:p w:rsidR="00122EDE" w:rsidRDefault="00762CDB" w:rsidP="00122EDE">
      <w:r>
        <w:t xml:space="preserve">Last week, </w:t>
      </w:r>
      <w:r w:rsidR="00122EDE">
        <w:t xml:space="preserve">I foresaw </w:t>
      </w:r>
      <w:r w:rsidR="000C770F">
        <w:t>a</w:t>
      </w:r>
      <w:r w:rsidR="00122EDE">
        <w:t xml:space="preserve"> risk [R] that this session might go b</w:t>
      </w:r>
      <w:r w:rsidR="00F45BA3">
        <w:t>adly—</w:t>
      </w:r>
      <w:r w:rsidR="00122EDE">
        <w:t>11,</w:t>
      </w:r>
      <w:r w:rsidR="00C76DD3">
        <w:t>000</w:t>
      </w:r>
      <w:r w:rsidR="00122EDE">
        <w:t xml:space="preserve"> word</w:t>
      </w:r>
      <w:r w:rsidR="00F45BA3">
        <w:t>s</w:t>
      </w:r>
      <w:r w:rsidR="00122EDE">
        <w:t xml:space="preserve"> in the paper and </w:t>
      </w:r>
      <w:r w:rsidR="000C770F">
        <w:t xml:space="preserve">only </w:t>
      </w:r>
      <w:r w:rsidR="00122EDE">
        <w:t xml:space="preserve">15-20 minutes to ‘read’ them. If I </w:t>
      </w:r>
      <w:r w:rsidR="001E603C">
        <w:t xml:space="preserve">actually </w:t>
      </w:r>
      <w:r w:rsidR="00122EDE">
        <w:t>foresaw R, it follows that R is foresee</w:t>
      </w:r>
      <w:r w:rsidR="00122EDE" w:rsidRPr="00122EDE">
        <w:rPr>
          <w:i/>
        </w:rPr>
        <w:t>able</w:t>
      </w:r>
      <w:r w:rsidR="00122EDE">
        <w:t xml:space="preserve">. </w:t>
      </w:r>
    </w:p>
    <w:p w:rsidR="001E603C" w:rsidRDefault="00122EDE" w:rsidP="00122EDE">
      <w:r>
        <w:t xml:space="preserve">I might plough on and come to grief. Having </w:t>
      </w:r>
      <w:r w:rsidRPr="00762CDB">
        <w:rPr>
          <w:i/>
        </w:rPr>
        <w:t>foreseen</w:t>
      </w:r>
      <w:r>
        <w:t xml:space="preserve"> R, I </w:t>
      </w:r>
      <w:r w:rsidR="000F334E">
        <w:t xml:space="preserve">would be </w:t>
      </w:r>
      <w:r w:rsidRPr="00762CDB">
        <w:rPr>
          <w:i/>
        </w:rPr>
        <w:t>reckless</w:t>
      </w:r>
      <w:r>
        <w:t xml:space="preserve"> rather than </w:t>
      </w:r>
      <w:r w:rsidRPr="00762CDB">
        <w:rPr>
          <w:i/>
        </w:rPr>
        <w:t>negligent</w:t>
      </w:r>
      <w:r w:rsidR="00762CDB">
        <w:t>. Were</w:t>
      </w:r>
      <w:r>
        <w:t xml:space="preserve"> I </w:t>
      </w:r>
      <w:r w:rsidR="00762CDB">
        <w:t xml:space="preserve">to </w:t>
      </w:r>
      <w:r>
        <w:t xml:space="preserve">tell him about </w:t>
      </w:r>
      <w:r w:rsidR="00762CDB">
        <w:t>that</w:t>
      </w:r>
      <w:r w:rsidR="001E603C">
        <w:t xml:space="preserve"> next week</w:t>
      </w:r>
      <w:r>
        <w:t>, my colle</w:t>
      </w:r>
      <w:r w:rsidR="000C770F">
        <w:t>ague Mike</w:t>
      </w:r>
      <w:r>
        <w:t xml:space="preserve"> might say, ‘</w:t>
      </w:r>
      <w:r w:rsidR="001E603C">
        <w:t>No-one</w:t>
      </w:r>
      <w:r>
        <w:t xml:space="preserve"> can read that </w:t>
      </w:r>
      <w:r w:rsidR="001E603C">
        <w:t xml:space="preserve">sort of </w:t>
      </w:r>
      <w:r>
        <w:t xml:space="preserve">paper in </w:t>
      </w:r>
      <w:r w:rsidR="00F45BA3">
        <w:t xml:space="preserve">such </w:t>
      </w:r>
      <w:r>
        <w:t>a short session’.</w:t>
      </w:r>
      <w:r w:rsidR="001E603C">
        <w:t xml:space="preserve"> </w:t>
      </w:r>
    </w:p>
    <w:p w:rsidR="00122EDE" w:rsidRDefault="001E603C" w:rsidP="000C770F">
      <w:pPr>
        <w:pStyle w:val="ListParagraph"/>
        <w:numPr>
          <w:ilvl w:val="0"/>
          <w:numId w:val="1"/>
        </w:numPr>
        <w:ind w:left="360"/>
      </w:pPr>
      <w:r>
        <w:t xml:space="preserve">That </w:t>
      </w:r>
      <w:r w:rsidR="00C76DD3">
        <w:t>would be</w:t>
      </w:r>
      <w:r>
        <w:t xml:space="preserve"> his ‘verdict’. It </w:t>
      </w:r>
      <w:r w:rsidR="007F54C2">
        <w:t xml:space="preserve">would </w:t>
      </w:r>
      <w:r>
        <w:t xml:space="preserve">reveal none of </w:t>
      </w:r>
      <w:r w:rsidR="007F54C2">
        <w:t>hi</w:t>
      </w:r>
      <w:r>
        <w:t>s reasons</w:t>
      </w:r>
      <w:r w:rsidR="00762CDB">
        <w:t xml:space="preserve"> for making it.</w:t>
      </w:r>
      <w:r w:rsidR="000C770F">
        <w:t xml:space="preserve"> Like Nero’s thumb, in their pure form verdicts do not invoke, imply or allude to reasons </w:t>
      </w:r>
    </w:p>
    <w:p w:rsidR="001E603C" w:rsidRDefault="000C770F" w:rsidP="000C770F">
      <w:pPr>
        <w:pStyle w:val="ListParagraph"/>
        <w:numPr>
          <w:ilvl w:val="0"/>
          <w:numId w:val="1"/>
        </w:numPr>
        <w:ind w:left="360"/>
      </w:pPr>
      <w:r>
        <w:t>His verdict</w:t>
      </w:r>
      <w:r w:rsidR="007F54C2">
        <w:t xml:space="preserve"> is ambivalent. It might mean:</w:t>
      </w:r>
      <w:r w:rsidR="001E603C">
        <w:t xml:space="preserve"> ‘it is physically impossible…’; ‘don’t beat yourself up….’; ‘you ought to have taken more care…</w:t>
      </w:r>
      <w:proofErr w:type="gramStart"/>
      <w:r w:rsidR="001E603C">
        <w:t>’.</w:t>
      </w:r>
      <w:proofErr w:type="gramEnd"/>
    </w:p>
    <w:p w:rsidR="001E603C" w:rsidRDefault="001E603C" w:rsidP="000C770F">
      <w:pPr>
        <w:pStyle w:val="ListParagraph"/>
        <w:numPr>
          <w:ilvl w:val="0"/>
          <w:numId w:val="1"/>
        </w:numPr>
        <w:ind w:left="360"/>
      </w:pPr>
      <w:r>
        <w:t>Context and status matter. If Mike were my manager, his words might be a reprimand and/or an instruction not to do such a stupid thing again.</w:t>
      </w:r>
    </w:p>
    <w:p w:rsidR="00BD6A98" w:rsidRDefault="00BD6A98" w:rsidP="000C770F">
      <w:pPr>
        <w:pStyle w:val="Quote"/>
        <w:ind w:left="360"/>
      </w:pPr>
      <w:r w:rsidRPr="00BD6A98">
        <w:t>‘Thus if you a</w:t>
      </w:r>
      <w:r w:rsidR="007F54C2">
        <w:t>re a judge and say “I hold that..</w:t>
      </w:r>
      <w:r w:rsidRPr="00BD6A98">
        <w:t xml:space="preserve">.” then to say you hold is to hold; </w:t>
      </w:r>
      <w:r w:rsidR="00762CDB">
        <w:rPr>
          <w:i w:val="0"/>
        </w:rPr>
        <w:t xml:space="preserve">[but] </w:t>
      </w:r>
      <w:r w:rsidRPr="00BD6A98">
        <w:t>with less official persons it is not so clearly so: it may be merely descriptive of a state of mind.’</w:t>
      </w:r>
      <w:r w:rsidR="00F45BA3">
        <w:br/>
      </w:r>
      <w:r w:rsidRPr="00BD6A98">
        <w:rPr>
          <w:i w:val="0"/>
        </w:rPr>
        <w:t>(</w:t>
      </w:r>
      <w:r>
        <w:rPr>
          <w:i w:val="0"/>
        </w:rPr>
        <w:t xml:space="preserve">JL Austin, </w:t>
      </w:r>
      <w:r w:rsidR="000C770F">
        <w:t>How to D</w:t>
      </w:r>
      <w:r w:rsidRPr="00BD6A98">
        <w:t>o Things with Words</w:t>
      </w:r>
      <w:r w:rsidR="00F45BA3">
        <w:t xml:space="preserve"> </w:t>
      </w:r>
      <w:r w:rsidR="00F45BA3" w:rsidRPr="00F45BA3">
        <w:rPr>
          <w:i w:val="0"/>
        </w:rPr>
        <w:t xml:space="preserve">(1975, 2nd </w:t>
      </w:r>
      <w:proofErr w:type="spellStart"/>
      <w:r w:rsidR="00F45BA3" w:rsidRPr="00F45BA3">
        <w:rPr>
          <w:i w:val="0"/>
        </w:rPr>
        <w:t>edn</w:t>
      </w:r>
      <w:proofErr w:type="spellEnd"/>
      <w:r w:rsidR="00F45BA3" w:rsidRPr="00F45BA3">
        <w:rPr>
          <w:i w:val="0"/>
        </w:rPr>
        <w:t xml:space="preserve">: Cambridge MS, Harvard University Press) </w:t>
      </w:r>
      <w:r>
        <w:rPr>
          <w:i w:val="0"/>
        </w:rPr>
        <w:t>88</w:t>
      </w:r>
      <w:r w:rsidRPr="00BD6A98">
        <w:rPr>
          <w:i w:val="0"/>
        </w:rPr>
        <w:t>)</w:t>
      </w:r>
    </w:p>
    <w:p w:rsidR="004C6F95" w:rsidRDefault="004C6F95" w:rsidP="004C6F95">
      <w:pPr>
        <w:pStyle w:val="Heading1"/>
      </w:pPr>
      <w:r>
        <w:t>Analytical tools</w:t>
      </w:r>
    </w:p>
    <w:p w:rsidR="00BD5B90" w:rsidRDefault="004C6F95" w:rsidP="004C6F95">
      <w:r w:rsidRPr="00F45BA3">
        <w:rPr>
          <w:rStyle w:val="Heading2Char"/>
        </w:rPr>
        <w:t>Verdictives and JL Austin’s ‘illocutionary force’</w:t>
      </w:r>
      <w:r w:rsidR="00BD5B90">
        <w:t xml:space="preserve"> </w:t>
      </w:r>
    </w:p>
    <w:p w:rsidR="00D060A3" w:rsidRPr="00D060A3" w:rsidRDefault="00394146" w:rsidP="00D060A3">
      <w:pPr>
        <w:pStyle w:val="Quote"/>
        <w:ind w:left="0"/>
      </w:pPr>
      <w:r>
        <w:t>‘To say “</w:t>
      </w:r>
      <w:r w:rsidRPr="00D060A3">
        <w:t>The cat is on the mat</w:t>
      </w:r>
      <w:r>
        <w:t>” is very different from saying “</w:t>
      </w:r>
      <w:r w:rsidRPr="00D060A3">
        <w:t>I apologize</w:t>
      </w:r>
      <w:r>
        <w:t>”…</w:t>
      </w:r>
      <w:r>
        <w:br/>
        <w:t>…</w:t>
      </w:r>
      <w:r w:rsidR="00D060A3" w:rsidRPr="00D060A3">
        <w:t xml:space="preserve">‘With the </w:t>
      </w:r>
      <w:r w:rsidR="00D060A3" w:rsidRPr="00394146">
        <w:rPr>
          <w:u w:val="single"/>
        </w:rPr>
        <w:t>performative</w:t>
      </w:r>
      <w:r w:rsidR="00D060A3" w:rsidRPr="00D060A3">
        <w:t xml:space="preserve"> utterance, we attend as much as possible to the illocutionary force of the </w:t>
      </w:r>
      <w:proofErr w:type="gramStart"/>
      <w:r w:rsidR="00D060A3" w:rsidRPr="00D060A3">
        <w:t>utterance,</w:t>
      </w:r>
      <w:proofErr w:type="gramEnd"/>
      <w:r w:rsidR="00D060A3" w:rsidRPr="00D060A3">
        <w:t xml:space="preserve"> and abstract from the dimension of correspondence with facts.’ </w:t>
      </w:r>
      <w:r w:rsidR="00D060A3" w:rsidRPr="00D060A3">
        <w:rPr>
          <w:i w:val="0"/>
        </w:rPr>
        <w:t>(HTDTWW</w:t>
      </w:r>
      <w:r w:rsidR="00D060A3" w:rsidRPr="00D060A3">
        <w:t xml:space="preserve"> </w:t>
      </w:r>
      <w:r w:rsidR="00D060A3" w:rsidRPr="00D060A3">
        <w:rPr>
          <w:i w:val="0"/>
        </w:rPr>
        <w:t>146)</w:t>
      </w:r>
    </w:p>
    <w:p w:rsidR="00836515" w:rsidRDefault="00836515" w:rsidP="00F45BA3">
      <w:pPr>
        <w:pStyle w:val="Quote"/>
        <w:ind w:left="0"/>
      </w:pPr>
      <w:r w:rsidRPr="00836515">
        <w:t xml:space="preserve">‘A verdict is </w:t>
      </w:r>
      <w:r w:rsidRPr="00BD6A98">
        <w:t>essentially</w:t>
      </w:r>
      <w:r w:rsidRPr="00836515">
        <w:t xml:space="preserve"> giving </w:t>
      </w:r>
      <w:r w:rsidRPr="00394146">
        <w:rPr>
          <w:u w:val="single"/>
        </w:rPr>
        <w:t>a finding</w:t>
      </w:r>
      <w:r w:rsidRPr="00836515">
        <w:t xml:space="preserve"> as to something—fact, or value—which is for different reasons hard to be certain about.’</w:t>
      </w:r>
      <w:r w:rsidR="000C770F">
        <w:t xml:space="preserve"> </w:t>
      </w:r>
      <w:r w:rsidR="00BD6A98" w:rsidRPr="00F45BA3">
        <w:rPr>
          <w:i w:val="0"/>
        </w:rPr>
        <w:t>(HTDWW 151)</w:t>
      </w:r>
    </w:p>
    <w:p w:rsidR="00BD6A98" w:rsidRDefault="00BD6A98" w:rsidP="00F45BA3">
      <w:pPr>
        <w:pStyle w:val="Quote"/>
        <w:ind w:left="0"/>
      </w:pPr>
      <w:r w:rsidRPr="00BD6A98">
        <w:t xml:space="preserve">‘The </w:t>
      </w:r>
      <w:r w:rsidRPr="00394146">
        <w:rPr>
          <w:u w:val="single"/>
        </w:rPr>
        <w:t>total speech act in the total speech situation</w:t>
      </w:r>
      <w:r w:rsidRPr="00BD6A98">
        <w:t xml:space="preserve"> is the only actual phenomenon which, in the last resort, we are engaged in elucidating.’</w:t>
      </w:r>
      <w:r>
        <w:t xml:space="preserve">  </w:t>
      </w:r>
      <w:r w:rsidRPr="004C0B78">
        <w:rPr>
          <w:i w:val="0"/>
        </w:rPr>
        <w:t>(</w:t>
      </w:r>
      <w:r w:rsidRPr="00F45BA3">
        <w:rPr>
          <w:i w:val="0"/>
        </w:rPr>
        <w:t>HTDTWW 148)</w:t>
      </w:r>
    </w:p>
    <w:p w:rsidR="00BD6A98" w:rsidRPr="00BD6A98" w:rsidRDefault="00BD6A98" w:rsidP="00F45BA3">
      <w:pPr>
        <w:pStyle w:val="Quote"/>
        <w:ind w:left="0"/>
        <w:rPr>
          <w:i w:val="0"/>
        </w:rPr>
      </w:pPr>
      <w:r>
        <w:t>‘</w:t>
      </w:r>
      <w:r w:rsidRPr="00BD6A98">
        <w:t xml:space="preserve">By </w:t>
      </w:r>
      <w:r w:rsidRPr="00394146">
        <w:rPr>
          <w:u w:val="single"/>
        </w:rPr>
        <w:t>context</w:t>
      </w:r>
      <w:r w:rsidRPr="00BD6A98">
        <w:t xml:space="preserve"> we mean not only the linguistic environment of the actual words, but the speaker’s and the hearer’s </w:t>
      </w:r>
      <w:r w:rsidRPr="00394146">
        <w:rPr>
          <w:u w:val="single"/>
        </w:rPr>
        <w:t>behaviour</w:t>
      </w:r>
      <w:r w:rsidRPr="00BD6A98">
        <w:t xml:space="preserve">, the </w:t>
      </w:r>
      <w:r w:rsidRPr="00394146">
        <w:rPr>
          <w:u w:val="single"/>
        </w:rPr>
        <w:t>situation</w:t>
      </w:r>
      <w:r w:rsidRPr="00BD6A98">
        <w:t xml:space="preserve"> common to both, and…the horizon of reality surrounding the speech situation.’</w:t>
      </w:r>
      <w:r>
        <w:t xml:space="preserve"> </w:t>
      </w:r>
      <w:r w:rsidR="00F45BA3">
        <w:br/>
      </w:r>
      <w:r w:rsidRPr="00BD6A98">
        <w:rPr>
          <w:i w:val="0"/>
        </w:rPr>
        <w:t xml:space="preserve">(Paul </w:t>
      </w:r>
      <w:proofErr w:type="spellStart"/>
      <w:r w:rsidRPr="00BD6A98">
        <w:rPr>
          <w:i w:val="0"/>
        </w:rPr>
        <w:t>Ric</w:t>
      </w:r>
      <w:r w:rsidR="00223B47">
        <w:rPr>
          <w:i w:val="0"/>
        </w:rPr>
        <w:t>oeur</w:t>
      </w:r>
      <w:proofErr w:type="spellEnd"/>
      <w:r w:rsidR="00223B47">
        <w:rPr>
          <w:i w:val="0"/>
        </w:rPr>
        <w:t>, ‘Creativity in Language’</w:t>
      </w:r>
      <w:r w:rsidR="004C0B78">
        <w:rPr>
          <w:i w:val="0"/>
        </w:rPr>
        <w:t xml:space="preserve"> </w:t>
      </w:r>
      <w:r w:rsidRPr="00BD6A98">
        <w:rPr>
          <w:i w:val="0"/>
        </w:rPr>
        <w:t xml:space="preserve">(1973) 17(2) </w:t>
      </w:r>
      <w:r w:rsidRPr="00F45BA3">
        <w:t>Philosophy Today</w:t>
      </w:r>
      <w:r w:rsidRPr="00BD6A98">
        <w:rPr>
          <w:i w:val="0"/>
        </w:rPr>
        <w:t>, 97-111, 101)</w:t>
      </w:r>
    </w:p>
    <w:p w:rsidR="00BD6A98" w:rsidRPr="00BD6A98" w:rsidRDefault="00BD6A98" w:rsidP="00F45BA3">
      <w:pPr>
        <w:pStyle w:val="Quote"/>
        <w:ind w:left="0"/>
      </w:pPr>
      <w:r>
        <w:t>‘</w:t>
      </w:r>
      <w:r w:rsidRPr="00BD6A98">
        <w:t>‘[T]he sentence as a whole is the bearer of meaning</w:t>
      </w:r>
      <w:proofErr w:type="gramStart"/>
      <w:r w:rsidRPr="00BD6A98">
        <w:t>…[</w:t>
      </w:r>
      <w:proofErr w:type="gramEnd"/>
      <w:r w:rsidRPr="00BD6A98">
        <w:t xml:space="preserve">which] should be called the </w:t>
      </w:r>
      <w:r w:rsidRPr="00394146">
        <w:rPr>
          <w:u w:val="single"/>
        </w:rPr>
        <w:t xml:space="preserve">intended </w:t>
      </w:r>
      <w:r w:rsidRPr="00BD6A98">
        <w:t xml:space="preserve">rather than the </w:t>
      </w:r>
      <w:r w:rsidRPr="00394146">
        <w:rPr>
          <w:u w:val="single"/>
        </w:rPr>
        <w:t>signified</w:t>
      </w:r>
      <w:r w:rsidRPr="00BD6A98">
        <w:t xml:space="preserve"> of the sentence</w:t>
      </w:r>
      <w:r>
        <w:t>.</w:t>
      </w:r>
      <w:r w:rsidRPr="00BD6A98">
        <w:t>’</w:t>
      </w:r>
      <w:r w:rsidR="000C770F">
        <w:t xml:space="preserve"> </w:t>
      </w:r>
      <w:r w:rsidRPr="00BD6A98">
        <w:rPr>
          <w:i w:val="0"/>
        </w:rPr>
        <w:t>(ibid. 99)</w:t>
      </w:r>
    </w:p>
    <w:p w:rsidR="004C6F95" w:rsidRDefault="00BD5B90" w:rsidP="00661D75">
      <w:pPr>
        <w:pStyle w:val="ListParagraph"/>
      </w:pPr>
      <w:proofErr w:type="gramStart"/>
      <w:r>
        <w:t>Is</w:t>
      </w:r>
      <w:proofErr w:type="gramEnd"/>
      <w:r>
        <w:t xml:space="preserve"> ‘I call that negligent’: </w:t>
      </w:r>
      <w:r w:rsidRPr="00661D75">
        <w:t>explanatory</w:t>
      </w:r>
      <w:r>
        <w:t>; condemnatory; or an attribution of responsibility?</w:t>
      </w:r>
    </w:p>
    <w:p w:rsidR="00BD5B90" w:rsidRDefault="00BD5B90" w:rsidP="00661D75">
      <w:pPr>
        <w:pStyle w:val="ListParagraph"/>
      </w:pPr>
      <w:r>
        <w:t xml:space="preserve">Is ‘The Ford Fiesta is the one to have’; a conclusion </w:t>
      </w:r>
      <w:r w:rsidR="007F54C2">
        <w:t xml:space="preserve">made </w:t>
      </w:r>
      <w:r>
        <w:t xml:space="preserve">having read a comparative car test report; or </w:t>
      </w:r>
      <w:r w:rsidR="007F54C2">
        <w:t xml:space="preserve">is it </w:t>
      </w:r>
      <w:r>
        <w:t xml:space="preserve">a commitment to purchase? </w:t>
      </w:r>
      <w:r w:rsidR="009827A4">
        <w:t>Without more, c</w:t>
      </w:r>
      <w:r>
        <w:t>an we tell whether the conclusion favoured fuel economy, drivability, purchase p</w:t>
      </w:r>
      <w:r w:rsidR="009827A4">
        <w:t>r</w:t>
      </w:r>
      <w:r>
        <w:t>ice, reliability</w:t>
      </w:r>
      <w:r w:rsidR="009827A4">
        <w:t>, aesthetics, etc.?</w:t>
      </w:r>
    </w:p>
    <w:p w:rsidR="00F45BA3" w:rsidRDefault="00F45BA3" w:rsidP="00661D75">
      <w:pPr>
        <w:pStyle w:val="ListParagraph"/>
      </w:pPr>
      <w:r w:rsidRPr="00F45BA3">
        <w:t xml:space="preserve">Is ‘I shall be there’ a prediction, </w:t>
      </w:r>
      <w:r w:rsidR="00972A37">
        <w:t xml:space="preserve">a </w:t>
      </w:r>
      <w:r w:rsidRPr="00F45BA3">
        <w:t xml:space="preserve">threat or a promise? </w:t>
      </w:r>
    </w:p>
    <w:p w:rsidR="00C06918" w:rsidRDefault="00C06918" w:rsidP="00661D75">
      <w:pPr>
        <w:pStyle w:val="ListParagraph"/>
      </w:pPr>
      <w:r>
        <w:t>‘I expect my children to behave.’ What does ‘expect’ mean in this sentence and/or its context?</w:t>
      </w:r>
      <w:r w:rsidR="003B19BC">
        <w:t xml:space="preserve"> </w:t>
      </w:r>
      <w:r w:rsidR="00394146">
        <w:br/>
        <w:t>Think: regular/regulation; n</w:t>
      </w:r>
      <w:r w:rsidR="003B19BC">
        <w:t>ormal/normative.</w:t>
      </w:r>
    </w:p>
    <w:p w:rsidR="000C770F" w:rsidRPr="000C770F" w:rsidRDefault="000C770F" w:rsidP="00D060A3">
      <w:pPr>
        <w:keepNext/>
        <w:rPr>
          <w:b/>
        </w:rPr>
      </w:pPr>
      <w:r w:rsidRPr="000C770F">
        <w:rPr>
          <w:b/>
          <w:i/>
        </w:rPr>
        <w:lastRenderedPageBreak/>
        <w:t>Ex ante</w:t>
      </w:r>
      <w:r w:rsidRPr="000C770F">
        <w:rPr>
          <w:b/>
        </w:rPr>
        <w:t xml:space="preserve"> and </w:t>
      </w:r>
      <w:r w:rsidRPr="000C770F">
        <w:rPr>
          <w:b/>
          <w:i/>
        </w:rPr>
        <w:t>ex post</w:t>
      </w:r>
    </w:p>
    <w:p w:rsidR="000C770F" w:rsidRPr="002B6362" w:rsidRDefault="000C770F" w:rsidP="000C770F">
      <w:pPr>
        <w:rPr>
          <w:spacing w:val="-2"/>
        </w:rPr>
      </w:pPr>
      <w:r w:rsidRPr="002B6362">
        <w:rPr>
          <w:spacing w:val="-2"/>
        </w:rPr>
        <w:t>Because t</w:t>
      </w:r>
      <w:r w:rsidRPr="002B6362">
        <w:rPr>
          <w:spacing w:val="-2"/>
        </w:rPr>
        <w:t>hey address particular disputes</w:t>
      </w:r>
      <w:r w:rsidRPr="002B6362">
        <w:rPr>
          <w:spacing w:val="-2"/>
        </w:rPr>
        <w:t>, j</w:t>
      </w:r>
      <w:r w:rsidRPr="002B6362">
        <w:rPr>
          <w:spacing w:val="-2"/>
        </w:rPr>
        <w:t xml:space="preserve">udicial verdicts are predominantly </w:t>
      </w:r>
      <w:r w:rsidRPr="002B6362">
        <w:rPr>
          <w:i/>
          <w:spacing w:val="-2"/>
        </w:rPr>
        <w:t>ex post</w:t>
      </w:r>
      <w:r w:rsidR="002B6362" w:rsidRPr="002B6362">
        <w:rPr>
          <w:i/>
          <w:spacing w:val="-2"/>
        </w:rPr>
        <w:t xml:space="preserve"> facto</w:t>
      </w:r>
      <w:r w:rsidRPr="002B6362">
        <w:rPr>
          <w:spacing w:val="-2"/>
        </w:rPr>
        <w:t>. Exceptions include injunctions, curfews etc. But even these look back in order to predict</w:t>
      </w:r>
      <w:r w:rsidR="00394146">
        <w:rPr>
          <w:spacing w:val="-2"/>
        </w:rPr>
        <w:t xml:space="preserve"> the</w:t>
      </w:r>
      <w:r w:rsidRPr="002B6362">
        <w:rPr>
          <w:spacing w:val="-2"/>
        </w:rPr>
        <w:t xml:space="preserve"> future R.</w:t>
      </w:r>
      <w:r w:rsidRPr="002B6362">
        <w:rPr>
          <w:spacing w:val="-2"/>
        </w:rPr>
        <w:t xml:space="preserve"> Of course, the like cases rule means that judges’ reasoning might, like Parliament’s, be future-oriented</w:t>
      </w:r>
      <w:r w:rsidR="00D060A3" w:rsidRPr="002B6362">
        <w:rPr>
          <w:spacing w:val="-2"/>
        </w:rPr>
        <w:t>. Distinguish: ‘D must pay C’ from ‘the rule is (or from here on will be) that manufacturers must take reasonable care of ultimate consumers’.</w:t>
      </w:r>
    </w:p>
    <w:p w:rsidR="000C770F" w:rsidRDefault="000C770F" w:rsidP="000C770F">
      <w:r>
        <w:t xml:space="preserve">Judicial verdicts can ‘make it so’ that D is responsible in law </w:t>
      </w:r>
      <w:r w:rsidRPr="00D060A3">
        <w:rPr>
          <w:u w:val="single"/>
        </w:rPr>
        <w:t>only because</w:t>
      </w:r>
      <w:r>
        <w:t xml:space="preserve"> judges have the exercisable power to do so. We too can ‘make some things so’: (e.g.) </w:t>
      </w:r>
      <w:r w:rsidR="00D060A3">
        <w:t>by signing</w:t>
      </w:r>
      <w:r>
        <w:t xml:space="preserve"> a contract or </w:t>
      </w:r>
      <w:r w:rsidR="00D060A3">
        <w:t>permitting a</w:t>
      </w:r>
      <w:r>
        <w:t xml:space="preserve"> dentist to remove </w:t>
      </w:r>
      <w:r w:rsidR="00D060A3">
        <w:t>our troublesome too</w:t>
      </w:r>
      <w:r>
        <w:t>th.</w:t>
      </w:r>
    </w:p>
    <w:p w:rsidR="00D060A3" w:rsidRDefault="00D060A3" w:rsidP="00D060A3">
      <w:pPr>
        <w:pStyle w:val="Heading1"/>
      </w:pPr>
      <w:r>
        <w:t>Factive-attributive ambiguity</w:t>
      </w:r>
      <w:r>
        <w:t xml:space="preserve"> </w:t>
      </w:r>
    </w:p>
    <w:p w:rsidR="000211A9" w:rsidRDefault="000211A9" w:rsidP="000211A9">
      <w:r>
        <w:t xml:space="preserve">The </w:t>
      </w:r>
      <w:r w:rsidRPr="000211A9">
        <w:rPr>
          <w:i/>
        </w:rPr>
        <w:t xml:space="preserve">factive </w:t>
      </w:r>
      <w:r>
        <w:t>(</w:t>
      </w:r>
      <w:r>
        <w:t>world-to-word</w:t>
      </w:r>
      <w:r>
        <w:t>) ‘</w:t>
      </w:r>
      <w:r w:rsidR="009827A4">
        <w:t xml:space="preserve">What </w:t>
      </w:r>
      <w:r w:rsidR="009827A4" w:rsidRPr="000211A9">
        <w:rPr>
          <w:i/>
        </w:rPr>
        <w:t>was</w:t>
      </w:r>
      <w:r w:rsidR="009827A4">
        <w:t>/</w:t>
      </w:r>
      <w:r w:rsidR="009827A4" w:rsidRPr="000211A9">
        <w:rPr>
          <w:i/>
        </w:rPr>
        <w:t>is</w:t>
      </w:r>
      <w:r w:rsidR="009827A4">
        <w:t>/</w:t>
      </w:r>
      <w:r w:rsidR="009827A4" w:rsidRPr="000211A9">
        <w:rPr>
          <w:i/>
        </w:rPr>
        <w:t>will be</w:t>
      </w:r>
      <w:r w:rsidR="009827A4">
        <w:t xml:space="preserve"> the case?</w:t>
      </w:r>
      <w:r w:rsidR="00394146">
        <w:t>’</w:t>
      </w:r>
      <w:r w:rsidR="009827A4">
        <w:t xml:space="preserve"> </w:t>
      </w:r>
      <w:r>
        <w:t>p</w:t>
      </w:r>
      <w:r w:rsidR="009827A4">
        <w:t>lays</w:t>
      </w:r>
      <w:r>
        <w:t xml:space="preserve"> the </w:t>
      </w:r>
      <w:r w:rsidRPr="000211A9">
        <w:rPr>
          <w:i/>
        </w:rPr>
        <w:t>attributive</w:t>
      </w:r>
      <w:r w:rsidR="009827A4">
        <w:t xml:space="preserve"> </w:t>
      </w:r>
      <w:r>
        <w:t>(</w:t>
      </w:r>
      <w:r>
        <w:t>wo</w:t>
      </w:r>
      <w:r w:rsidR="00394146">
        <w:t>rd-to-</w:t>
      </w:r>
      <w:r>
        <w:t>world</w:t>
      </w:r>
      <w:r>
        <w:t xml:space="preserve">) </w:t>
      </w:r>
      <w:r w:rsidR="009827A4">
        <w:t>‘</w:t>
      </w:r>
      <w:proofErr w:type="gramStart"/>
      <w:r w:rsidR="009827A4">
        <w:t>What</w:t>
      </w:r>
      <w:proofErr w:type="gramEnd"/>
      <w:r w:rsidR="009827A4">
        <w:t xml:space="preserve"> </w:t>
      </w:r>
      <w:r w:rsidR="009827A4" w:rsidRPr="000211A9">
        <w:rPr>
          <w:i/>
        </w:rPr>
        <w:t>ought to have been</w:t>
      </w:r>
      <w:r w:rsidR="009827A4">
        <w:t>/</w:t>
      </w:r>
      <w:r w:rsidR="009827A4" w:rsidRPr="000211A9">
        <w:rPr>
          <w:i/>
        </w:rPr>
        <w:t>be</w:t>
      </w:r>
      <w:r w:rsidR="009827A4">
        <w:t xml:space="preserve"> the case?’ </w:t>
      </w:r>
      <w:r>
        <w:t>Applied to foreseeability, w</w:t>
      </w:r>
      <w:r w:rsidR="00D060A3">
        <w:t xml:space="preserve">e have to distinguish: </w:t>
      </w:r>
      <w:r w:rsidR="00394146">
        <w:br/>
      </w:r>
      <w:r w:rsidR="00394146">
        <w:tab/>
      </w:r>
      <w:r w:rsidR="00D060A3">
        <w:t>(</w:t>
      </w:r>
      <w:proofErr w:type="spellStart"/>
      <w:r w:rsidR="00D060A3">
        <w:t>i</w:t>
      </w:r>
      <w:proofErr w:type="spellEnd"/>
      <w:r w:rsidR="00D060A3">
        <w:t>) factive fore</w:t>
      </w:r>
      <w:r w:rsidR="00D060A3" w:rsidRPr="00394146">
        <w:rPr>
          <w:u w:val="single"/>
        </w:rPr>
        <w:t>sight</w:t>
      </w:r>
      <w:r w:rsidR="00D060A3">
        <w:t>; (ii) factive foresee</w:t>
      </w:r>
      <w:r w:rsidR="00D060A3" w:rsidRPr="00394146">
        <w:rPr>
          <w:u w:val="single"/>
        </w:rPr>
        <w:t>ability</w:t>
      </w:r>
      <w:r w:rsidR="00D060A3">
        <w:t>; (iii) attributive foresee</w:t>
      </w:r>
      <w:r w:rsidR="00D060A3" w:rsidRPr="00394146">
        <w:rPr>
          <w:u w:val="single"/>
        </w:rPr>
        <w:t>ability</w:t>
      </w:r>
      <w:r w:rsidR="00D060A3">
        <w:t>.</w:t>
      </w:r>
      <w:r w:rsidR="00D060A3">
        <w:t xml:space="preserve"> </w:t>
      </w:r>
    </w:p>
    <w:p w:rsidR="000211A9" w:rsidRDefault="00757295" w:rsidP="000211A9">
      <w:r>
        <w:t>T</w:t>
      </w:r>
      <w:r w:rsidR="000211A9">
        <w:t>he words alone will not distinguish (iii) from (ii) or, sometimes</w:t>
      </w:r>
      <w:r w:rsidR="00DF7CDD">
        <w:t xml:space="preserve">, </w:t>
      </w:r>
      <w:r w:rsidR="000211A9">
        <w:t>(</w:t>
      </w:r>
      <w:proofErr w:type="spellStart"/>
      <w:r w:rsidR="000211A9">
        <w:t>i</w:t>
      </w:r>
      <w:proofErr w:type="spellEnd"/>
      <w:r w:rsidR="000211A9">
        <w:t xml:space="preserve">). </w:t>
      </w:r>
      <w:r>
        <w:t>We need to consider their illocutionary force in order to discern (or construct for ourselves) t</w:t>
      </w:r>
      <w:r w:rsidR="000211A9">
        <w:t>he</w:t>
      </w:r>
      <w:r>
        <w:t>ir</w:t>
      </w:r>
      <w:r w:rsidR="000211A9">
        <w:t xml:space="preserve"> speaker</w:t>
      </w:r>
      <w:r>
        <w:t>’s (or writer’s)</w:t>
      </w:r>
      <w:r w:rsidR="000211A9">
        <w:t xml:space="preserve"> meaning</w:t>
      </w:r>
      <w:r>
        <w:t xml:space="preserve">. The </w:t>
      </w:r>
      <w:r w:rsidR="00DF7CDD">
        <w:t xml:space="preserve">factive-attributive </w:t>
      </w:r>
      <w:r>
        <w:t xml:space="preserve">distinction affects the </w:t>
      </w:r>
      <w:r w:rsidRPr="00DF7CDD">
        <w:rPr>
          <w:u w:val="single"/>
        </w:rPr>
        <w:t>appropriate tests of validity</w:t>
      </w:r>
      <w:r w:rsidR="00DF7CDD">
        <w:t xml:space="preserve"> and, hence, the </w:t>
      </w:r>
      <w:r w:rsidR="00DF7CDD" w:rsidRPr="00DF7CDD">
        <w:rPr>
          <w:u w:val="single"/>
        </w:rPr>
        <w:t>kinds of contributory reasons</w:t>
      </w:r>
      <w:r>
        <w:t>.</w:t>
      </w:r>
    </w:p>
    <w:p w:rsidR="00BD1718" w:rsidRDefault="00BD1718" w:rsidP="000211A9">
      <w:pPr>
        <w:rPr>
          <w:rFonts w:eastAsiaTheme="minorHAnsi"/>
          <w:iCs/>
          <w:szCs w:val="24"/>
        </w:rPr>
      </w:pPr>
      <w:r w:rsidRPr="00E06E34">
        <w:rPr>
          <w:rFonts w:eastAsiaTheme="minorHAnsi"/>
          <w:i/>
          <w:iCs/>
          <w:szCs w:val="24"/>
        </w:rPr>
        <w:t>Factive fores</w:t>
      </w:r>
      <w:r w:rsidRPr="00E06E34">
        <w:rPr>
          <w:rFonts w:eastAsiaTheme="minorHAnsi"/>
          <w:i/>
          <w:iCs/>
          <w:sz w:val="24"/>
          <w:szCs w:val="24"/>
        </w:rPr>
        <w:t xml:space="preserve">ight </w:t>
      </w:r>
      <w:r w:rsidR="00E06E34" w:rsidRPr="00E06E34">
        <w:rPr>
          <w:rFonts w:eastAsiaTheme="minorHAnsi"/>
          <w:i/>
          <w:iCs/>
          <w:sz w:val="24"/>
          <w:szCs w:val="24"/>
        </w:rPr>
        <w:t>verdicts</w:t>
      </w:r>
      <w:r w:rsidR="00E06E34">
        <w:rPr>
          <w:rFonts w:eastAsiaTheme="minorHAnsi"/>
          <w:iCs/>
          <w:sz w:val="24"/>
          <w:szCs w:val="24"/>
        </w:rPr>
        <w:t xml:space="preserve"> </w:t>
      </w:r>
      <w:r w:rsidRPr="00BD1718">
        <w:rPr>
          <w:rFonts w:eastAsiaTheme="minorHAnsi"/>
          <w:iCs/>
          <w:sz w:val="24"/>
          <w:szCs w:val="24"/>
        </w:rPr>
        <w:t>and</w:t>
      </w:r>
      <w:r w:rsidR="000211A9">
        <w:rPr>
          <w:rFonts w:eastAsiaTheme="minorHAnsi"/>
          <w:iCs/>
          <w:sz w:val="24"/>
          <w:szCs w:val="24"/>
        </w:rPr>
        <w:t xml:space="preserve"> </w:t>
      </w:r>
      <w:r w:rsidR="000211A9" w:rsidRPr="000211A9">
        <w:rPr>
          <w:rFonts w:eastAsiaTheme="minorHAnsi"/>
          <w:i/>
          <w:iCs/>
          <w:sz w:val="24"/>
          <w:szCs w:val="24"/>
        </w:rPr>
        <w:t>factive</w:t>
      </w:r>
      <w:r w:rsidRPr="000211A9">
        <w:rPr>
          <w:rFonts w:eastAsiaTheme="minorHAnsi"/>
          <w:i/>
          <w:iCs/>
          <w:sz w:val="24"/>
          <w:szCs w:val="24"/>
        </w:rPr>
        <w:t xml:space="preserve"> </w:t>
      </w:r>
      <w:r w:rsidRPr="00E06E34">
        <w:rPr>
          <w:rFonts w:eastAsiaTheme="minorHAnsi"/>
          <w:i/>
          <w:iCs/>
          <w:sz w:val="24"/>
          <w:szCs w:val="24"/>
        </w:rPr>
        <w:t>foreseeabi</w:t>
      </w:r>
      <w:r w:rsidRPr="00E06E34">
        <w:rPr>
          <w:rFonts w:eastAsiaTheme="minorHAnsi"/>
          <w:i/>
          <w:iCs/>
          <w:szCs w:val="24"/>
        </w:rPr>
        <w:t>lity verdicts</w:t>
      </w:r>
      <w:r>
        <w:rPr>
          <w:rFonts w:eastAsiaTheme="minorHAnsi"/>
          <w:iCs/>
          <w:szCs w:val="24"/>
        </w:rPr>
        <w:t xml:space="preserve"> attempt to describe what was/is the case—albeit with the subjectivity of the describer. </w:t>
      </w:r>
      <w:r w:rsidR="00757295" w:rsidRPr="00757295">
        <w:rPr>
          <w:rFonts w:eastAsiaTheme="minorHAnsi"/>
          <w:iCs/>
          <w:szCs w:val="24"/>
          <w:u w:val="single"/>
        </w:rPr>
        <w:t>The validity test is empirical truth/falsehood</w:t>
      </w:r>
      <w:r w:rsidR="00757295">
        <w:rPr>
          <w:rFonts w:eastAsiaTheme="minorHAnsi"/>
          <w:iCs/>
          <w:szCs w:val="24"/>
        </w:rPr>
        <w:t>.</w:t>
      </w:r>
    </w:p>
    <w:p w:rsidR="00BD1718" w:rsidRPr="00757295" w:rsidRDefault="00757295" w:rsidP="000211A9">
      <w:pPr>
        <w:rPr>
          <w:spacing w:val="-2"/>
          <w:szCs w:val="22"/>
        </w:rPr>
      </w:pPr>
      <w:r>
        <w:rPr>
          <w:rFonts w:eastAsiaTheme="minorHAnsi"/>
          <w:i/>
          <w:iCs/>
          <w:szCs w:val="24"/>
        </w:rPr>
        <w:t>A</w:t>
      </w:r>
      <w:r w:rsidR="00BD1718" w:rsidRPr="00E06E34">
        <w:rPr>
          <w:rFonts w:eastAsiaTheme="minorHAnsi"/>
          <w:i/>
          <w:iCs/>
          <w:szCs w:val="24"/>
        </w:rPr>
        <w:t>ttributive foreseeability</w:t>
      </w:r>
      <w:r w:rsidR="003931B8" w:rsidRPr="00E06E34">
        <w:rPr>
          <w:rStyle w:val="FootnoteReference"/>
        </w:rPr>
        <w:footnoteReference w:id="1"/>
      </w:r>
      <w:r w:rsidR="00BD1718" w:rsidRPr="00E06E34">
        <w:rPr>
          <w:rFonts w:eastAsiaTheme="minorHAnsi"/>
          <w:i/>
          <w:iCs/>
          <w:szCs w:val="24"/>
        </w:rPr>
        <w:t xml:space="preserve"> verdicts</w:t>
      </w:r>
      <w:r w:rsidR="00BD1718">
        <w:rPr>
          <w:rFonts w:eastAsiaTheme="minorHAnsi"/>
          <w:iCs/>
          <w:szCs w:val="24"/>
        </w:rPr>
        <w:t xml:space="preserve"> ‘</w:t>
      </w:r>
      <w:r w:rsidR="00BD1718" w:rsidRPr="00BD1718">
        <w:rPr>
          <w:rFonts w:eastAsiaTheme="minorHAnsi"/>
          <w:i/>
          <w:iCs/>
          <w:szCs w:val="24"/>
        </w:rPr>
        <w:t>make it so</w:t>
      </w:r>
      <w:r w:rsidR="00BD1718">
        <w:rPr>
          <w:rFonts w:eastAsiaTheme="minorHAnsi"/>
          <w:iCs/>
          <w:szCs w:val="24"/>
        </w:rPr>
        <w:t>’ that D is blamed or held responsible</w:t>
      </w:r>
      <w:r w:rsidR="00E06E34">
        <w:rPr>
          <w:rFonts w:eastAsiaTheme="minorHAnsi"/>
          <w:iCs/>
          <w:szCs w:val="24"/>
        </w:rPr>
        <w:t xml:space="preserve">. They </w:t>
      </w:r>
      <w:r w:rsidR="00E06E34" w:rsidRPr="00E06E34">
        <w:rPr>
          <w:rFonts w:eastAsiaTheme="minorHAnsi"/>
          <w:i/>
          <w:iCs/>
          <w:szCs w:val="24"/>
        </w:rPr>
        <w:t>do</w:t>
      </w:r>
      <w:r w:rsidR="00E06E34">
        <w:rPr>
          <w:rFonts w:eastAsiaTheme="minorHAnsi"/>
          <w:iCs/>
          <w:szCs w:val="24"/>
        </w:rPr>
        <w:t xml:space="preserve"> (or </w:t>
      </w:r>
      <w:r w:rsidR="00E06E34" w:rsidRPr="00E06E34">
        <w:rPr>
          <w:rFonts w:eastAsiaTheme="minorHAnsi"/>
          <w:i/>
          <w:iCs/>
          <w:szCs w:val="24"/>
        </w:rPr>
        <w:t>perform</w:t>
      </w:r>
      <w:r w:rsidR="00E06E34">
        <w:rPr>
          <w:rFonts w:eastAsiaTheme="minorHAnsi"/>
          <w:iCs/>
          <w:szCs w:val="24"/>
        </w:rPr>
        <w:t xml:space="preserve">) the blaming and the holding responsible. </w:t>
      </w:r>
      <w:r w:rsidRPr="00757295">
        <w:rPr>
          <w:rFonts w:eastAsiaTheme="minorHAnsi"/>
          <w:iCs/>
          <w:spacing w:val="-2"/>
          <w:szCs w:val="22"/>
        </w:rPr>
        <w:t>They</w:t>
      </w:r>
      <w:r w:rsidR="00BD1718" w:rsidRPr="00757295">
        <w:rPr>
          <w:rFonts w:eastAsiaTheme="minorHAnsi"/>
          <w:iCs/>
          <w:spacing w:val="-2"/>
          <w:szCs w:val="22"/>
        </w:rPr>
        <w:t xml:space="preserve"> </w:t>
      </w:r>
      <w:r w:rsidR="00E06E34" w:rsidRPr="00757295">
        <w:rPr>
          <w:rFonts w:eastAsiaTheme="minorHAnsi"/>
          <w:iCs/>
          <w:spacing w:val="-2"/>
          <w:szCs w:val="22"/>
        </w:rPr>
        <w:t xml:space="preserve">are </w:t>
      </w:r>
      <w:r w:rsidR="00BD1718" w:rsidRPr="00757295">
        <w:rPr>
          <w:rFonts w:eastAsiaTheme="minorHAnsi"/>
          <w:iCs/>
          <w:spacing w:val="-2"/>
          <w:szCs w:val="22"/>
        </w:rPr>
        <w:t>congenially</w:t>
      </w:r>
      <w:r w:rsidR="00DF7CDD">
        <w:rPr>
          <w:rFonts w:eastAsiaTheme="minorHAnsi"/>
          <w:iCs/>
          <w:spacing w:val="-2"/>
          <w:szCs w:val="22"/>
        </w:rPr>
        <w:t>,</w:t>
      </w:r>
      <w:r w:rsidR="00BD1718" w:rsidRPr="00757295">
        <w:rPr>
          <w:rFonts w:eastAsiaTheme="minorHAnsi"/>
          <w:iCs/>
          <w:spacing w:val="-2"/>
          <w:szCs w:val="22"/>
        </w:rPr>
        <w:t xml:space="preserve"> but misleadingly</w:t>
      </w:r>
      <w:r w:rsidR="00DF7CDD">
        <w:rPr>
          <w:rFonts w:eastAsiaTheme="minorHAnsi"/>
          <w:iCs/>
          <w:spacing w:val="-2"/>
          <w:szCs w:val="22"/>
        </w:rPr>
        <w:t>,</w:t>
      </w:r>
      <w:r w:rsidR="00BD1718" w:rsidRPr="00757295">
        <w:rPr>
          <w:rFonts w:eastAsiaTheme="minorHAnsi"/>
          <w:iCs/>
          <w:spacing w:val="-2"/>
          <w:szCs w:val="22"/>
        </w:rPr>
        <w:t xml:space="preserve"> expressed as</w:t>
      </w:r>
      <w:r w:rsidR="003931B8" w:rsidRPr="00757295">
        <w:rPr>
          <w:rFonts w:eastAsiaTheme="minorHAnsi"/>
          <w:iCs/>
          <w:spacing w:val="-2"/>
          <w:szCs w:val="22"/>
        </w:rPr>
        <w:t xml:space="preserve"> ‘R was reasonably foreseeable’.</w:t>
      </w:r>
      <w:r w:rsidR="00BD1718" w:rsidRPr="00757295">
        <w:rPr>
          <w:rFonts w:eastAsiaTheme="minorHAnsi"/>
          <w:iCs/>
          <w:spacing w:val="-2"/>
          <w:szCs w:val="22"/>
        </w:rPr>
        <w:t xml:space="preserve"> </w:t>
      </w:r>
      <w:r w:rsidR="00795B33" w:rsidRPr="00757295">
        <w:rPr>
          <w:rFonts w:eastAsiaTheme="minorHAnsi"/>
          <w:iCs/>
          <w:spacing w:val="-2"/>
          <w:szCs w:val="22"/>
          <w:u w:val="single"/>
        </w:rPr>
        <w:t>It makes no s</w:t>
      </w:r>
      <w:r w:rsidR="002B6362" w:rsidRPr="00757295">
        <w:rPr>
          <w:rFonts w:eastAsiaTheme="minorHAnsi"/>
          <w:iCs/>
          <w:spacing w:val="-2"/>
          <w:szCs w:val="22"/>
          <w:u w:val="single"/>
        </w:rPr>
        <w:t>ense to test for truth or false</w:t>
      </w:r>
      <w:r w:rsidR="00795B33" w:rsidRPr="00757295">
        <w:rPr>
          <w:rFonts w:eastAsiaTheme="minorHAnsi"/>
          <w:iCs/>
          <w:spacing w:val="-2"/>
          <w:szCs w:val="22"/>
          <w:u w:val="single"/>
        </w:rPr>
        <w:t>hood</w:t>
      </w:r>
      <w:r w:rsidR="00795B33" w:rsidRPr="00757295">
        <w:rPr>
          <w:rFonts w:eastAsiaTheme="minorHAnsi"/>
          <w:iCs/>
          <w:spacing w:val="-2"/>
          <w:szCs w:val="22"/>
        </w:rPr>
        <w:t xml:space="preserve">. </w:t>
      </w:r>
      <w:r w:rsidR="00DF7CDD">
        <w:rPr>
          <w:rFonts w:eastAsiaTheme="minorHAnsi"/>
          <w:iCs/>
          <w:spacing w:val="-2"/>
          <w:szCs w:val="22"/>
        </w:rPr>
        <w:t xml:space="preserve">The </w:t>
      </w:r>
      <w:r w:rsidR="00DF7CDD" w:rsidRPr="00DF7CDD">
        <w:rPr>
          <w:rFonts w:eastAsiaTheme="minorHAnsi"/>
          <w:iCs/>
          <w:spacing w:val="-2"/>
          <w:szCs w:val="22"/>
          <w:u w:val="single"/>
        </w:rPr>
        <w:t>v</w:t>
      </w:r>
      <w:r w:rsidRPr="00757295">
        <w:rPr>
          <w:rFonts w:eastAsiaTheme="minorHAnsi"/>
          <w:iCs/>
          <w:spacing w:val="-2"/>
          <w:szCs w:val="22"/>
          <w:u w:val="single"/>
        </w:rPr>
        <w:t>alidity of the attributive is determined by normative evaluation</w:t>
      </w:r>
      <w:r w:rsidRPr="00757295">
        <w:rPr>
          <w:rFonts w:eastAsiaTheme="minorHAnsi"/>
          <w:iCs/>
          <w:spacing w:val="-2"/>
          <w:szCs w:val="22"/>
        </w:rPr>
        <w:t xml:space="preserve">. </w:t>
      </w:r>
      <w:r w:rsidR="003931B8" w:rsidRPr="00757295">
        <w:rPr>
          <w:rFonts w:eastAsiaTheme="minorHAnsi"/>
          <w:iCs/>
          <w:spacing w:val="-2"/>
          <w:szCs w:val="22"/>
        </w:rPr>
        <w:t xml:space="preserve">By contrast, </w:t>
      </w:r>
      <w:r w:rsidR="00BD1718" w:rsidRPr="00757295">
        <w:rPr>
          <w:rFonts w:eastAsiaTheme="minorHAnsi"/>
          <w:iCs/>
          <w:spacing w:val="-2"/>
          <w:szCs w:val="22"/>
        </w:rPr>
        <w:t>‘D ought (reasonably) to have foreseen’</w:t>
      </w:r>
      <w:r w:rsidR="003931B8" w:rsidRPr="00757295">
        <w:rPr>
          <w:rFonts w:eastAsiaTheme="minorHAnsi"/>
          <w:iCs/>
          <w:spacing w:val="-2"/>
          <w:szCs w:val="22"/>
        </w:rPr>
        <w:t xml:space="preserve"> is </w:t>
      </w:r>
      <w:r>
        <w:rPr>
          <w:rFonts w:eastAsiaTheme="minorHAnsi"/>
          <w:iCs/>
          <w:spacing w:val="-2"/>
          <w:szCs w:val="22"/>
        </w:rPr>
        <w:t>clear to the alert reader</w:t>
      </w:r>
      <w:r w:rsidR="00BD1718" w:rsidRPr="00757295">
        <w:rPr>
          <w:rFonts w:eastAsiaTheme="minorHAnsi"/>
          <w:iCs/>
          <w:spacing w:val="-2"/>
          <w:szCs w:val="22"/>
        </w:rPr>
        <w:t>.</w:t>
      </w:r>
      <w:r w:rsidR="003931B8" w:rsidRPr="00757295">
        <w:rPr>
          <w:rFonts w:eastAsiaTheme="minorHAnsi"/>
          <w:iCs/>
          <w:spacing w:val="-2"/>
          <w:szCs w:val="22"/>
        </w:rPr>
        <w:t xml:space="preserve"> </w:t>
      </w:r>
    </w:p>
    <w:p w:rsidR="00B41643" w:rsidRDefault="002A127B" w:rsidP="000211A9">
      <w:pPr>
        <w:pStyle w:val="Heading2"/>
      </w:pPr>
      <w:r>
        <w:t>F</w:t>
      </w:r>
      <w:r w:rsidR="00B41643">
        <w:t xml:space="preserve">active foreseeability </w:t>
      </w:r>
      <w:r>
        <w:t xml:space="preserve">as a </w:t>
      </w:r>
      <w:r w:rsidRPr="002A127B">
        <w:rPr>
          <w:u w:val="single"/>
        </w:rPr>
        <w:t>necessary but insufficient condition</w:t>
      </w:r>
      <w:r>
        <w:t xml:space="preserve"> of responsibility or liability</w:t>
      </w:r>
    </w:p>
    <w:p w:rsidR="00216F23" w:rsidRDefault="00216F23" w:rsidP="00B41643">
      <w:r w:rsidRPr="00216F23">
        <w:t xml:space="preserve">No-one will claim that D acted intentionally, recklessly or negligently </w:t>
      </w:r>
      <w:r w:rsidR="00795B33">
        <w:t xml:space="preserve">in respect of R </w:t>
      </w:r>
      <w:r w:rsidRPr="00216F23">
        <w:t xml:space="preserve">when R was utterly unknown </w:t>
      </w:r>
      <w:r w:rsidRPr="00216F23">
        <w:rPr>
          <w:i/>
        </w:rPr>
        <w:t>ex ante</w:t>
      </w:r>
      <w:r w:rsidRPr="00216F23">
        <w:t xml:space="preserve">. The </w:t>
      </w:r>
      <w:r w:rsidRPr="00216F23">
        <w:rPr>
          <w:i/>
        </w:rPr>
        <w:t>factive foreseeability filter</w:t>
      </w:r>
      <w:r w:rsidRPr="00216F23">
        <w:t xml:space="preserve"> will keep such cases from court. </w:t>
      </w:r>
    </w:p>
    <w:p w:rsidR="00216F23" w:rsidRDefault="00216F23" w:rsidP="007C3D0C">
      <w:r w:rsidRPr="00216F23">
        <w:t xml:space="preserve">But where </w:t>
      </w:r>
      <w:r w:rsidR="002A127B">
        <w:t xml:space="preserve">C can show that </w:t>
      </w:r>
      <w:r w:rsidRPr="00216F23">
        <w:t>a few</w:t>
      </w:r>
      <w:r w:rsidR="00DF7CDD">
        <w:t xml:space="preserve"> people</w:t>
      </w:r>
      <w:r w:rsidRPr="00216F23">
        <w:t xml:space="preserve"> (not including D) have fore</w:t>
      </w:r>
      <w:r w:rsidRPr="002A127B">
        <w:rPr>
          <w:i/>
          <w:u w:val="single"/>
        </w:rPr>
        <w:t>seen</w:t>
      </w:r>
      <w:r w:rsidRPr="00216F23">
        <w:t xml:space="preserve"> R, C will argue that R is </w:t>
      </w:r>
      <w:r w:rsidR="00795B33">
        <w:t>(</w:t>
      </w:r>
      <w:r w:rsidRPr="00795B33">
        <w:rPr>
          <w:u w:val="single"/>
        </w:rPr>
        <w:t>factively</w:t>
      </w:r>
      <w:r w:rsidR="00795B33">
        <w:t>)</w:t>
      </w:r>
      <w:r w:rsidRPr="00216F23">
        <w:t xml:space="preserve"> foresee</w:t>
      </w:r>
      <w:r w:rsidRPr="002A127B">
        <w:rPr>
          <w:i/>
          <w:u w:val="single"/>
        </w:rPr>
        <w:t>able</w:t>
      </w:r>
      <w:r w:rsidRPr="00216F23">
        <w:t xml:space="preserve">. D will counter </w:t>
      </w:r>
      <w:r w:rsidR="00795B33">
        <w:t>(</w:t>
      </w:r>
      <w:r w:rsidRPr="00795B33">
        <w:rPr>
          <w:u w:val="single"/>
        </w:rPr>
        <w:t>attributively</w:t>
      </w:r>
      <w:r w:rsidR="00795B33">
        <w:t>)</w:t>
      </w:r>
      <w:r w:rsidRPr="00216F23">
        <w:t xml:space="preserve"> that too few had foreseen R for it to be </w:t>
      </w:r>
      <w:r w:rsidRPr="00DF7CDD">
        <w:rPr>
          <w:u w:val="single"/>
        </w:rPr>
        <w:t>reasonable</w:t>
      </w:r>
      <w:r w:rsidR="002A127B">
        <w:rPr>
          <w:u w:val="single"/>
        </w:rPr>
        <w:t>:</w:t>
      </w:r>
      <w:r w:rsidRPr="00216F23">
        <w:t xml:space="preserve"> to</w:t>
      </w:r>
      <w:r w:rsidR="00DF7CDD">
        <w:t xml:space="preserve"> </w:t>
      </w:r>
      <w:r w:rsidR="00B37697">
        <w:t>‘</w:t>
      </w:r>
      <w:r w:rsidR="00DF7CDD" w:rsidRPr="00B37697">
        <w:rPr>
          <w:u w:val="single"/>
        </w:rPr>
        <w:t>expect</w:t>
      </w:r>
      <w:r w:rsidR="00DF7CDD">
        <w:t xml:space="preserve"> her to foresee </w:t>
      </w:r>
      <w:proofErr w:type="gramStart"/>
      <w:r w:rsidR="00DF7CDD">
        <w:t>R</w:t>
      </w:r>
      <w:r w:rsidR="00B37697">
        <w:t>’</w:t>
      </w:r>
      <w:r w:rsidR="00DF7CDD">
        <w:t xml:space="preserve"> </w:t>
      </w:r>
      <w:r w:rsidR="002A127B">
        <w:t>;</w:t>
      </w:r>
      <w:proofErr w:type="gramEnd"/>
      <w:r w:rsidR="002A127B">
        <w:t xml:space="preserve"> </w:t>
      </w:r>
      <w:r w:rsidR="00DF7CDD">
        <w:t>or</w:t>
      </w:r>
      <w:r w:rsidR="00A472A7">
        <w:t>, more straightforwardly,</w:t>
      </w:r>
      <w:r w:rsidR="00DF7CDD">
        <w:t xml:space="preserve"> to</w:t>
      </w:r>
      <w:r w:rsidRPr="00216F23">
        <w:t xml:space="preserve"> </w:t>
      </w:r>
      <w:r w:rsidR="00A472A7">
        <w:t>‘</w:t>
      </w:r>
      <w:r w:rsidRPr="00B37697">
        <w:rPr>
          <w:u w:val="single"/>
        </w:rPr>
        <w:t>hold her responsible</w:t>
      </w:r>
      <w:r w:rsidR="00DF7CDD">
        <w:t xml:space="preserve"> for R</w:t>
      </w:r>
      <w:r w:rsidR="00A472A7">
        <w:t>’</w:t>
      </w:r>
      <w:r w:rsidRPr="00216F23">
        <w:t>.</w:t>
      </w:r>
      <w:r w:rsidR="007C3D0C">
        <w:t xml:space="preserve"> </w:t>
      </w:r>
      <w:r>
        <w:t>By contrast:</w:t>
      </w:r>
      <w:r w:rsidRPr="00216F23">
        <w:t xml:space="preserve"> </w:t>
      </w:r>
    </w:p>
    <w:p w:rsidR="00216F23" w:rsidRDefault="00216F23" w:rsidP="007C3D0C">
      <w:pPr>
        <w:pStyle w:val="ListParagraph"/>
        <w:numPr>
          <w:ilvl w:val="0"/>
          <w:numId w:val="4"/>
        </w:numPr>
        <w:ind w:left="360"/>
      </w:pPr>
      <w:r w:rsidRPr="00216F23">
        <w:t>those who commit intentional torts are strictly liable for unforeseeable consequences</w:t>
      </w:r>
      <w:r>
        <w:t>; and</w:t>
      </w:r>
    </w:p>
    <w:p w:rsidR="00216F23" w:rsidRPr="00A472A7" w:rsidRDefault="00216F23" w:rsidP="007C3D0C">
      <w:pPr>
        <w:pStyle w:val="ListParagraph"/>
        <w:numPr>
          <w:ilvl w:val="0"/>
          <w:numId w:val="4"/>
        </w:numPr>
        <w:ind w:left="360"/>
      </w:pPr>
      <w:proofErr w:type="gramStart"/>
      <w:r w:rsidRPr="002A127B">
        <w:rPr>
          <w:spacing w:val="-2"/>
        </w:rPr>
        <w:t>strict</w:t>
      </w:r>
      <w:proofErr w:type="gramEnd"/>
      <w:r w:rsidRPr="002A127B">
        <w:rPr>
          <w:spacing w:val="-2"/>
        </w:rPr>
        <w:t xml:space="preserve"> liability claims can </w:t>
      </w:r>
      <w:r w:rsidR="002A127B" w:rsidRPr="002A127B">
        <w:rPr>
          <w:spacing w:val="-2"/>
        </w:rPr>
        <w:t xml:space="preserve">therefore </w:t>
      </w:r>
      <w:r w:rsidRPr="002A127B">
        <w:rPr>
          <w:spacing w:val="-2"/>
        </w:rPr>
        <w:t>survive despite factive unforeseeability</w:t>
      </w:r>
      <w:r w:rsidR="00A472A7" w:rsidRPr="002A127B">
        <w:rPr>
          <w:spacing w:val="-2"/>
        </w:rPr>
        <w:t>. Nevertheless,</w:t>
      </w:r>
      <w:r w:rsidRPr="002A127B">
        <w:rPr>
          <w:spacing w:val="-2"/>
        </w:rPr>
        <w:t xml:space="preserve"> </w:t>
      </w:r>
      <w:r w:rsidRPr="002A127B">
        <w:rPr>
          <w:spacing w:val="-2"/>
          <w:u w:val="single"/>
        </w:rPr>
        <w:t>selecting</w:t>
      </w:r>
      <w:r w:rsidRPr="002A127B">
        <w:rPr>
          <w:spacing w:val="-2"/>
        </w:rPr>
        <w:t xml:space="preserve"> the </w:t>
      </w:r>
      <w:r w:rsidRPr="002A127B">
        <w:rPr>
          <w:i/>
          <w:spacing w:val="-2"/>
        </w:rPr>
        <w:t xml:space="preserve">causa </w:t>
      </w:r>
      <w:proofErr w:type="spellStart"/>
      <w:r w:rsidRPr="002A127B">
        <w:rPr>
          <w:i/>
          <w:spacing w:val="-2"/>
        </w:rPr>
        <w:t>causans</w:t>
      </w:r>
      <w:proofErr w:type="spellEnd"/>
      <w:r w:rsidRPr="002A127B">
        <w:rPr>
          <w:i/>
          <w:spacing w:val="-2"/>
        </w:rPr>
        <w:t xml:space="preserve"> </w:t>
      </w:r>
      <w:r w:rsidRPr="002A127B">
        <w:rPr>
          <w:spacing w:val="-2"/>
        </w:rPr>
        <w:t xml:space="preserve">from amongst the almost infinite number of </w:t>
      </w:r>
      <w:proofErr w:type="spellStart"/>
      <w:r w:rsidR="00A472A7" w:rsidRPr="002A127B">
        <w:rPr>
          <w:i/>
          <w:spacing w:val="-2"/>
        </w:rPr>
        <w:t>causae</w:t>
      </w:r>
      <w:proofErr w:type="spellEnd"/>
      <w:r w:rsidR="00A472A7" w:rsidRPr="002A127B">
        <w:rPr>
          <w:i/>
          <w:spacing w:val="-2"/>
        </w:rPr>
        <w:t xml:space="preserve"> sine qua non </w:t>
      </w:r>
      <w:r w:rsidR="00A472A7" w:rsidRPr="002A127B">
        <w:rPr>
          <w:spacing w:val="-2"/>
        </w:rPr>
        <w:t xml:space="preserve">entails </w:t>
      </w:r>
      <w:r w:rsidR="00A472A7" w:rsidRPr="002A127B">
        <w:rPr>
          <w:spacing w:val="-2"/>
          <w:u w:val="single"/>
        </w:rPr>
        <w:t>subjective judgement</w:t>
      </w:r>
      <w:r w:rsidR="00A472A7">
        <w:t>.</w:t>
      </w:r>
    </w:p>
    <w:p w:rsidR="004C6F95" w:rsidRDefault="007C3D0C" w:rsidP="00E058AA">
      <w:pPr>
        <w:pStyle w:val="Heading1"/>
      </w:pPr>
      <w:r>
        <w:t>L</w:t>
      </w:r>
      <w:r w:rsidR="00E058AA">
        <w:t xml:space="preserve">inks to </w:t>
      </w:r>
      <w:r w:rsidR="004C6F95">
        <w:t>Fo</w:t>
      </w:r>
      <w:r w:rsidR="00E058AA">
        <w:t>lk M</w:t>
      </w:r>
      <w:r w:rsidR="004C6F95">
        <w:t>orality and Rule of Law predictability</w:t>
      </w:r>
    </w:p>
    <w:p w:rsidR="007C3D0C" w:rsidRDefault="00BD5B90" w:rsidP="007C3D0C">
      <w:pPr>
        <w:pStyle w:val="ListParagraph"/>
      </w:pPr>
      <w:proofErr w:type="spellStart"/>
      <w:r>
        <w:t>Kahneman’s</w:t>
      </w:r>
      <w:proofErr w:type="spellEnd"/>
      <w:r w:rsidR="007C3D0C">
        <w:t xml:space="preserve"> Systems 1</w:t>
      </w:r>
      <w:r w:rsidR="00A472A7">
        <w:t>(thinking fast)</w:t>
      </w:r>
      <w:r w:rsidR="007C3D0C">
        <w:t xml:space="preserve"> and 2</w:t>
      </w:r>
      <w:r w:rsidR="00A472A7">
        <w:t xml:space="preserve"> (thinking slow)</w:t>
      </w:r>
      <w:r w:rsidR="007C3D0C">
        <w:t>,</w:t>
      </w:r>
      <w:r>
        <w:t xml:space="preserve"> for ci</w:t>
      </w:r>
      <w:r w:rsidR="007C3D0C">
        <w:t xml:space="preserve">tizens </w:t>
      </w:r>
    </w:p>
    <w:p w:rsidR="00BD5B90" w:rsidRDefault="00BD5B90" w:rsidP="007C3D0C">
      <w:pPr>
        <w:pStyle w:val="ListParagraph"/>
      </w:pPr>
      <w:r>
        <w:t xml:space="preserve">Frederick </w:t>
      </w:r>
      <w:proofErr w:type="spellStart"/>
      <w:r>
        <w:t>Sc</w:t>
      </w:r>
      <w:r w:rsidR="007C3D0C">
        <w:t>hauer’s</w:t>
      </w:r>
      <w:proofErr w:type="spellEnd"/>
      <w:r w:rsidR="007C3D0C">
        <w:t xml:space="preserve"> ‘presumptive formalism’, </w:t>
      </w:r>
      <w:r w:rsidR="007C3D0C">
        <w:t>for the legal system</w:t>
      </w:r>
    </w:p>
    <w:p w:rsidR="004C6F95" w:rsidRDefault="004C6F95" w:rsidP="007C3D0C">
      <w:pPr>
        <w:pStyle w:val="ListParagraph"/>
      </w:pPr>
      <w:r>
        <w:t>Free will and blame</w:t>
      </w:r>
    </w:p>
    <w:p w:rsidR="004C6F95" w:rsidRDefault="004C6F95" w:rsidP="007C3D0C">
      <w:pPr>
        <w:pStyle w:val="ListParagraph"/>
      </w:pPr>
      <w:r>
        <w:t>Outcome and hindsight bias</w:t>
      </w:r>
    </w:p>
    <w:p w:rsidR="00C06918" w:rsidRDefault="00E058AA" w:rsidP="007C3D0C">
      <w:pPr>
        <w:pStyle w:val="ListParagraph"/>
      </w:pPr>
      <w:r>
        <w:t xml:space="preserve">Accounts for </w:t>
      </w:r>
      <w:r w:rsidR="007C3D0C">
        <w:t>foreseeability’s</w:t>
      </w:r>
      <w:r>
        <w:t xml:space="preserve"> ubiquity.</w:t>
      </w:r>
      <w:r w:rsidR="00C06918">
        <w:t xml:space="preserve"> </w:t>
      </w:r>
    </w:p>
    <w:p w:rsidR="00E058AA" w:rsidRDefault="00972A37" w:rsidP="00E058AA">
      <w:pPr>
        <w:pStyle w:val="Heading1"/>
      </w:pPr>
      <w:r>
        <w:t>P</w:t>
      </w:r>
      <w:r w:rsidR="00E058AA">
        <w:t>roblems</w:t>
      </w:r>
    </w:p>
    <w:p w:rsidR="009B6BD1" w:rsidRDefault="00BD5B90" w:rsidP="007C3D0C">
      <w:pPr>
        <w:pStyle w:val="ListParagraph"/>
      </w:pPr>
      <w:r>
        <w:t>Negligence is based on</w:t>
      </w:r>
      <w:r w:rsidR="002A127B">
        <w:t xml:space="preserve"> D’s</w:t>
      </w:r>
      <w:r w:rsidR="00661D75">
        <w:t xml:space="preserve"> </w:t>
      </w:r>
      <w:r w:rsidR="00661D75" w:rsidRPr="00E06E34">
        <w:rPr>
          <w:i/>
        </w:rPr>
        <w:t>unreasonable</w:t>
      </w:r>
      <w:r>
        <w:t xml:space="preserve"> </w:t>
      </w:r>
      <w:r w:rsidRPr="00E06E34">
        <w:rPr>
          <w:i/>
        </w:rPr>
        <w:t>omissions</w:t>
      </w:r>
      <w:r>
        <w:t xml:space="preserve"> to foresee R, </w:t>
      </w:r>
      <w:r w:rsidRPr="00E06E34">
        <w:rPr>
          <w:u w:val="single"/>
        </w:rPr>
        <w:t>not on</w:t>
      </w:r>
      <w:r w:rsidR="00A472A7">
        <w:rPr>
          <w:u w:val="single"/>
        </w:rPr>
        <w:t xml:space="preserve"> (active)</w:t>
      </w:r>
      <w:r w:rsidRPr="00E06E34">
        <w:rPr>
          <w:u w:val="single"/>
        </w:rPr>
        <w:t xml:space="preserve"> </w:t>
      </w:r>
      <w:r w:rsidR="00795B33">
        <w:rPr>
          <w:u w:val="single"/>
        </w:rPr>
        <w:t xml:space="preserve">factive </w:t>
      </w:r>
      <w:r w:rsidRPr="00E06E34">
        <w:rPr>
          <w:u w:val="single"/>
        </w:rPr>
        <w:t>fore</w:t>
      </w:r>
      <w:r w:rsidRPr="00A472A7">
        <w:rPr>
          <w:i/>
          <w:u w:val="single"/>
        </w:rPr>
        <w:t>sight</w:t>
      </w:r>
      <w:r w:rsidR="00A472A7">
        <w:rPr>
          <w:u w:val="single"/>
        </w:rPr>
        <w:t>,</w:t>
      </w:r>
      <w:r w:rsidRPr="00A472A7">
        <w:t xml:space="preserve"> </w:t>
      </w:r>
      <w:r w:rsidR="00A472A7">
        <w:t>which would signal intention or recklessness</w:t>
      </w:r>
      <w:r w:rsidR="00A472A7">
        <w:t>,</w:t>
      </w:r>
      <w:r w:rsidR="00A472A7" w:rsidRPr="00A472A7">
        <w:t xml:space="preserve"> </w:t>
      </w:r>
      <w:r w:rsidR="00661D75" w:rsidRPr="00A472A7">
        <w:t>or</w:t>
      </w:r>
      <w:r w:rsidR="00A472A7">
        <w:t xml:space="preserve"> even </w:t>
      </w:r>
      <w:r w:rsidR="002A127B">
        <w:t xml:space="preserve">on </w:t>
      </w:r>
      <w:r w:rsidR="00A472A7">
        <w:t>the</w:t>
      </w:r>
      <w:r w:rsidR="00661D75" w:rsidRPr="00A472A7">
        <w:t xml:space="preserve"> </w:t>
      </w:r>
      <w:r w:rsidR="00661D75" w:rsidRPr="00E06E34">
        <w:rPr>
          <w:u w:val="single"/>
        </w:rPr>
        <w:t>factive foresee</w:t>
      </w:r>
      <w:r w:rsidR="00661D75" w:rsidRPr="00A472A7">
        <w:rPr>
          <w:i/>
          <w:u w:val="single"/>
        </w:rPr>
        <w:t>ability</w:t>
      </w:r>
      <w:r w:rsidR="00661D75" w:rsidRPr="00E06E34">
        <w:rPr>
          <w:u w:val="single"/>
        </w:rPr>
        <w:t xml:space="preserve"> </w:t>
      </w:r>
      <w:r w:rsidRPr="00E06E34">
        <w:rPr>
          <w:u w:val="single"/>
        </w:rPr>
        <w:t>of R</w:t>
      </w:r>
      <w:r w:rsidR="007C3D0C">
        <w:t>.</w:t>
      </w:r>
      <w:r w:rsidR="00E06E34">
        <w:t xml:space="preserve"> </w:t>
      </w:r>
      <w:r w:rsidR="009B6BD1" w:rsidRPr="009B6BD1">
        <w:t xml:space="preserve">Negligence is not ‘a state of mind’ in the way that intention and recklessness are, but </w:t>
      </w:r>
      <w:r w:rsidR="002A127B">
        <w:t>is only ‘a state of mind’</w:t>
      </w:r>
      <w:r w:rsidR="009B6BD1" w:rsidRPr="009B6BD1">
        <w:t xml:space="preserve"> in the way that </w:t>
      </w:r>
      <w:r w:rsidR="009B6BD1" w:rsidRPr="009B6BD1">
        <w:lastRenderedPageBreak/>
        <w:t xml:space="preserve">your mind is presently blank about the number of worms that live under your lawn. </w:t>
      </w:r>
      <w:r w:rsidR="009B6BD1" w:rsidRPr="00795B33">
        <w:rPr>
          <w:u w:val="single"/>
        </w:rPr>
        <w:t xml:space="preserve">In negligence, responsibility is </w:t>
      </w:r>
      <w:r w:rsidR="009B6BD1" w:rsidRPr="00795B33">
        <w:rPr>
          <w:i/>
          <w:u w:val="single"/>
        </w:rPr>
        <w:t>attributed</w:t>
      </w:r>
      <w:r w:rsidR="009B6BD1" w:rsidRPr="00795B33">
        <w:rPr>
          <w:u w:val="single"/>
        </w:rPr>
        <w:t xml:space="preserve"> because D </w:t>
      </w:r>
      <w:r w:rsidR="009B6BD1" w:rsidRPr="00795B33">
        <w:rPr>
          <w:i/>
          <w:u w:val="single"/>
        </w:rPr>
        <w:t xml:space="preserve">should </w:t>
      </w:r>
      <w:r w:rsidR="009B6BD1" w:rsidRPr="00795B33">
        <w:rPr>
          <w:u w:val="single"/>
        </w:rPr>
        <w:t>have adverted</w:t>
      </w:r>
      <w:r w:rsidR="002A127B">
        <w:rPr>
          <w:u w:val="single"/>
        </w:rPr>
        <w:t xml:space="preserve"> to the R that materialised</w:t>
      </w:r>
      <w:r w:rsidR="009B6BD1" w:rsidRPr="00795B33">
        <w:rPr>
          <w:u w:val="single"/>
        </w:rPr>
        <w:t xml:space="preserve">, but </w:t>
      </w:r>
      <w:r w:rsidR="009B6BD1" w:rsidRPr="00795B33">
        <w:rPr>
          <w:i/>
          <w:u w:val="single"/>
        </w:rPr>
        <w:t>did not</w:t>
      </w:r>
      <w:r w:rsidR="009B6BD1" w:rsidRPr="009B6BD1">
        <w:t>.</w:t>
      </w:r>
      <w:r w:rsidR="009B6BD1" w:rsidRPr="009B6BD1">
        <w:rPr>
          <w:vertAlign w:val="superscript"/>
        </w:rPr>
        <w:footnoteReference w:id="2"/>
      </w:r>
    </w:p>
    <w:p w:rsidR="00661D75" w:rsidRPr="00432804" w:rsidRDefault="00661D75" w:rsidP="007C3D0C">
      <w:pPr>
        <w:pStyle w:val="ListParagraph"/>
        <w:rPr>
          <w:spacing w:val="-4"/>
        </w:rPr>
      </w:pPr>
      <w:r w:rsidRPr="00432804">
        <w:rPr>
          <w:spacing w:val="-4"/>
        </w:rPr>
        <w:t xml:space="preserve">Attributive ‘foreseeability’ </w:t>
      </w:r>
      <w:r w:rsidR="00E06E34" w:rsidRPr="00432804">
        <w:rPr>
          <w:spacing w:val="-4"/>
        </w:rPr>
        <w:t xml:space="preserve">is </w:t>
      </w:r>
      <w:r w:rsidRPr="00432804">
        <w:rPr>
          <w:spacing w:val="-4"/>
        </w:rPr>
        <w:t xml:space="preserve">mostly </w:t>
      </w:r>
      <w:r w:rsidR="00432804">
        <w:rPr>
          <w:spacing w:val="-4"/>
        </w:rPr>
        <w:t>(</w:t>
      </w:r>
      <w:r w:rsidR="00432804" w:rsidRPr="00432804">
        <w:rPr>
          <w:spacing w:val="-4"/>
        </w:rPr>
        <w:t>ex</w:t>
      </w:r>
      <w:r w:rsidR="00432804">
        <w:rPr>
          <w:spacing w:val="-4"/>
        </w:rPr>
        <w:t>/im</w:t>
      </w:r>
      <w:r w:rsidR="00432804" w:rsidRPr="00432804">
        <w:rPr>
          <w:spacing w:val="-4"/>
        </w:rPr>
        <w:t>plicitly</w:t>
      </w:r>
      <w:r w:rsidR="00432804">
        <w:rPr>
          <w:spacing w:val="-4"/>
        </w:rPr>
        <w:t>)</w:t>
      </w:r>
      <w:r w:rsidR="00432804" w:rsidRPr="00432804">
        <w:rPr>
          <w:spacing w:val="-4"/>
        </w:rPr>
        <w:t xml:space="preserve"> </w:t>
      </w:r>
      <w:r w:rsidRPr="00432804">
        <w:rPr>
          <w:spacing w:val="-4"/>
        </w:rPr>
        <w:t xml:space="preserve">linked with ‘reasonableness’. </w:t>
      </w:r>
      <w:r w:rsidRPr="00432804">
        <w:rPr>
          <w:spacing w:val="-4"/>
          <w:u w:val="single"/>
        </w:rPr>
        <w:t>Which word does the work</w:t>
      </w:r>
      <w:r w:rsidRPr="00432804">
        <w:rPr>
          <w:spacing w:val="-4"/>
        </w:rPr>
        <w:t xml:space="preserve">? </w:t>
      </w:r>
    </w:p>
    <w:p w:rsidR="00661D75" w:rsidRDefault="00661D75" w:rsidP="007C3D0C">
      <w:pPr>
        <w:pStyle w:val="ListParagraph"/>
      </w:pPr>
      <w:r>
        <w:t xml:space="preserve">Does ‘foreseeability’ have any function beyond making a </w:t>
      </w:r>
      <w:r w:rsidRPr="00795B33">
        <w:rPr>
          <w:u w:val="single"/>
        </w:rPr>
        <w:t>rhetorical connection with folk morality</w:t>
      </w:r>
      <w:r>
        <w:t>?</w:t>
      </w:r>
    </w:p>
    <w:p w:rsidR="00661D75" w:rsidRDefault="00661D75" w:rsidP="007C3D0C">
      <w:pPr>
        <w:pStyle w:val="ListParagraph"/>
      </w:pPr>
      <w:r>
        <w:t xml:space="preserve">Does foreseeability </w:t>
      </w:r>
      <w:r w:rsidRPr="007C3D0C">
        <w:t>obscure judicial reasoning</w:t>
      </w:r>
      <w:r>
        <w:t>? Does it confuse students</w:t>
      </w:r>
      <w:r w:rsidR="004C0B78">
        <w:t>? O</w:t>
      </w:r>
      <w:r>
        <w:t>r judges?</w:t>
      </w:r>
    </w:p>
    <w:p w:rsidR="004C0B78" w:rsidRDefault="004C0B78" w:rsidP="004C0B78">
      <w:pPr>
        <w:pStyle w:val="Heading1"/>
      </w:pPr>
      <w:r>
        <w:t>The Algorithmic Model</w:t>
      </w:r>
      <w:r w:rsidR="00E319A1">
        <w:t>—only a model</w:t>
      </w:r>
    </w:p>
    <w:p w:rsidR="0030198E" w:rsidRDefault="007C3D0C" w:rsidP="00E319A1">
      <w:pPr>
        <w:spacing w:after="0"/>
      </w:pPr>
      <w:r w:rsidRPr="007C3D0C">
        <w:t>I take just one example</w:t>
      </w:r>
      <w:r>
        <w:rPr>
          <w:i/>
        </w:rPr>
        <w:t>—</w:t>
      </w:r>
      <w:r w:rsidR="00B41643" w:rsidRPr="00E06E34">
        <w:rPr>
          <w:i/>
        </w:rPr>
        <w:t>proximity</w:t>
      </w:r>
      <w:r w:rsidR="0030198E">
        <w:t>. In the negligence tort</w:t>
      </w:r>
      <w:r w:rsidR="00E319A1">
        <w:t>—</w:t>
      </w:r>
      <w:r w:rsidR="00756F8D">
        <w:t>modelled algorithmically:</w:t>
      </w:r>
      <w:r w:rsidR="00432804">
        <w:t xml:space="preserve"> </w:t>
      </w:r>
      <w:r w:rsidR="00E319A1">
        <w:t>Q1 factive foreseeability filter</w:t>
      </w:r>
      <w:r w:rsidR="00756F8D">
        <w:t>;</w:t>
      </w:r>
      <w:r w:rsidR="00E319A1">
        <w:t xml:space="preserve"> Q2 attributive foreseeability; Q3 proximity; Q4 ‘fair, just and reasonable’; Q5 public </w:t>
      </w:r>
      <w:r w:rsidR="00756F8D">
        <w:t>policy; Q6 remoteness—</w:t>
      </w:r>
      <w:r w:rsidR="0030198E" w:rsidRPr="00E06E34">
        <w:rPr>
          <w:i/>
        </w:rPr>
        <w:t>foreseeability</w:t>
      </w:r>
      <w:r w:rsidR="007F54C2" w:rsidRPr="00E06E34">
        <w:rPr>
          <w:i/>
        </w:rPr>
        <w:t xml:space="preserve"> verdicts</w:t>
      </w:r>
      <w:r w:rsidR="0030198E" w:rsidRPr="00E06E34">
        <w:rPr>
          <w:i/>
        </w:rPr>
        <w:t xml:space="preserve"> and proximity verdicts share</w:t>
      </w:r>
      <w:r w:rsidR="0030198E">
        <w:t>:</w:t>
      </w:r>
    </w:p>
    <w:p w:rsidR="0030198E" w:rsidRDefault="0030198E" w:rsidP="007C3D0C">
      <w:pPr>
        <w:pStyle w:val="ListParagraph"/>
        <w:numPr>
          <w:ilvl w:val="0"/>
          <w:numId w:val="3"/>
        </w:numPr>
        <w:ind w:left="360"/>
      </w:pPr>
      <w:r w:rsidRPr="0030198E">
        <w:t xml:space="preserve">Functioning </w:t>
      </w:r>
      <w:r w:rsidRPr="0030198E">
        <w:rPr>
          <w:i/>
        </w:rPr>
        <w:t>ex post</w:t>
      </w:r>
    </w:p>
    <w:p w:rsidR="0030198E" w:rsidRDefault="0030198E" w:rsidP="007C3D0C">
      <w:pPr>
        <w:pStyle w:val="ListParagraph"/>
        <w:numPr>
          <w:ilvl w:val="0"/>
          <w:numId w:val="3"/>
        </w:numPr>
        <w:ind w:left="360"/>
      </w:pPr>
      <w:r w:rsidRPr="0030198E">
        <w:t>Circularity</w:t>
      </w:r>
      <w:r>
        <w:t>/tautology</w:t>
      </w:r>
    </w:p>
    <w:p w:rsidR="0030198E" w:rsidRDefault="0030198E" w:rsidP="007C3D0C">
      <w:pPr>
        <w:pStyle w:val="ListParagraph"/>
        <w:numPr>
          <w:ilvl w:val="0"/>
          <w:numId w:val="3"/>
        </w:numPr>
        <w:ind w:left="360"/>
      </w:pPr>
      <w:r w:rsidRPr="0030198E">
        <w:t>Factive-attributive ambivalence and open-texture</w:t>
      </w:r>
    </w:p>
    <w:p w:rsidR="0030198E" w:rsidRDefault="006F1CD0" w:rsidP="007C3D0C">
      <w:pPr>
        <w:pStyle w:val="ListParagraph"/>
        <w:numPr>
          <w:ilvl w:val="0"/>
          <w:numId w:val="3"/>
        </w:numPr>
        <w:spacing w:after="0"/>
        <w:ind w:left="360"/>
      </w:pPr>
      <w:r>
        <w:t xml:space="preserve">Risk, </w:t>
      </w:r>
      <w:proofErr w:type="spellStart"/>
      <w:r>
        <w:t>r</w:t>
      </w:r>
      <w:r w:rsidR="0030198E" w:rsidRPr="0030198E">
        <w:t>elationality</w:t>
      </w:r>
      <w:bookmarkStart w:id="0" w:name="_Ref428002133"/>
      <w:proofErr w:type="spellEnd"/>
      <w:r w:rsidR="0030198E">
        <w:rPr>
          <w:rStyle w:val="FootnoteReference"/>
        </w:rPr>
        <w:footnoteReference w:id="3"/>
      </w:r>
      <w:bookmarkEnd w:id="0"/>
      <w:r>
        <w:t xml:space="preserve"> and c</w:t>
      </w:r>
      <w:r w:rsidR="0030198E" w:rsidRPr="0030198E">
        <w:t>ause</w:t>
      </w:r>
    </w:p>
    <w:p w:rsidR="00384B60" w:rsidRDefault="0030198E" w:rsidP="007C3D0C">
      <w:pPr>
        <w:ind w:left="360"/>
      </w:pPr>
      <w:r w:rsidRPr="0030198E">
        <w:t xml:space="preserve">For D to be held responsible, R to persons in C’s position must be deemed sufficiently probable to be </w:t>
      </w:r>
      <w:r w:rsidRPr="0030198E">
        <w:rPr>
          <w:i/>
        </w:rPr>
        <w:t>foreseeable</w:t>
      </w:r>
      <w:r w:rsidRPr="0030198E">
        <w:t xml:space="preserve"> by persons in D’s position. That </w:t>
      </w:r>
      <w:r w:rsidRPr="0030198E">
        <w:rPr>
          <w:i/>
        </w:rPr>
        <w:t>entails</w:t>
      </w:r>
      <w:r w:rsidRPr="0030198E">
        <w:t xml:space="preserve"> that the relationship between C and D be, in some sense, </w:t>
      </w:r>
      <w:r w:rsidRPr="00432804">
        <w:rPr>
          <w:u w:val="single"/>
        </w:rPr>
        <w:t xml:space="preserve">sufficiently </w:t>
      </w:r>
      <w:r w:rsidRPr="00432804">
        <w:rPr>
          <w:i/>
          <w:u w:val="single"/>
        </w:rPr>
        <w:t>close</w:t>
      </w:r>
      <w:r w:rsidRPr="0030198E">
        <w:t>.</w:t>
      </w:r>
      <w:r w:rsidRPr="0030198E">
        <w:rPr>
          <w:vertAlign w:val="superscript"/>
        </w:rPr>
        <w:footnoteReference w:id="4"/>
      </w:r>
      <w:r w:rsidR="00E319A1">
        <w:t xml:space="preserve"> </w:t>
      </w:r>
      <w:proofErr w:type="gramStart"/>
      <w:r>
        <w:t>Think ‘proximate cause’</w:t>
      </w:r>
      <w:r w:rsidR="00BB64FF">
        <w:t xml:space="preserve"> (and, of course, remoteness of damage)</w:t>
      </w:r>
      <w:r>
        <w:t>.</w:t>
      </w:r>
      <w:proofErr w:type="gramEnd"/>
      <w:r w:rsidR="00E319A1">
        <w:t xml:space="preserve"> </w:t>
      </w:r>
    </w:p>
    <w:p w:rsidR="0030198E" w:rsidRPr="0030198E" w:rsidRDefault="0030198E" w:rsidP="007C3D0C">
      <w:pPr>
        <w:ind w:left="360"/>
      </w:pPr>
      <w:r w:rsidRPr="0030198E">
        <w:t xml:space="preserve">Lord Oliver’s </w:t>
      </w:r>
      <w:r w:rsidR="00432804">
        <w:t xml:space="preserve">wise </w:t>
      </w:r>
      <w:r w:rsidRPr="0030198E">
        <w:t xml:space="preserve">words </w:t>
      </w:r>
      <w:r w:rsidR="00E319A1">
        <w:t xml:space="preserve">in </w:t>
      </w:r>
      <w:proofErr w:type="spellStart"/>
      <w:r w:rsidR="00E319A1" w:rsidRPr="00E319A1">
        <w:rPr>
          <w:i/>
        </w:rPr>
        <w:t>Alcock</w:t>
      </w:r>
      <w:proofErr w:type="spellEnd"/>
      <w:r w:rsidR="00E319A1">
        <w:t xml:space="preserve"> v </w:t>
      </w:r>
      <w:r w:rsidR="00E319A1" w:rsidRPr="00E319A1">
        <w:rPr>
          <w:i/>
        </w:rPr>
        <w:t>Chief Constable of South Yorkshire</w:t>
      </w:r>
      <w:r w:rsidR="00E319A1">
        <w:t xml:space="preserve"> [1992] AC 310, 411 </w:t>
      </w:r>
      <w:r w:rsidRPr="0030198E">
        <w:t xml:space="preserve">about </w:t>
      </w:r>
      <w:r w:rsidRPr="002349ED">
        <w:rPr>
          <w:i/>
        </w:rPr>
        <w:t xml:space="preserve">proximity </w:t>
      </w:r>
      <w:r w:rsidRPr="0030198E">
        <w:t xml:space="preserve">can be applied </w:t>
      </w:r>
      <w:r w:rsidR="00E319A1">
        <w:t xml:space="preserve">equally </w:t>
      </w:r>
      <w:r w:rsidRPr="0030198E">
        <w:t xml:space="preserve">to </w:t>
      </w:r>
      <w:r w:rsidRPr="002349ED">
        <w:rPr>
          <w:i/>
        </w:rPr>
        <w:t>attributive foreseeability</w:t>
      </w:r>
      <w:r w:rsidRPr="0030198E">
        <w:t>.</w:t>
      </w:r>
    </w:p>
    <w:p w:rsidR="0030198E" w:rsidRDefault="0030198E" w:rsidP="007C3D0C">
      <w:pPr>
        <w:pStyle w:val="Quote"/>
        <w:ind w:left="360"/>
      </w:pPr>
      <w:r w:rsidRPr="0030198E">
        <w:t>‘</w:t>
      </w:r>
      <w:r w:rsidR="006F1CD0">
        <w:t>The answer has…</w:t>
      </w:r>
      <w:r w:rsidR="006F1CD0" w:rsidRPr="006F1CD0">
        <w:t xml:space="preserve">to be found in the existence of a combination of circumstances from which the necessary degree of "proximity" </w:t>
      </w:r>
      <w:r w:rsidR="005E231C" w:rsidRPr="005E231C">
        <w:rPr>
          <w:i w:val="0"/>
        </w:rPr>
        <w:t>[</w:t>
      </w:r>
      <w:r w:rsidR="006F1CD0" w:rsidRPr="005E231C">
        <w:rPr>
          <w:i w:val="0"/>
        </w:rPr>
        <w:t xml:space="preserve">or </w:t>
      </w:r>
      <w:r w:rsidR="00432804">
        <w:rPr>
          <w:i w:val="0"/>
        </w:rPr>
        <w:t xml:space="preserve">of </w:t>
      </w:r>
      <w:r w:rsidR="006F1CD0" w:rsidRPr="005E231C">
        <w:rPr>
          <w:i w:val="0"/>
        </w:rPr>
        <w:t>“</w:t>
      </w:r>
      <w:r w:rsidR="009A2830">
        <w:rPr>
          <w:i w:val="0"/>
        </w:rPr>
        <w:t xml:space="preserve">attributive </w:t>
      </w:r>
      <w:r w:rsidR="006F1CD0" w:rsidRPr="005E231C">
        <w:rPr>
          <w:i w:val="0"/>
        </w:rPr>
        <w:t>foreseeability”]</w:t>
      </w:r>
      <w:r w:rsidR="006F1CD0">
        <w:t xml:space="preserve"> </w:t>
      </w:r>
      <w:r w:rsidR="006F1CD0" w:rsidRPr="006F1CD0">
        <w:t>between the plaintiff and the defendant can be deduced. And, in the end,</w:t>
      </w:r>
      <w:r w:rsidR="006F1CD0">
        <w:t xml:space="preserve"> </w:t>
      </w:r>
      <w:r w:rsidR="00432804">
        <w:t>i</w:t>
      </w:r>
      <w:r w:rsidRPr="0030198E">
        <w:t>t has to be accepted that the concept of "proximity"</w:t>
      </w:r>
      <w:r>
        <w:t xml:space="preserve"> </w:t>
      </w:r>
      <w:r w:rsidRPr="005E231C">
        <w:rPr>
          <w:i w:val="0"/>
        </w:rPr>
        <w:t xml:space="preserve">[or </w:t>
      </w:r>
      <w:r w:rsidR="00432804">
        <w:rPr>
          <w:i w:val="0"/>
        </w:rPr>
        <w:t xml:space="preserve">of </w:t>
      </w:r>
      <w:r w:rsidRPr="005E231C">
        <w:rPr>
          <w:i w:val="0"/>
        </w:rPr>
        <w:t>“attributive foreseeability”]</w:t>
      </w:r>
      <w:r w:rsidRPr="0030198E">
        <w:t xml:space="preserve"> is an artificial one which depends more upon the court's perception of </w:t>
      </w:r>
      <w:r w:rsidRPr="00432804">
        <w:rPr>
          <w:u w:val="single"/>
        </w:rPr>
        <w:t xml:space="preserve">what is the reasonable area for the imposition of liability </w:t>
      </w:r>
      <w:r w:rsidRPr="0030198E">
        <w:t>than upon any logical process of analogical deduction.’</w:t>
      </w:r>
    </w:p>
    <w:p w:rsidR="00BB64FF" w:rsidRPr="00BB64FF" w:rsidRDefault="00BB64FF" w:rsidP="00BB64FF">
      <w:pPr>
        <w:pStyle w:val="ListParagraph"/>
        <w:numPr>
          <w:ilvl w:val="0"/>
          <w:numId w:val="3"/>
        </w:numPr>
        <w:ind w:left="360"/>
      </w:pPr>
      <w:r>
        <w:t xml:space="preserve">Why then have two concepts </w:t>
      </w:r>
      <w:r w:rsidRPr="00432804">
        <w:rPr>
          <w:u w:val="single"/>
        </w:rPr>
        <w:t>doing the same work</w:t>
      </w:r>
      <w:r>
        <w:t xml:space="preserve">? And </w:t>
      </w:r>
      <w:r w:rsidRPr="00432804">
        <w:rPr>
          <w:u w:val="single"/>
        </w:rPr>
        <w:t>using the same contributory reasons</w:t>
      </w:r>
      <w:r w:rsidR="00432804">
        <w:t>?</w:t>
      </w:r>
      <w:r>
        <w:t xml:space="preserve"> </w:t>
      </w:r>
    </w:p>
    <w:p w:rsidR="009A2830" w:rsidRDefault="00661D75" w:rsidP="009A2830">
      <w:r w:rsidRPr="009A2830">
        <w:rPr>
          <w:rStyle w:val="Heading1Char"/>
        </w:rPr>
        <w:t>Case Studies</w:t>
      </w:r>
      <w:r w:rsidR="009A2830" w:rsidRPr="009A2830">
        <w:t xml:space="preserve"> </w:t>
      </w:r>
      <w:r w:rsidR="009A2830">
        <w:t>(There are four in the paper but I will deal only with two here)</w:t>
      </w:r>
    </w:p>
    <w:p w:rsidR="004C0B78" w:rsidRDefault="004C0B78" w:rsidP="004C0B78">
      <w:pPr>
        <w:pStyle w:val="Heading2"/>
      </w:pPr>
      <w:r>
        <w:t>Page v Smith</w:t>
      </w:r>
      <w:r w:rsidR="009A2830">
        <w:t xml:space="preserve"> </w:t>
      </w:r>
      <w:r w:rsidR="009A2830" w:rsidRPr="009A2830">
        <w:t>[1996] AC 155</w:t>
      </w:r>
    </w:p>
    <w:p w:rsidR="004C0B78" w:rsidRDefault="00D51F61" w:rsidP="00D51F61">
      <w:pPr>
        <w:pStyle w:val="Quote"/>
        <w:ind w:left="0"/>
      </w:pPr>
      <w:r>
        <w:t xml:space="preserve">‘Before a defendant can be held liable for psychiatric injury suffered by a primary victim, he must at least </w:t>
      </w:r>
      <w:r w:rsidR="00A53575">
        <w:rPr>
          <w:u w:val="single"/>
        </w:rPr>
        <w:t xml:space="preserve">have </w:t>
      </w:r>
      <w:r w:rsidR="00A53575" w:rsidRPr="00A53575">
        <w:rPr>
          <w:u w:val="single"/>
        </w:rPr>
        <w:t>foreseen</w:t>
      </w:r>
      <w:r w:rsidR="00A53575">
        <w:t xml:space="preserve"> </w:t>
      </w:r>
      <w:r w:rsidRPr="00A53575">
        <w:t>the</w:t>
      </w:r>
      <w:r>
        <w:t xml:space="preserve"> risk of physical injury.’</w:t>
      </w:r>
    </w:p>
    <w:p w:rsidR="00BB64FF" w:rsidRDefault="009A2830" w:rsidP="00D51F61">
      <w:r>
        <w:t>Lord Lloyd</w:t>
      </w:r>
      <w:r w:rsidR="00BB64FF">
        <w:t xml:space="preserve"> use</w:t>
      </w:r>
      <w:r>
        <w:t>s</w:t>
      </w:r>
      <w:r w:rsidR="00D51F61">
        <w:t xml:space="preserve"> </w:t>
      </w:r>
      <w:r w:rsidR="00BB64FF">
        <w:t xml:space="preserve">the inappropriate </w:t>
      </w:r>
      <w:r w:rsidR="00D51F61">
        <w:t>language</w:t>
      </w:r>
      <w:r>
        <w:t xml:space="preserve"> </w:t>
      </w:r>
      <w:r w:rsidR="00D51F61">
        <w:t xml:space="preserve">of </w:t>
      </w:r>
      <w:r w:rsidR="00D51F61" w:rsidRPr="00D51F61">
        <w:rPr>
          <w:i/>
        </w:rPr>
        <w:t>factive foresight</w:t>
      </w:r>
      <w:r w:rsidR="00D51F61">
        <w:t xml:space="preserve">. D </w:t>
      </w:r>
      <w:r w:rsidR="00A53575">
        <w:t xml:space="preserve">had </w:t>
      </w:r>
      <w:r w:rsidR="00D51F61">
        <w:t>simply failed to give way when turning out of a side road</w:t>
      </w:r>
      <w:r>
        <w:t>. Y</w:t>
      </w:r>
      <w:r w:rsidR="00A53575">
        <w:t>et</w:t>
      </w:r>
      <w:r w:rsidR="00D51F61">
        <w:t xml:space="preserve"> </w:t>
      </w:r>
      <w:r w:rsidR="00BB64FF">
        <w:t>D</w:t>
      </w:r>
      <w:r>
        <w:t xml:space="preserve"> </w:t>
      </w:r>
      <w:r w:rsidR="00D51F61">
        <w:t>was held liable</w:t>
      </w:r>
      <w:r>
        <w:t xml:space="preserve">, </w:t>
      </w:r>
      <w:r w:rsidRPr="009A2830">
        <w:rPr>
          <w:u w:val="single"/>
        </w:rPr>
        <w:t xml:space="preserve">even </w:t>
      </w:r>
      <w:r w:rsidRPr="00762CDB">
        <w:rPr>
          <w:u w:val="single"/>
        </w:rPr>
        <w:t>though h</w:t>
      </w:r>
      <w:r w:rsidR="00A53575" w:rsidRPr="00A53575">
        <w:rPr>
          <w:u w:val="single"/>
        </w:rPr>
        <w:t>e had not actually foreseen any harm to C</w:t>
      </w:r>
      <w:r w:rsidR="00A53575">
        <w:t xml:space="preserve">. </w:t>
      </w:r>
    </w:p>
    <w:p w:rsidR="00D51F61" w:rsidRDefault="00D51F61" w:rsidP="00D51F61">
      <w:r>
        <w:t xml:space="preserve">Later, in </w:t>
      </w:r>
      <w:r w:rsidR="009B6BD1">
        <w:t>changing the law for those actually involved in accidents (</w:t>
      </w:r>
      <w:r w:rsidR="009A2830">
        <w:t>so-called ‘</w:t>
      </w:r>
      <w:r w:rsidR="009B6BD1">
        <w:t>primary victims</w:t>
      </w:r>
      <w:r w:rsidR="009A2830">
        <w:t>’</w:t>
      </w:r>
      <w:r w:rsidR="009B6BD1">
        <w:t>)</w:t>
      </w:r>
      <w:r w:rsidR="009A2830">
        <w:t xml:space="preserve">, Lord Lloyd </w:t>
      </w:r>
      <w:r w:rsidR="009B6BD1">
        <w:t xml:space="preserve">used the language of </w:t>
      </w:r>
      <w:r w:rsidR="009B6BD1" w:rsidRPr="007F54C2">
        <w:rPr>
          <w:i/>
        </w:rPr>
        <w:t>factive foreseeability</w:t>
      </w:r>
      <w:r w:rsidR="00EC311E">
        <w:t>—attributive foreseeability would have been more appropriate.</w:t>
      </w:r>
    </w:p>
    <w:p w:rsidR="004C0B78" w:rsidRDefault="00D51F61" w:rsidP="00D51F61">
      <w:pPr>
        <w:pStyle w:val="Quote"/>
        <w:ind w:left="0"/>
      </w:pPr>
      <w:r w:rsidRPr="00D51F61">
        <w:t xml:space="preserve">‘[T]he approach in all cases should be the same, namely, whether the </w:t>
      </w:r>
      <w:r w:rsidRPr="00432804">
        <w:rPr>
          <w:i w:val="0"/>
        </w:rPr>
        <w:t>[actual]</w:t>
      </w:r>
      <w:r w:rsidRPr="00D51F61">
        <w:t xml:space="preserve"> defendant </w:t>
      </w:r>
      <w:r w:rsidRPr="00432804">
        <w:rPr>
          <w:i w:val="0"/>
        </w:rPr>
        <w:t xml:space="preserve">[not some judicial construct] </w:t>
      </w:r>
      <w:r w:rsidRPr="00B67B3B">
        <w:rPr>
          <w:u w:val="single"/>
        </w:rPr>
        <w:t>can reasonably foresee</w:t>
      </w:r>
      <w:r w:rsidRPr="00D51F61">
        <w:t xml:space="preserve"> that his conduct will expose the plaintiff to the risk of personal injury, w</w:t>
      </w:r>
      <w:r w:rsidR="00BB64FF">
        <w:t xml:space="preserve">hether physical or psychiatric.’ </w:t>
      </w:r>
      <w:r w:rsidR="00BB64FF" w:rsidRPr="00BB64FF">
        <w:rPr>
          <w:i w:val="0"/>
        </w:rPr>
        <w:t>(Emphases and bracketed interpolations added</w:t>
      </w:r>
      <w:r w:rsidR="00BB64FF">
        <w:rPr>
          <w:i w:val="0"/>
        </w:rPr>
        <w:t>.</w:t>
      </w:r>
      <w:r w:rsidR="00BB64FF" w:rsidRPr="00BB64FF">
        <w:rPr>
          <w:i w:val="0"/>
        </w:rPr>
        <w:t>)</w:t>
      </w:r>
    </w:p>
    <w:p w:rsidR="009B6BD1" w:rsidRPr="009B6BD1" w:rsidRDefault="009B6BD1" w:rsidP="009B6BD1">
      <w:r>
        <w:t>But t</w:t>
      </w:r>
      <w:r w:rsidRPr="009B6BD1">
        <w:t>he clue to his illocutionary meaning is, I suggest, h</w:t>
      </w:r>
      <w:r w:rsidR="00A53575">
        <w:t>is use of the word ‘</w:t>
      </w:r>
      <w:r w:rsidR="00A53575" w:rsidRPr="00BB64FF">
        <w:rPr>
          <w:i/>
        </w:rPr>
        <w:t>reasonably</w:t>
      </w:r>
      <w:r w:rsidR="00EC311E">
        <w:t>’. That word</w:t>
      </w:r>
      <w:r w:rsidRPr="009B6BD1">
        <w:t xml:space="preserve"> signals that he spoke </w:t>
      </w:r>
      <w:r w:rsidRPr="00BB64FF">
        <w:rPr>
          <w:i/>
        </w:rPr>
        <w:t>attributively</w:t>
      </w:r>
      <w:r w:rsidRPr="009B6BD1">
        <w:t xml:space="preserve">, as a judge of </w:t>
      </w:r>
      <w:r w:rsidRPr="00BB64FF">
        <w:rPr>
          <w:i/>
        </w:rPr>
        <w:t>standards</w:t>
      </w:r>
      <w:r w:rsidRPr="009B6BD1">
        <w:t xml:space="preserve"> (rather than of </w:t>
      </w:r>
      <w:r w:rsidRPr="00BB64FF">
        <w:rPr>
          <w:i/>
        </w:rPr>
        <w:t>fact</w:t>
      </w:r>
      <w:r w:rsidRPr="009B6BD1">
        <w:t>).</w:t>
      </w:r>
      <w:r w:rsidR="00EC311E">
        <w:t xml:space="preserve"> Indeed, it does </w:t>
      </w:r>
      <w:r w:rsidR="00EC311E" w:rsidRPr="00EC311E">
        <w:rPr>
          <w:i/>
        </w:rPr>
        <w:t>all</w:t>
      </w:r>
      <w:r w:rsidR="00EC311E">
        <w:t xml:space="preserve"> the normative work.</w:t>
      </w:r>
    </w:p>
    <w:p w:rsidR="00D51F61" w:rsidRDefault="00D51F61" w:rsidP="00D51F61">
      <w:pPr>
        <w:pStyle w:val="Heading2"/>
      </w:pPr>
      <w:r>
        <w:lastRenderedPageBreak/>
        <w:t>The Wagon Mound litigation</w:t>
      </w:r>
      <w:r w:rsidR="009A2830">
        <w:t xml:space="preserve"> </w:t>
      </w:r>
    </w:p>
    <w:p w:rsidR="009B6BD1" w:rsidRPr="009B6BD1" w:rsidRDefault="009B6BD1" w:rsidP="007F54C2">
      <w:r w:rsidRPr="009B6BD1">
        <w:t>Fire damage was unforeseeable and irrecoverable in the first case, but foreseeable and recoverable in the second.</w:t>
      </w:r>
      <w:r w:rsidR="007F54C2">
        <w:t xml:space="preserve"> </w:t>
      </w:r>
      <w:r w:rsidRPr="009B6BD1">
        <w:t xml:space="preserve">In </w:t>
      </w:r>
      <w:r w:rsidRPr="009B6BD1">
        <w:rPr>
          <w:i/>
        </w:rPr>
        <w:t>WM1</w:t>
      </w:r>
      <w:r w:rsidRPr="009B6BD1">
        <w:t>, the trial judge, Kinsella J, made what Viscount Simonds later described</w:t>
      </w:r>
      <w:r w:rsidR="009A2830">
        <w:t xml:space="preserve"> </w:t>
      </w:r>
      <w:r w:rsidR="009A2830" w:rsidRPr="009A2830">
        <w:t xml:space="preserve">[1961] AC 688 </w:t>
      </w:r>
      <w:r w:rsidRPr="009B6BD1">
        <w:t>as ‘the all-important finding’. It seems two-pronged—factive and attributive.</w:t>
      </w:r>
    </w:p>
    <w:p w:rsidR="009B6BD1" w:rsidRPr="0078292E" w:rsidRDefault="009B6BD1" w:rsidP="009B6BD1">
      <w:pPr>
        <w:pStyle w:val="Quote"/>
        <w:ind w:left="0"/>
        <w:rPr>
          <w:spacing w:val="-2"/>
        </w:rPr>
      </w:pPr>
      <w:r w:rsidRPr="0078292E">
        <w:rPr>
          <w:spacing w:val="-4"/>
        </w:rPr>
        <w:t>‘The raison d'être of furnace oil is</w:t>
      </w:r>
      <w:r w:rsidR="0078292E" w:rsidRPr="0078292E">
        <w:rPr>
          <w:spacing w:val="-4"/>
        </w:rPr>
        <w:t>…</w:t>
      </w:r>
      <w:r w:rsidRPr="0078292E">
        <w:rPr>
          <w:spacing w:val="-4"/>
        </w:rPr>
        <w:t xml:space="preserve"> that it shall burn, but I find </w:t>
      </w:r>
      <w:r w:rsidRPr="0078292E">
        <w:rPr>
          <w:i w:val="0"/>
          <w:spacing w:val="-4"/>
        </w:rPr>
        <w:t>[factively]</w:t>
      </w:r>
      <w:r w:rsidRPr="0078292E">
        <w:rPr>
          <w:spacing w:val="-4"/>
        </w:rPr>
        <w:t xml:space="preserve"> the defendant </w:t>
      </w:r>
      <w:r w:rsidRPr="0078292E">
        <w:rPr>
          <w:spacing w:val="-4"/>
          <w:u w:val="single"/>
        </w:rPr>
        <w:t>did not know</w:t>
      </w:r>
      <w:r w:rsidRPr="0078292E">
        <w:rPr>
          <w:spacing w:val="-4"/>
        </w:rPr>
        <w:t xml:space="preserve"> and</w:t>
      </w:r>
      <w:r w:rsidRPr="0078292E">
        <w:rPr>
          <w:spacing w:val="-2"/>
        </w:rPr>
        <w:t xml:space="preserve"> </w:t>
      </w:r>
      <w:r w:rsidRPr="0078292E">
        <w:rPr>
          <w:i w:val="0"/>
          <w:spacing w:val="-6"/>
        </w:rPr>
        <w:t>[attributively</w:t>
      </w:r>
      <w:r w:rsidRPr="0078292E">
        <w:rPr>
          <w:i w:val="0"/>
          <w:spacing w:val="-4"/>
        </w:rPr>
        <w:t>]</w:t>
      </w:r>
      <w:r w:rsidRPr="0078292E">
        <w:rPr>
          <w:spacing w:val="-4"/>
        </w:rPr>
        <w:t xml:space="preserve"> </w:t>
      </w:r>
      <w:r w:rsidRPr="0078292E">
        <w:rPr>
          <w:spacing w:val="-4"/>
          <w:u w:val="single"/>
        </w:rPr>
        <w:t>could not</w:t>
      </w:r>
      <w:r w:rsidRPr="0078292E">
        <w:rPr>
          <w:spacing w:val="-2"/>
          <w:u w:val="single"/>
        </w:rPr>
        <w:t xml:space="preserve"> reasonably be expected to have known</w:t>
      </w:r>
      <w:r w:rsidRPr="0078292E">
        <w:rPr>
          <w:spacing w:val="-2"/>
        </w:rPr>
        <w:t xml:space="preserve"> </w:t>
      </w:r>
      <w:r w:rsidRPr="0078292E">
        <w:rPr>
          <w:spacing w:val="-4"/>
        </w:rPr>
        <w:t>that it was capable</w:t>
      </w:r>
      <w:r w:rsidRPr="0078292E">
        <w:rPr>
          <w:spacing w:val="-2"/>
        </w:rPr>
        <w:t xml:space="preserve"> of being set afire when spread on water.’</w:t>
      </w:r>
    </w:p>
    <w:p w:rsidR="007B2843" w:rsidRDefault="007B2843" w:rsidP="007B2843">
      <w:r>
        <w:t>In WM2FI</w:t>
      </w:r>
      <w:r w:rsidR="009A2830">
        <w:t xml:space="preserve"> </w:t>
      </w:r>
      <w:r w:rsidR="009A2830" w:rsidRPr="009A2830">
        <w:t>[1963] 1 Lloyd’s Reports 402</w:t>
      </w:r>
      <w:r>
        <w:t>, Walsh J, (</w:t>
      </w:r>
      <w:proofErr w:type="spellStart"/>
      <w:r>
        <w:t>i</w:t>
      </w:r>
      <w:proofErr w:type="spellEnd"/>
      <w:r>
        <w:t xml:space="preserve">) </w:t>
      </w:r>
      <w:r w:rsidR="00A20E48">
        <w:t>undertook</w:t>
      </w:r>
      <w:r w:rsidRPr="007B2843">
        <w:t xml:space="preserve"> ‘some scrutiny of the test of foreseeability,</w:t>
      </w:r>
      <w:r>
        <w:t xml:space="preserve"> in order to determine how it should be applied to the circumstances of the case’; and (ii) heard and </w:t>
      </w:r>
      <w:r w:rsidRPr="007B2843">
        <w:t>assess</w:t>
      </w:r>
      <w:r>
        <w:t xml:space="preserve">ed </w:t>
      </w:r>
      <w:r w:rsidRPr="007B2843">
        <w:t xml:space="preserve">the evidence </w:t>
      </w:r>
      <w:r w:rsidR="008F6A7C" w:rsidRPr="007B2843">
        <w:t>of people in the same technical business as D</w:t>
      </w:r>
      <w:r w:rsidR="008F6A7C">
        <w:t>.</w:t>
      </w:r>
      <w:r w:rsidR="008F6A7C" w:rsidRPr="007B2843">
        <w:t xml:space="preserve"> </w:t>
      </w:r>
      <w:r w:rsidRPr="007B2843">
        <w:t>(</w:t>
      </w:r>
      <w:r w:rsidR="008F6A7C">
        <w:t xml:space="preserve">The evidence in </w:t>
      </w:r>
      <w:r w:rsidR="008F6A7C" w:rsidRPr="008F6A7C">
        <w:rPr>
          <w:i/>
        </w:rPr>
        <w:t xml:space="preserve">WM2 </w:t>
      </w:r>
      <w:r w:rsidR="008F6A7C">
        <w:t xml:space="preserve">was </w:t>
      </w:r>
      <w:r w:rsidRPr="007B2843">
        <w:t xml:space="preserve">different to that in </w:t>
      </w:r>
      <w:r w:rsidRPr="007B2843">
        <w:rPr>
          <w:i/>
        </w:rPr>
        <w:t>WM1</w:t>
      </w:r>
      <w:r w:rsidR="0078292E">
        <w:rPr>
          <w:i/>
        </w:rPr>
        <w:t xml:space="preserve"> </w:t>
      </w:r>
      <w:r w:rsidR="0078292E">
        <w:t xml:space="preserve">because in </w:t>
      </w:r>
      <w:r w:rsidR="0078292E" w:rsidRPr="0078292E">
        <w:t>the risk of contributory negligence</w:t>
      </w:r>
      <w:r w:rsidR="0078292E">
        <w:t xml:space="preserve"> present in </w:t>
      </w:r>
      <w:r w:rsidR="0078292E" w:rsidRPr="0078292E">
        <w:rPr>
          <w:i/>
        </w:rPr>
        <w:t>WM1</w:t>
      </w:r>
      <w:r w:rsidR="0078292E">
        <w:t xml:space="preserve"> was absent in</w:t>
      </w:r>
      <w:r w:rsidR="0078292E" w:rsidRPr="0078292E">
        <w:t xml:space="preserve"> </w:t>
      </w:r>
      <w:r w:rsidR="0078292E" w:rsidRPr="0078292E">
        <w:rPr>
          <w:i/>
        </w:rPr>
        <w:t>WM2</w:t>
      </w:r>
      <w:r w:rsidRPr="007B2843">
        <w:t>)</w:t>
      </w:r>
      <w:r w:rsidR="00A20E48">
        <w:t>. He</w:t>
      </w:r>
      <w:r>
        <w:t xml:space="preserve"> held that</w:t>
      </w:r>
      <w:r w:rsidR="00A20E48">
        <w:t>,</w:t>
      </w:r>
      <w:r>
        <w:t xml:space="preserve"> </w:t>
      </w:r>
    </w:p>
    <w:p w:rsidR="007B2843" w:rsidRDefault="007B2843" w:rsidP="007B2843">
      <w:pPr>
        <w:pStyle w:val="Quote"/>
        <w:ind w:left="0"/>
      </w:pPr>
      <w:r>
        <w:t>‘</w:t>
      </w:r>
      <w:proofErr w:type="gramStart"/>
      <w:r w:rsidRPr="007B2843">
        <w:t>the</w:t>
      </w:r>
      <w:proofErr w:type="gramEnd"/>
      <w:r w:rsidRPr="007B2843">
        <w:t xml:space="preserve"> occurrence of damage to the plaintiff's property as a result of the spillage </w:t>
      </w:r>
      <w:r w:rsidRPr="00A53575">
        <w:rPr>
          <w:u w:val="single"/>
        </w:rPr>
        <w:t>was not reasonably foreseeable</w:t>
      </w:r>
      <w:r w:rsidRPr="007B2843">
        <w:t xml:space="preserve"> by those for whose acts the defendant would be responsible</w:t>
      </w:r>
      <w:r>
        <w:t>’</w:t>
      </w:r>
    </w:p>
    <w:p w:rsidR="003900E4" w:rsidRDefault="003900E4" w:rsidP="00C76DD3">
      <w:r>
        <w:t xml:space="preserve">These </w:t>
      </w:r>
      <w:r>
        <w:t>words</w:t>
      </w:r>
      <w:r>
        <w:t xml:space="preserve"> conflate two </w:t>
      </w:r>
      <w:r w:rsidR="00A20E48">
        <w:t>of his verdicts</w:t>
      </w:r>
      <w:r w:rsidR="008F6A7C">
        <w:t>. Verdict</w:t>
      </w:r>
      <w:r>
        <w:t xml:space="preserve"> (A) is factive and</w:t>
      </w:r>
      <w:r w:rsidR="008F6A7C">
        <w:t xml:space="preserve"> verdict </w:t>
      </w:r>
      <w:r>
        <w:t>(B) is attributive</w:t>
      </w:r>
      <w:r w:rsidR="00BB780A">
        <w:t xml:space="preserve">: </w:t>
      </w:r>
    </w:p>
    <w:p w:rsidR="003900E4" w:rsidRDefault="00BB780A" w:rsidP="00C76DD3">
      <w:r>
        <w:t>(A)</w:t>
      </w:r>
      <w:r w:rsidR="00A53575">
        <w:t xml:space="preserve"> </w:t>
      </w:r>
      <w:proofErr w:type="gramStart"/>
      <w:r w:rsidR="00A53575">
        <w:t>s</w:t>
      </w:r>
      <w:r w:rsidR="007B2843">
        <w:t>ome</w:t>
      </w:r>
      <w:proofErr w:type="gramEnd"/>
      <w:r w:rsidR="007B2843">
        <w:t xml:space="preserve"> might have foreseen the risk</w:t>
      </w:r>
      <w:r w:rsidR="00A20E48">
        <w:t xml:space="preserve"> (so it is </w:t>
      </w:r>
      <w:r w:rsidR="00A20E48" w:rsidRPr="00A20E48">
        <w:rPr>
          <w:i/>
        </w:rPr>
        <w:t>factively</w:t>
      </w:r>
      <w:r w:rsidR="00A20E48">
        <w:t xml:space="preserve"> foreseeable)</w:t>
      </w:r>
      <w:r>
        <w:t xml:space="preserve">; </w:t>
      </w:r>
    </w:p>
    <w:p w:rsidR="003900E4" w:rsidRDefault="00BB780A" w:rsidP="00C76DD3">
      <w:r>
        <w:t>(B)</w:t>
      </w:r>
      <w:r w:rsidR="007B2843">
        <w:t xml:space="preserve"> </w:t>
      </w:r>
      <w:proofErr w:type="gramStart"/>
      <w:r w:rsidR="007B2843" w:rsidRPr="003900E4">
        <w:rPr>
          <w:spacing w:val="-2"/>
        </w:rPr>
        <w:t>but</w:t>
      </w:r>
      <w:proofErr w:type="gramEnd"/>
      <w:r w:rsidR="00A53575" w:rsidRPr="003900E4">
        <w:rPr>
          <w:spacing w:val="-2"/>
        </w:rPr>
        <w:t xml:space="preserve"> </w:t>
      </w:r>
      <w:r w:rsidR="007B2843" w:rsidRPr="003900E4">
        <w:rPr>
          <w:spacing w:val="-2"/>
        </w:rPr>
        <w:t xml:space="preserve">the </w:t>
      </w:r>
      <w:r w:rsidR="007B2843" w:rsidRPr="003900E4">
        <w:rPr>
          <w:i/>
          <w:spacing w:val="-2"/>
        </w:rPr>
        <w:t>reasonable</w:t>
      </w:r>
      <w:r w:rsidR="007B2843" w:rsidRPr="003900E4">
        <w:rPr>
          <w:spacing w:val="-2"/>
        </w:rPr>
        <w:t xml:space="preserve"> ship’s engineer</w:t>
      </w:r>
      <w:r w:rsidR="003900E4" w:rsidRPr="003900E4">
        <w:rPr>
          <w:spacing w:val="-2"/>
        </w:rPr>
        <w:t xml:space="preserve"> (a </w:t>
      </w:r>
      <w:r w:rsidR="003900E4" w:rsidRPr="003900E4">
        <w:rPr>
          <w:i/>
          <w:spacing w:val="-2"/>
        </w:rPr>
        <w:t>judicial construct</w:t>
      </w:r>
      <w:r w:rsidR="003900E4" w:rsidRPr="003900E4">
        <w:rPr>
          <w:spacing w:val="-2"/>
        </w:rPr>
        <w:t>)</w:t>
      </w:r>
      <w:r w:rsidR="007B2843" w:rsidRPr="003900E4">
        <w:rPr>
          <w:spacing w:val="-2"/>
        </w:rPr>
        <w:t xml:space="preserve"> would have discounted the risk as too improbable</w:t>
      </w:r>
      <w:r w:rsidR="00A53575" w:rsidRPr="003900E4">
        <w:rPr>
          <w:spacing w:val="-2"/>
        </w:rPr>
        <w:t>.</w:t>
      </w:r>
      <w:r w:rsidR="00A53575">
        <w:t xml:space="preserve"> </w:t>
      </w:r>
    </w:p>
    <w:p w:rsidR="00C76DD3" w:rsidRPr="00C76DD3" w:rsidRDefault="007B2843" w:rsidP="00C76DD3">
      <w:r>
        <w:t xml:space="preserve">On its face, </w:t>
      </w:r>
      <w:r w:rsidR="003900E4">
        <w:rPr>
          <w:u w:val="single"/>
        </w:rPr>
        <w:t>verdict (B)</w:t>
      </w:r>
      <w:r w:rsidRPr="00A53575">
        <w:rPr>
          <w:u w:val="single"/>
        </w:rPr>
        <w:t xml:space="preserve"> reads as if a finding of fact</w:t>
      </w:r>
      <w:r>
        <w:t xml:space="preserve">, a matter for the judge who heard the witnesses and </w:t>
      </w:r>
      <w:r w:rsidRPr="00A53575">
        <w:rPr>
          <w:u w:val="single"/>
        </w:rPr>
        <w:t>not appealable</w:t>
      </w:r>
      <w:r>
        <w:t xml:space="preserve"> unless patently perverse. </w:t>
      </w:r>
      <w:r w:rsidR="003900E4">
        <w:t>B</w:t>
      </w:r>
      <w:r w:rsidR="003900E4" w:rsidRPr="003900E4">
        <w:t xml:space="preserve">ut one needs to read the sentence in context to determine </w:t>
      </w:r>
      <w:r w:rsidR="003900E4">
        <w:t>its attributive</w:t>
      </w:r>
      <w:r w:rsidR="003900E4" w:rsidRPr="003900E4">
        <w:t xml:space="preserve"> illocutionary force. </w:t>
      </w:r>
      <w:r w:rsidR="008F6A7C">
        <w:t>And e</w:t>
      </w:r>
      <w:r w:rsidR="003900E4">
        <w:t>lsewhere,</w:t>
      </w:r>
      <w:r>
        <w:t xml:space="preserve"> Walsh J </w:t>
      </w:r>
      <w:r w:rsidR="00C76DD3">
        <w:t xml:space="preserve">spoke of the </w:t>
      </w:r>
      <w:r w:rsidR="00C76DD3" w:rsidRPr="008F6A7C">
        <w:rPr>
          <w:u w:val="single"/>
        </w:rPr>
        <w:t xml:space="preserve">room for </w:t>
      </w:r>
      <w:r w:rsidR="00C76DD3" w:rsidRPr="00A53575">
        <w:rPr>
          <w:u w:val="single"/>
        </w:rPr>
        <w:t>diversity of view</w:t>
      </w:r>
      <w:r w:rsidR="00C76DD3">
        <w:t xml:space="preserve"> and </w:t>
      </w:r>
      <w:r w:rsidR="00C76DD3" w:rsidRPr="00C76DD3">
        <w:t>of the ship’s officers’ ‘</w:t>
      </w:r>
      <w:r w:rsidR="00C76DD3" w:rsidRPr="00A53575">
        <w:rPr>
          <w:u w:val="single"/>
        </w:rPr>
        <w:t>assumed</w:t>
      </w:r>
      <w:r w:rsidR="00C76DD3" w:rsidRPr="00C76DD3">
        <w:t xml:space="preserve">…mental processes’ in considering whether the fire risk was low enough to </w:t>
      </w:r>
      <w:r w:rsidR="00C76DD3" w:rsidRPr="008F6A7C">
        <w:rPr>
          <w:spacing w:val="-2"/>
        </w:rPr>
        <w:t>disregard. Tha</w:t>
      </w:r>
      <w:r w:rsidR="003900E4" w:rsidRPr="008F6A7C">
        <w:rPr>
          <w:spacing w:val="-2"/>
        </w:rPr>
        <w:t xml:space="preserve">t </w:t>
      </w:r>
      <w:r w:rsidR="00A20E48" w:rsidRPr="008F6A7C">
        <w:rPr>
          <w:spacing w:val="-2"/>
        </w:rPr>
        <w:t xml:space="preserve">language </w:t>
      </w:r>
      <w:r w:rsidR="003900E4" w:rsidRPr="008F6A7C">
        <w:rPr>
          <w:spacing w:val="-2"/>
        </w:rPr>
        <w:t xml:space="preserve">is more obviously attributive. </w:t>
      </w:r>
      <w:r w:rsidR="00A20E48" w:rsidRPr="008F6A7C">
        <w:rPr>
          <w:spacing w:val="-2"/>
        </w:rPr>
        <w:t>O</w:t>
      </w:r>
      <w:r w:rsidR="00A20E48" w:rsidRPr="008F6A7C">
        <w:rPr>
          <w:spacing w:val="-2"/>
        </w:rPr>
        <w:t>n appeal</w:t>
      </w:r>
      <w:r w:rsidR="00A20E48" w:rsidRPr="008F6A7C">
        <w:rPr>
          <w:spacing w:val="-2"/>
        </w:rPr>
        <w:t xml:space="preserve"> </w:t>
      </w:r>
      <w:r w:rsidR="00A20E48" w:rsidRPr="008F6A7C">
        <w:rPr>
          <w:spacing w:val="-2"/>
        </w:rPr>
        <w:t>[1967] 1 AC 617</w:t>
      </w:r>
      <w:r w:rsidR="00A20E48" w:rsidRPr="008F6A7C">
        <w:rPr>
          <w:spacing w:val="-2"/>
        </w:rPr>
        <w:t>, the Privy Council thought v</w:t>
      </w:r>
      <w:r w:rsidR="003900E4" w:rsidRPr="008F6A7C">
        <w:rPr>
          <w:spacing w:val="-2"/>
        </w:rPr>
        <w:t xml:space="preserve">erdict (B) was </w:t>
      </w:r>
      <w:r w:rsidR="00A53575" w:rsidRPr="008F6A7C">
        <w:rPr>
          <w:spacing w:val="-2"/>
        </w:rPr>
        <w:t>reversible</w:t>
      </w:r>
      <w:r w:rsidR="00A20E48" w:rsidRPr="008F6A7C">
        <w:rPr>
          <w:spacing w:val="-2"/>
        </w:rPr>
        <w:t xml:space="preserve">, </w:t>
      </w:r>
      <w:r w:rsidR="00A53575" w:rsidRPr="008F6A7C">
        <w:rPr>
          <w:spacing w:val="-2"/>
        </w:rPr>
        <w:t>and</w:t>
      </w:r>
      <w:r w:rsidR="003900E4" w:rsidRPr="008F6A7C">
        <w:rPr>
          <w:spacing w:val="-2"/>
        </w:rPr>
        <w:t xml:space="preserve"> </w:t>
      </w:r>
      <w:r w:rsidR="00A53575" w:rsidRPr="008F6A7C">
        <w:rPr>
          <w:spacing w:val="-2"/>
        </w:rPr>
        <w:t>reversed</w:t>
      </w:r>
      <w:r w:rsidR="00A20E48" w:rsidRPr="008F6A7C">
        <w:rPr>
          <w:spacing w:val="-2"/>
        </w:rPr>
        <w:t xml:space="preserve"> it (despite the clash with WM1)</w:t>
      </w:r>
      <w:r w:rsidR="00C76DD3" w:rsidRPr="008F6A7C">
        <w:rPr>
          <w:spacing w:val="-2"/>
        </w:rPr>
        <w:t xml:space="preserve">. Lord Reid said that </w:t>
      </w:r>
      <w:r w:rsidR="003900E4" w:rsidRPr="008F6A7C">
        <w:rPr>
          <w:spacing w:val="-2"/>
        </w:rPr>
        <w:t>verdict (B)</w:t>
      </w:r>
      <w:r w:rsidR="00C76DD3" w:rsidRPr="008F6A7C">
        <w:rPr>
          <w:spacing w:val="-2"/>
        </w:rPr>
        <w:t xml:space="preserve"> was</w:t>
      </w:r>
      <w:r w:rsidR="00C76DD3" w:rsidRPr="00C76DD3">
        <w:t xml:space="preserve"> </w:t>
      </w:r>
    </w:p>
    <w:p w:rsidR="007B2843" w:rsidRDefault="00C76DD3" w:rsidP="00C76DD3">
      <w:pPr>
        <w:pStyle w:val="Quote"/>
        <w:ind w:left="0"/>
      </w:pPr>
      <w:r w:rsidRPr="00C76DD3">
        <w:t>‘</w:t>
      </w:r>
      <w:r w:rsidRPr="00A53575">
        <w:rPr>
          <w:u w:val="single"/>
        </w:rPr>
        <w:t>not a primary finding of fact</w:t>
      </w:r>
      <w:r w:rsidRPr="00C76DD3">
        <w:t xml:space="preserve"> but </w:t>
      </w:r>
      <w:r w:rsidRPr="008F6A7C">
        <w:rPr>
          <w:u w:val="single"/>
        </w:rPr>
        <w:t>an inference from the other findings</w:t>
      </w:r>
      <w:r w:rsidRPr="00C76DD3">
        <w:t>, and it is clear from the learned judge's judgment that in drawing this inference he was to a large extent influenced by his view of the law.’</w:t>
      </w:r>
      <w:r w:rsidRPr="00C76DD3">
        <w:rPr>
          <w:i w:val="0"/>
          <w:vertAlign w:val="superscript"/>
        </w:rPr>
        <w:footnoteReference w:id="5"/>
      </w:r>
    </w:p>
    <w:p w:rsidR="004C0B78" w:rsidRDefault="004C0B78" w:rsidP="007B2843">
      <w:pPr>
        <w:pStyle w:val="Heading1"/>
      </w:pPr>
      <w:r>
        <w:t>Conclusions</w:t>
      </w:r>
    </w:p>
    <w:p w:rsidR="004C0B78" w:rsidRDefault="008F6A7C" w:rsidP="004C0B78">
      <w:r>
        <w:t>Foreseeability—so much part of folk morality—</w:t>
      </w:r>
      <w:r w:rsidR="004C0B78" w:rsidRPr="004C0B78">
        <w:t xml:space="preserve">has a seductive quality. Its associations with notions of free will, choice and blame and with true/false factive propositions that ‘A did foresee B’ and that ‘A is able to foresee R’ go some way to explain its attractive force, which sometimes operates to obscure its attributive meaning. </w:t>
      </w:r>
      <w:r w:rsidR="004C0B78" w:rsidRPr="00A53575">
        <w:t>That</w:t>
      </w:r>
      <w:r w:rsidR="00A20E48">
        <w:t xml:space="preserve"> vicarious</w:t>
      </w:r>
      <w:r w:rsidR="004C0B78" w:rsidRPr="00A53575">
        <w:t xml:space="preserve"> </w:t>
      </w:r>
      <w:r w:rsidR="004C0B78" w:rsidRPr="004C0B78">
        <w:rPr>
          <w:i/>
        </w:rPr>
        <w:t>propositional attractiveness</w:t>
      </w:r>
      <w:r w:rsidR="004C0B78" w:rsidRPr="004C0B78">
        <w:t xml:space="preserve"> readily combines with </w:t>
      </w:r>
      <w:r w:rsidR="004C0B78" w:rsidRPr="00795B33">
        <w:rPr>
          <w:i/>
        </w:rPr>
        <w:t>legitimate rule of law concerns</w:t>
      </w:r>
      <w:r w:rsidR="004C0B78" w:rsidRPr="004C0B78">
        <w:t xml:space="preserve"> and with the utility of System 1 </w:t>
      </w:r>
      <w:r w:rsidR="004C0B78" w:rsidRPr="00795B33">
        <w:rPr>
          <w:i/>
        </w:rPr>
        <w:t>presumptive formalism</w:t>
      </w:r>
      <w:r w:rsidR="004C0B78" w:rsidRPr="004C0B78">
        <w:t>. But, without analytical care, it encourages naïve legalism</w:t>
      </w:r>
      <w:r w:rsidR="004C0B78">
        <w:t>.</w:t>
      </w:r>
    </w:p>
    <w:p w:rsidR="004C0B78" w:rsidRDefault="004C0B78" w:rsidP="004C0B78">
      <w:r>
        <w:t>I</w:t>
      </w:r>
      <w:r w:rsidRPr="004C0B78">
        <w:t xml:space="preserve">n many cases, the decision whether to attribute responsibility to D, is a verdict of </w:t>
      </w:r>
      <w:r w:rsidRPr="004C0B78">
        <w:rPr>
          <w:i/>
        </w:rPr>
        <w:t>reasonableness</w:t>
      </w:r>
      <w:r w:rsidRPr="004C0B78">
        <w:t>—Abraham calls it ‘unbounded norm creation’</w:t>
      </w:r>
      <w:r w:rsidRPr="004C0B78">
        <w:rPr>
          <w:vertAlign w:val="superscript"/>
        </w:rPr>
        <w:footnoteReference w:id="6"/>
      </w:r>
      <w:r w:rsidRPr="004C0B78">
        <w:t xml:space="preserve">—illustrated rather than determined by </w:t>
      </w:r>
      <w:r w:rsidRPr="004C0B78">
        <w:rPr>
          <w:i/>
        </w:rPr>
        <w:t>ex post</w:t>
      </w:r>
      <w:r w:rsidRPr="004C0B78">
        <w:t xml:space="preserve"> speculation about the hypothetical musings of various constructed chimeras</w:t>
      </w:r>
      <w:r>
        <w:t>.</w:t>
      </w:r>
    </w:p>
    <w:p w:rsidR="004C0B78" w:rsidRDefault="004C0B78" w:rsidP="004C0B78">
      <w:r w:rsidRPr="004C0B78">
        <w:t>Law feeds off verdicts, so we should pay attention to verdictiveness. It is illuminating to spot the verdict and then ask: what is its illocutionary force</w:t>
      </w:r>
      <w:proofErr w:type="gramStart"/>
      <w:r w:rsidRPr="004C0B78">
        <w:t>?;</w:t>
      </w:r>
      <w:proofErr w:type="gramEnd"/>
      <w:r w:rsidRPr="004C0B78">
        <w:t xml:space="preserve"> how was that verdict determined?; how does it function?; factively or attributionally?</w:t>
      </w:r>
      <w:r w:rsidR="008F6A7C">
        <w:t xml:space="preserve"> What kinds of evidence or argument make</w:t>
      </w:r>
      <w:bookmarkStart w:id="1" w:name="_GoBack"/>
      <w:bookmarkEnd w:id="1"/>
      <w:r w:rsidR="008F6A7C">
        <w:t xml:space="preserve"> for its validity?</w:t>
      </w:r>
    </w:p>
    <w:p w:rsidR="00122EDE" w:rsidRPr="00122EDE" w:rsidRDefault="004C0B78" w:rsidP="00122EDE">
      <w:r w:rsidRPr="004C0B78">
        <w:t>Consider</w:t>
      </w:r>
      <w:r w:rsidR="00A20E48">
        <w:t xml:space="preserve"> verdicts on</w:t>
      </w:r>
      <w:r w:rsidRPr="004C0B78">
        <w:t>: proximity; involved in the accident; intention (whether in crime, contract, tort, trusts, tax,</w:t>
      </w:r>
      <w:r w:rsidRPr="004C0B78">
        <w:rPr>
          <w:vertAlign w:val="superscript"/>
        </w:rPr>
        <w:footnoteReference w:id="7"/>
      </w:r>
      <w:r w:rsidRPr="004C0B78">
        <w:t xml:space="preserve"> etc.); recklessness; habitability; an ‘adventure in the nature of trade’;</w:t>
      </w:r>
      <w:r w:rsidRPr="004C0B78">
        <w:rPr>
          <w:vertAlign w:val="superscript"/>
        </w:rPr>
        <w:footnoteReference w:id="8"/>
      </w:r>
      <w:r w:rsidRPr="004C0B78">
        <w:t xml:space="preserve"> and many</w:t>
      </w:r>
      <w:r w:rsidR="007C3D0C">
        <w:t>, many</w:t>
      </w:r>
      <w:r w:rsidRPr="004C0B78">
        <w:t xml:space="preserve"> more.</w:t>
      </w:r>
    </w:p>
    <w:sectPr w:rsidR="00122EDE" w:rsidRPr="00122EDE" w:rsidSect="00762CDB">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DB" w:rsidRDefault="007A07DB" w:rsidP="00BD6A98">
      <w:pPr>
        <w:spacing w:after="0" w:line="240" w:lineRule="auto"/>
      </w:pPr>
      <w:r>
        <w:separator/>
      </w:r>
    </w:p>
  </w:endnote>
  <w:endnote w:type="continuationSeparator" w:id="0">
    <w:p w:rsidR="007A07DB" w:rsidRDefault="007A07DB" w:rsidP="00BD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ves Type">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DB" w:rsidRDefault="007A07DB" w:rsidP="00BD6A98">
      <w:pPr>
        <w:spacing w:after="0" w:line="240" w:lineRule="auto"/>
      </w:pPr>
      <w:r>
        <w:separator/>
      </w:r>
    </w:p>
  </w:footnote>
  <w:footnote w:type="continuationSeparator" w:id="0">
    <w:p w:rsidR="007A07DB" w:rsidRDefault="007A07DB" w:rsidP="00BD6A98">
      <w:pPr>
        <w:spacing w:after="0" w:line="240" w:lineRule="auto"/>
      </w:pPr>
      <w:r>
        <w:continuationSeparator/>
      </w:r>
    </w:p>
  </w:footnote>
  <w:footnote w:id="1">
    <w:p w:rsidR="003931B8" w:rsidRDefault="003931B8" w:rsidP="003931B8">
      <w:pPr>
        <w:pStyle w:val="FootnoteText"/>
      </w:pPr>
      <w:r w:rsidRPr="003931B8">
        <w:rPr>
          <w:rStyle w:val="FootnoteReference"/>
          <w:vertAlign w:val="baseline"/>
        </w:rPr>
        <w:footnoteRef/>
      </w:r>
      <w:r w:rsidRPr="003931B8">
        <w:t xml:space="preserve"> </w:t>
      </w:r>
      <w:r>
        <w:tab/>
        <w:t>I use the term ‘attributive to mean ‘attributive of blame or moral or legal responsibility’. One</w:t>
      </w:r>
      <w:r w:rsidR="009A2830">
        <w:t xml:space="preserve"> </w:t>
      </w:r>
      <w:r>
        <w:t>can also ‘attribute’ the status of fact but that is captured here by the slightly arcane term ‘factive’.</w:t>
      </w:r>
    </w:p>
  </w:footnote>
  <w:footnote w:id="2">
    <w:p w:rsidR="009B6BD1" w:rsidRDefault="009B6BD1" w:rsidP="009B6BD1">
      <w:pPr>
        <w:pStyle w:val="FootnoteText"/>
      </w:pPr>
      <w:r w:rsidRPr="007132F1">
        <w:rPr>
          <w:rStyle w:val="FootnoteReference"/>
          <w:vertAlign w:val="baseline"/>
        </w:rPr>
        <w:footnoteRef/>
      </w:r>
      <w:r w:rsidRPr="007132F1">
        <w:t xml:space="preserve"> </w:t>
      </w:r>
      <w:r>
        <w:tab/>
      </w:r>
      <w:r w:rsidR="00C76DD3">
        <w:t xml:space="preserve">Fiery </w:t>
      </w:r>
      <w:r>
        <w:t>Cushman, ‘</w:t>
      </w:r>
      <w:r w:rsidRPr="00416E8C">
        <w:t>Deconstructing intent to reconstruct morality</w:t>
      </w:r>
      <w:r>
        <w:t>’, (</w:t>
      </w:r>
      <w:r w:rsidRPr="00416E8C">
        <w:t>2015</w:t>
      </w:r>
      <w:r>
        <w:t xml:space="preserve">) 6 </w:t>
      </w:r>
      <w:r w:rsidRPr="00416E8C">
        <w:rPr>
          <w:i/>
        </w:rPr>
        <w:t>Current Opinion in Psychology</w:t>
      </w:r>
      <w:r>
        <w:t xml:space="preserve"> 97-</w:t>
      </w:r>
      <w:r w:rsidRPr="00416E8C">
        <w:t>103</w:t>
      </w:r>
      <w:r>
        <w:t>,</w:t>
      </w:r>
      <w:r w:rsidRPr="00416E8C">
        <w:t xml:space="preserve"> </w:t>
      </w:r>
      <w:r>
        <w:t>100, argues that, in negligence, the ‘</w:t>
      </w:r>
      <w:r w:rsidRPr="009B3C28">
        <w:t>moral failing consists in planning that is insufficient or misdirected: an inattention to the likely consequences of their action.</w:t>
      </w:r>
      <w:r>
        <w:t xml:space="preserve">’ </w:t>
      </w:r>
    </w:p>
  </w:footnote>
  <w:footnote w:id="3">
    <w:p w:rsidR="0030198E" w:rsidRDefault="0030198E">
      <w:pPr>
        <w:pStyle w:val="FootnoteText"/>
      </w:pPr>
      <w:r w:rsidRPr="0030198E">
        <w:rPr>
          <w:rStyle w:val="FootnoteReference"/>
          <w:vertAlign w:val="baseline"/>
        </w:rPr>
        <w:footnoteRef/>
      </w:r>
      <w:r w:rsidRPr="0030198E">
        <w:t xml:space="preserve"> </w:t>
      </w:r>
      <w:r>
        <w:tab/>
        <w:t>See</w:t>
      </w:r>
      <w:r w:rsidR="00216E1B">
        <w:t xml:space="preserve"> John</w:t>
      </w:r>
      <w:r>
        <w:t xml:space="preserve"> </w:t>
      </w:r>
      <w:proofErr w:type="spellStart"/>
      <w:r w:rsidR="006F1CD0">
        <w:t>Oberdiek</w:t>
      </w:r>
      <w:proofErr w:type="spellEnd"/>
      <w:r w:rsidR="00216E1B">
        <w:t xml:space="preserve">, ‘Structure and Justification in </w:t>
      </w:r>
      <w:proofErr w:type="spellStart"/>
      <w:r w:rsidR="00216E1B">
        <w:t>Contractualist</w:t>
      </w:r>
      <w:proofErr w:type="spellEnd"/>
      <w:r w:rsidR="00216E1B">
        <w:t xml:space="preserve"> Tort Theory’</w:t>
      </w:r>
      <w:r w:rsidR="006F1CD0">
        <w:t xml:space="preserve"> in </w:t>
      </w:r>
      <w:r w:rsidR="00384B60" w:rsidRPr="00384B60">
        <w:t xml:space="preserve">John </w:t>
      </w:r>
      <w:proofErr w:type="spellStart"/>
      <w:r w:rsidR="00384B60" w:rsidRPr="00384B60">
        <w:t>Oberdiek</w:t>
      </w:r>
      <w:proofErr w:type="spellEnd"/>
      <w:r w:rsidR="00384B60" w:rsidRPr="00384B60">
        <w:t xml:space="preserve"> (ed.), </w:t>
      </w:r>
      <w:r w:rsidR="00384B60" w:rsidRPr="00384B60">
        <w:rPr>
          <w:i/>
        </w:rPr>
        <w:t>Philosophical Foundations of the Law of Torts</w:t>
      </w:r>
      <w:r w:rsidR="00384B60" w:rsidRPr="00384B60">
        <w:t xml:space="preserve"> (Oxford: OUP, 2015)</w:t>
      </w:r>
      <w:r w:rsidR="00384B60">
        <w:t xml:space="preserve"> </w:t>
      </w:r>
      <w:r w:rsidR="00BB64FF">
        <w:t xml:space="preserve">103-121 and </w:t>
      </w:r>
      <w:r w:rsidR="00BB64FF" w:rsidRPr="00BB64FF">
        <w:rPr>
          <w:lang w:val="en-US"/>
        </w:rPr>
        <w:t xml:space="preserve">Michael Moore, ‘Four friendly critics: a response’, (2012) 18 </w:t>
      </w:r>
      <w:r w:rsidR="00BB64FF" w:rsidRPr="00BB64FF">
        <w:rPr>
          <w:i/>
          <w:lang w:val="en-US"/>
        </w:rPr>
        <w:t>Legal Theory</w:t>
      </w:r>
      <w:r w:rsidR="00BB64FF" w:rsidRPr="00BB64FF">
        <w:rPr>
          <w:lang w:val="en-US"/>
        </w:rPr>
        <w:t xml:space="preserve"> 491-542</w:t>
      </w:r>
      <w:r w:rsidR="00BB64FF">
        <w:rPr>
          <w:lang w:val="en-US"/>
        </w:rPr>
        <w:t>.</w:t>
      </w:r>
    </w:p>
  </w:footnote>
  <w:footnote w:id="4">
    <w:p w:rsidR="0030198E" w:rsidRDefault="0030198E" w:rsidP="0030198E">
      <w:pPr>
        <w:pStyle w:val="FootnoteText"/>
      </w:pPr>
      <w:r w:rsidRPr="00EA7227">
        <w:rPr>
          <w:rStyle w:val="FootnoteReference"/>
          <w:vertAlign w:val="baseline"/>
        </w:rPr>
        <w:footnoteRef/>
      </w:r>
      <w:r w:rsidRPr="00EA7227">
        <w:t xml:space="preserve"> </w:t>
      </w:r>
      <w:r w:rsidR="00384B60">
        <w:tab/>
        <w:t>See Stephen Perry,</w:t>
      </w:r>
      <w:r>
        <w:t xml:space="preserve"> ‘Torts, Rights and Risks’</w:t>
      </w:r>
      <w:r w:rsidR="00384B60">
        <w:t>,</w:t>
      </w:r>
      <w:r>
        <w:t xml:space="preserve"> in </w:t>
      </w:r>
      <w:proofErr w:type="spellStart"/>
      <w:r>
        <w:t>Oberdiek</w:t>
      </w:r>
      <w:proofErr w:type="spellEnd"/>
      <w:r>
        <w:t xml:space="preserve"> </w:t>
      </w:r>
      <w:r w:rsidR="00762CDB">
        <w:t>(</w:t>
      </w:r>
      <w:r>
        <w:t>ed</w:t>
      </w:r>
      <w:r w:rsidR="00762CDB">
        <w:t>.)</w:t>
      </w:r>
      <w:r>
        <w:t xml:space="preserve"> note </w:t>
      </w:r>
      <w:r w:rsidR="00762CDB">
        <w:fldChar w:fldCharType="begin"/>
      </w:r>
      <w:r w:rsidR="00762CDB">
        <w:instrText xml:space="preserve"> NOTEREF _Ref428002133 \h </w:instrText>
      </w:r>
      <w:r w:rsidR="00762CDB">
        <w:fldChar w:fldCharType="separate"/>
      </w:r>
      <w:r w:rsidR="00394146">
        <w:t>3</w:t>
      </w:r>
      <w:r w:rsidR="00762CDB">
        <w:fldChar w:fldCharType="end"/>
      </w:r>
      <w:r>
        <w:t>, 39-34, especially 40-44.</w:t>
      </w:r>
    </w:p>
  </w:footnote>
  <w:footnote w:id="5">
    <w:p w:rsidR="00C76DD3" w:rsidRDefault="00C76DD3" w:rsidP="00C76DD3">
      <w:pPr>
        <w:pStyle w:val="FootnoteText"/>
      </w:pPr>
      <w:r w:rsidRPr="00081F94">
        <w:rPr>
          <w:rStyle w:val="FootnoteReference"/>
          <w:vertAlign w:val="baseline"/>
        </w:rPr>
        <w:footnoteRef/>
      </w:r>
      <w:r w:rsidRPr="00081F94">
        <w:t xml:space="preserve"> </w:t>
      </w:r>
      <w:r>
        <w:tab/>
      </w:r>
      <w:proofErr w:type="gramStart"/>
      <w:r w:rsidRPr="00081F94">
        <w:rPr>
          <w:i/>
        </w:rPr>
        <w:t>WM2</w:t>
      </w:r>
      <w:r>
        <w:rPr>
          <w:i/>
        </w:rPr>
        <w:t>PC</w:t>
      </w:r>
      <w:r w:rsidRPr="00081F94">
        <w:rPr>
          <w:i/>
        </w:rPr>
        <w:t xml:space="preserve"> </w:t>
      </w:r>
      <w:r>
        <w:t>641.</w:t>
      </w:r>
      <w:proofErr w:type="gramEnd"/>
      <w:r w:rsidRPr="003576F0">
        <w:t xml:space="preserve"> </w:t>
      </w:r>
      <w:r>
        <w:t xml:space="preserve">However, in discussing </w:t>
      </w:r>
      <w:r w:rsidRPr="00AE517A">
        <w:rPr>
          <w:i/>
        </w:rPr>
        <w:t>Sharp</w:t>
      </w:r>
      <w:r>
        <w:t xml:space="preserve"> v</w:t>
      </w:r>
      <w:r w:rsidRPr="00AE517A">
        <w:t xml:space="preserve"> </w:t>
      </w:r>
      <w:r w:rsidRPr="00AE517A">
        <w:rPr>
          <w:i/>
        </w:rPr>
        <w:t>Powell</w:t>
      </w:r>
      <w:r>
        <w:t xml:space="preserve"> (1872) LR 7 CP 253, at </w:t>
      </w:r>
      <w:r w:rsidRPr="00AB66CC">
        <w:rPr>
          <w:i/>
        </w:rPr>
        <w:t>WM2</w:t>
      </w:r>
      <w:r>
        <w:rPr>
          <w:i/>
        </w:rPr>
        <w:t>PC</w:t>
      </w:r>
      <w:r>
        <w:t xml:space="preserve"> 637, he described a patently attributive foreseeability verdict as a ‘finding of fact’.</w:t>
      </w:r>
    </w:p>
  </w:footnote>
  <w:footnote w:id="6">
    <w:p w:rsidR="004C0B78" w:rsidRDefault="004C0B78" w:rsidP="004C0B78">
      <w:pPr>
        <w:pStyle w:val="FootnoteText"/>
      </w:pPr>
      <w:r w:rsidRPr="009E54FD">
        <w:rPr>
          <w:rStyle w:val="FootnoteReference"/>
          <w:vertAlign w:val="baseline"/>
        </w:rPr>
        <w:footnoteRef/>
      </w:r>
      <w:r w:rsidRPr="009E54FD">
        <w:t xml:space="preserve"> </w:t>
      </w:r>
      <w:r>
        <w:tab/>
        <w:t xml:space="preserve">Note </w:t>
      </w:r>
      <w:r w:rsidR="006F1CD0" w:rsidRPr="006F1CD0">
        <w:t xml:space="preserve">Kenneth Abraham, ‘The Trouble with Negligence’, (2001) 54 </w:t>
      </w:r>
      <w:r w:rsidR="006F1CD0" w:rsidRPr="006F1CD0">
        <w:rPr>
          <w:i/>
        </w:rPr>
        <w:t>Vanderbilt Law Review</w:t>
      </w:r>
      <w:r w:rsidR="006F1CD0" w:rsidRPr="006F1CD0">
        <w:t xml:space="preserve"> 1187</w:t>
      </w:r>
      <w:r>
        <w:t>, 1191.</w:t>
      </w:r>
    </w:p>
  </w:footnote>
  <w:footnote w:id="7">
    <w:p w:rsidR="004C0B78" w:rsidRDefault="004C0B78" w:rsidP="004C0B78">
      <w:pPr>
        <w:pStyle w:val="FootnoteText"/>
      </w:pPr>
      <w:r w:rsidRPr="0073568C">
        <w:rPr>
          <w:rStyle w:val="FootnoteReference"/>
          <w:vertAlign w:val="baseline"/>
        </w:rPr>
        <w:footnoteRef/>
      </w:r>
      <w:r w:rsidRPr="0073568C">
        <w:t xml:space="preserve"> </w:t>
      </w:r>
      <w:r>
        <w:tab/>
      </w:r>
      <w:r w:rsidRPr="0073568C">
        <w:rPr>
          <w:i/>
        </w:rPr>
        <w:t>HMRC Commissioners</w:t>
      </w:r>
      <w:r w:rsidRPr="0073568C">
        <w:t xml:space="preserve"> v </w:t>
      </w:r>
      <w:r w:rsidRPr="0073568C">
        <w:rPr>
          <w:i/>
        </w:rPr>
        <w:t>Pendragon plc</w:t>
      </w:r>
      <w:r w:rsidRPr="0073568C">
        <w:t xml:space="preserve"> [2015] UKSC 37</w:t>
      </w:r>
      <w:r>
        <w:t>:</w:t>
      </w:r>
      <w:r w:rsidRPr="0073568C">
        <w:t xml:space="preserve"> </w:t>
      </w:r>
      <w:r>
        <w:t>intention to avoid tax rendered a scheme an ‘abuse of law’.</w:t>
      </w:r>
      <w:r w:rsidR="00795B33">
        <w:t xml:space="preserve"> One must foresee to intend.</w:t>
      </w:r>
    </w:p>
  </w:footnote>
  <w:footnote w:id="8">
    <w:p w:rsidR="004C0B78" w:rsidRDefault="004C0B78" w:rsidP="004C0B78">
      <w:pPr>
        <w:pStyle w:val="FootnoteText"/>
      </w:pPr>
      <w:r w:rsidRPr="00D22A1B">
        <w:rPr>
          <w:rStyle w:val="FootnoteReference"/>
          <w:vertAlign w:val="baseline"/>
        </w:rPr>
        <w:footnoteRef/>
      </w:r>
      <w:r w:rsidRPr="00D22A1B">
        <w:t xml:space="preserve"> </w:t>
      </w:r>
      <w:r>
        <w:tab/>
        <w:t xml:space="preserve">In </w:t>
      </w:r>
      <w:proofErr w:type="gramStart"/>
      <w:r w:rsidR="006F1CD0" w:rsidRPr="006F1CD0">
        <w:rPr>
          <w:i/>
        </w:rPr>
        <w:t>Edwards</w:t>
      </w:r>
      <w:proofErr w:type="gramEnd"/>
      <w:r w:rsidR="006F1CD0" w:rsidRPr="006F1CD0">
        <w:rPr>
          <w:i/>
        </w:rPr>
        <w:t xml:space="preserve"> v</w:t>
      </w:r>
      <w:r w:rsidR="00216E1B">
        <w:rPr>
          <w:i/>
        </w:rPr>
        <w:t xml:space="preserve"> </w:t>
      </w:r>
      <w:proofErr w:type="spellStart"/>
      <w:r w:rsidR="00216E1B">
        <w:rPr>
          <w:i/>
        </w:rPr>
        <w:t>Bairstow</w:t>
      </w:r>
      <w:proofErr w:type="spellEnd"/>
      <w:r w:rsidR="006F1CD0">
        <w:rPr>
          <w:i/>
        </w:rPr>
        <w:t xml:space="preserve"> </w:t>
      </w:r>
      <w:r w:rsidR="006F1CD0" w:rsidRPr="006F1CD0">
        <w:t>[1956] AC 14</w:t>
      </w:r>
      <w:r w:rsidRPr="006F1CD0">
        <w:t>,</w:t>
      </w:r>
      <w:r>
        <w:t xml:space="preserve"> 31, Viscount Simonds said, whether a transaction is ‘an adventure in the nature of trade’ depends on ‘the characteristics which distinguish such an adventure. But it is a question of law, not of fact, what </w:t>
      </w:r>
      <w:proofErr w:type="gramStart"/>
      <w:r>
        <w:t>are those characteristics’</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43111"/>
      <w:docPartObj>
        <w:docPartGallery w:val="Page Numbers (Top of Page)"/>
        <w:docPartUnique/>
      </w:docPartObj>
    </w:sdtPr>
    <w:sdtEndPr/>
    <w:sdtContent>
      <w:p w:rsidR="00762CDB" w:rsidRDefault="00EC311E">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1800</wp:posOffset>
                  </wp:positionH>
                  <wp:positionV relativeFrom="paragraph">
                    <wp:posOffset>24765</wp:posOffset>
                  </wp:positionV>
                  <wp:extent cx="655955" cy="1781175"/>
                  <wp:effectExtent l="0" t="0" r="0" b="9525"/>
                  <wp:wrapNone/>
                  <wp:docPr id="6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62CDB" w:rsidRDefault="00762CDB">
                              <w:pPr>
                                <w:pStyle w:val="NoSpacing"/>
                                <w:rPr>
                                  <w:outline/>
                                  <w:color w:val="000000"/>
                                  <w14:textOutline w14:w="9525" w14:cap="flat" w14:cmpd="sng" w14:algn="ctr">
                                    <w14:solidFill>
                                      <w14:srgbClr w14:val="000000"/>
                                    </w14:solidFill>
                                    <w14:prstDash w14:val="solid"/>
                                    <w14:round/>
                                  </w14:textOutline>
                                  <w14:textFill>
                                    <w14:noFill/>
                                  </w14:textFill>
                                </w:rPr>
                              </w:pPr>
                              <w:r>
                                <w:rPr>
                                  <w:color w:val="auto"/>
                                  <w:szCs w:val="22"/>
                                </w:rPr>
                                <w:fldChar w:fldCharType="begin"/>
                              </w:r>
                              <w:r>
                                <w:instrText xml:space="preserve"> PAGE    \* MERGEFORMAT </w:instrText>
                              </w:r>
                              <w:r>
                                <w:rPr>
                                  <w:color w:val="auto"/>
                                  <w:szCs w:val="22"/>
                                </w:rPr>
                                <w:fldChar w:fldCharType="separate"/>
                              </w:r>
                              <w:r w:rsidR="008F6A7C" w:rsidRPr="008F6A7C">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4</w:t>
                              </w:r>
                              <w:r>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horz" wrap="square" lIns="0" tIns="0" rIns="0" bIns="0" anchor="t" anchorCtr="0" upright="1">
                          <a:noAutofit/>
                        </wps:bodyPr>
                      </wps:wsp>
                    </a:graphicData>
                  </a:graphic>
                </wp:anchor>
              </w:drawing>
            </mc:Choice>
            <mc:Fallback>
              <w:pict>
                <v:rect id="Rectangle 10" o:spid="_x0000_s1026" style="position:absolute;margin-left:.15pt;margin-top:1.95pt;width:51.65pt;height:140.25pt;flip:y;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" stroked="f">
                  <v:textbox inset="0,0,0,0">
                    <w:txbxContent>
                      <w:p w:rsidR="00762CDB" w:rsidRDefault="00762CDB">
                        <w:pPr>
                          <w:pStyle w:val="NoSpacing"/>
                          <w:rPr>
                            <w:outline/>
                            <w:color w:val="000000"/>
                            <w14:textOutline w14:w="9525" w14:cap="flat" w14:cmpd="sng" w14:algn="ctr">
                              <w14:solidFill>
                                <w14:srgbClr w14:val="000000"/>
                              </w14:solidFill>
                              <w14:prstDash w14:val="solid"/>
                              <w14:round/>
                            </w14:textOutline>
                            <w14:textFill>
                              <w14:noFill/>
                            </w14:textFill>
                          </w:rPr>
                        </w:pPr>
                        <w:r>
                          <w:rPr>
                            <w:color w:val="auto"/>
                            <w:szCs w:val="22"/>
                          </w:rPr>
                          <w:fldChar w:fldCharType="begin"/>
                        </w:r>
                        <w:r>
                          <w:instrText xml:space="preserve"> PAGE    \* MERGEFORMAT </w:instrText>
                        </w:r>
                        <w:r>
                          <w:rPr>
                            <w:color w:val="auto"/>
                            <w:szCs w:val="22"/>
                          </w:rPr>
                          <w:fldChar w:fldCharType="separate"/>
                        </w:r>
                        <w:r w:rsidR="008F6A7C" w:rsidRPr="008F6A7C">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4</w:t>
                        </w:r>
                        <w:r>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2866"/>
    <w:multiLevelType w:val="hybridMultilevel"/>
    <w:tmpl w:val="132C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2E76B9"/>
    <w:multiLevelType w:val="hybridMultilevel"/>
    <w:tmpl w:val="C57E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AD1E83"/>
    <w:multiLevelType w:val="hybridMultilevel"/>
    <w:tmpl w:val="CF74543E"/>
    <w:lvl w:ilvl="0" w:tplc="81C6EECC">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DB0F2B"/>
    <w:multiLevelType w:val="hybridMultilevel"/>
    <w:tmpl w:val="43A2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E"/>
    <w:rsid w:val="00003527"/>
    <w:rsid w:val="00013ED3"/>
    <w:rsid w:val="00014845"/>
    <w:rsid w:val="000211A9"/>
    <w:rsid w:val="00031358"/>
    <w:rsid w:val="00036796"/>
    <w:rsid w:val="000444D6"/>
    <w:rsid w:val="00044A2C"/>
    <w:rsid w:val="00044D5D"/>
    <w:rsid w:val="000459B3"/>
    <w:rsid w:val="00056FEB"/>
    <w:rsid w:val="00061F2D"/>
    <w:rsid w:val="000658D3"/>
    <w:rsid w:val="000733DC"/>
    <w:rsid w:val="00083B34"/>
    <w:rsid w:val="0009078B"/>
    <w:rsid w:val="000976A2"/>
    <w:rsid w:val="00097762"/>
    <w:rsid w:val="000A1CDC"/>
    <w:rsid w:val="000A3F03"/>
    <w:rsid w:val="000A3F63"/>
    <w:rsid w:val="000A5DBD"/>
    <w:rsid w:val="000A6208"/>
    <w:rsid w:val="000A64F7"/>
    <w:rsid w:val="000A6A97"/>
    <w:rsid w:val="000B1797"/>
    <w:rsid w:val="000B1EA9"/>
    <w:rsid w:val="000B5C24"/>
    <w:rsid w:val="000B7B82"/>
    <w:rsid w:val="000C0350"/>
    <w:rsid w:val="000C1DB3"/>
    <w:rsid w:val="000C3A99"/>
    <w:rsid w:val="000C770F"/>
    <w:rsid w:val="000D0242"/>
    <w:rsid w:val="000D4122"/>
    <w:rsid w:val="000D5240"/>
    <w:rsid w:val="000D5FE8"/>
    <w:rsid w:val="000E398B"/>
    <w:rsid w:val="000E6657"/>
    <w:rsid w:val="000F2D58"/>
    <w:rsid w:val="000F2DD1"/>
    <w:rsid w:val="000F334E"/>
    <w:rsid w:val="0010740C"/>
    <w:rsid w:val="00111F7C"/>
    <w:rsid w:val="001142AD"/>
    <w:rsid w:val="00121C78"/>
    <w:rsid w:val="00122EDE"/>
    <w:rsid w:val="00135745"/>
    <w:rsid w:val="00141D7C"/>
    <w:rsid w:val="00143D53"/>
    <w:rsid w:val="00145288"/>
    <w:rsid w:val="0014599D"/>
    <w:rsid w:val="00151B61"/>
    <w:rsid w:val="001626DC"/>
    <w:rsid w:val="0016350A"/>
    <w:rsid w:val="00173AFB"/>
    <w:rsid w:val="00181258"/>
    <w:rsid w:val="001848DD"/>
    <w:rsid w:val="00193728"/>
    <w:rsid w:val="001A1BD8"/>
    <w:rsid w:val="001A5D76"/>
    <w:rsid w:val="001B4CAA"/>
    <w:rsid w:val="001C5D4B"/>
    <w:rsid w:val="001D3962"/>
    <w:rsid w:val="001D4CB0"/>
    <w:rsid w:val="001D53E9"/>
    <w:rsid w:val="001E163F"/>
    <w:rsid w:val="001E2B69"/>
    <w:rsid w:val="001E2CD9"/>
    <w:rsid w:val="001E603C"/>
    <w:rsid w:val="001F5F7D"/>
    <w:rsid w:val="00206CA1"/>
    <w:rsid w:val="00207E6D"/>
    <w:rsid w:val="00216E1B"/>
    <w:rsid w:val="00216F23"/>
    <w:rsid w:val="002179BB"/>
    <w:rsid w:val="00222B42"/>
    <w:rsid w:val="00222DD9"/>
    <w:rsid w:val="00223B47"/>
    <w:rsid w:val="00224167"/>
    <w:rsid w:val="002249AC"/>
    <w:rsid w:val="00224DB9"/>
    <w:rsid w:val="002349ED"/>
    <w:rsid w:val="00237A6B"/>
    <w:rsid w:val="00260A0A"/>
    <w:rsid w:val="002645A8"/>
    <w:rsid w:val="00265BC2"/>
    <w:rsid w:val="00267516"/>
    <w:rsid w:val="0027568A"/>
    <w:rsid w:val="00276D45"/>
    <w:rsid w:val="002803BD"/>
    <w:rsid w:val="00290232"/>
    <w:rsid w:val="00291EA1"/>
    <w:rsid w:val="002A127B"/>
    <w:rsid w:val="002A2155"/>
    <w:rsid w:val="002A3AEE"/>
    <w:rsid w:val="002A3C72"/>
    <w:rsid w:val="002A5BF6"/>
    <w:rsid w:val="002B20D2"/>
    <w:rsid w:val="002B230E"/>
    <w:rsid w:val="002B2B45"/>
    <w:rsid w:val="002B3247"/>
    <w:rsid w:val="002B6362"/>
    <w:rsid w:val="002B7809"/>
    <w:rsid w:val="002C05BC"/>
    <w:rsid w:val="002C2198"/>
    <w:rsid w:val="002C246C"/>
    <w:rsid w:val="002D28AC"/>
    <w:rsid w:val="002E2FB4"/>
    <w:rsid w:val="002E39B7"/>
    <w:rsid w:val="002E434C"/>
    <w:rsid w:val="002E482B"/>
    <w:rsid w:val="002E538F"/>
    <w:rsid w:val="002E5FCA"/>
    <w:rsid w:val="0030198E"/>
    <w:rsid w:val="003171E7"/>
    <w:rsid w:val="0031754F"/>
    <w:rsid w:val="00321109"/>
    <w:rsid w:val="00321ED6"/>
    <w:rsid w:val="00324171"/>
    <w:rsid w:val="00326CA0"/>
    <w:rsid w:val="003326F9"/>
    <w:rsid w:val="0033660B"/>
    <w:rsid w:val="0033683B"/>
    <w:rsid w:val="00360CA0"/>
    <w:rsid w:val="00361E5D"/>
    <w:rsid w:val="00362764"/>
    <w:rsid w:val="0036321D"/>
    <w:rsid w:val="003650F4"/>
    <w:rsid w:val="00365CD4"/>
    <w:rsid w:val="00365F41"/>
    <w:rsid w:val="00367B77"/>
    <w:rsid w:val="00370CA9"/>
    <w:rsid w:val="00370CC1"/>
    <w:rsid w:val="003727CC"/>
    <w:rsid w:val="0038134F"/>
    <w:rsid w:val="00384B60"/>
    <w:rsid w:val="00385E64"/>
    <w:rsid w:val="003900E4"/>
    <w:rsid w:val="00392349"/>
    <w:rsid w:val="00392EF6"/>
    <w:rsid w:val="003931B8"/>
    <w:rsid w:val="003939D3"/>
    <w:rsid w:val="00394146"/>
    <w:rsid w:val="003A6099"/>
    <w:rsid w:val="003B01D8"/>
    <w:rsid w:val="003B19BC"/>
    <w:rsid w:val="003B3040"/>
    <w:rsid w:val="003B35B9"/>
    <w:rsid w:val="003B60BC"/>
    <w:rsid w:val="003C080F"/>
    <w:rsid w:val="003D3A7C"/>
    <w:rsid w:val="003D7F69"/>
    <w:rsid w:val="003E3CAE"/>
    <w:rsid w:val="003F744C"/>
    <w:rsid w:val="003F7807"/>
    <w:rsid w:val="00400596"/>
    <w:rsid w:val="0041036A"/>
    <w:rsid w:val="00416363"/>
    <w:rsid w:val="004204B4"/>
    <w:rsid w:val="00432804"/>
    <w:rsid w:val="00445B0A"/>
    <w:rsid w:val="004511D1"/>
    <w:rsid w:val="00453770"/>
    <w:rsid w:val="004610CE"/>
    <w:rsid w:val="00470219"/>
    <w:rsid w:val="004740B8"/>
    <w:rsid w:val="0047726F"/>
    <w:rsid w:val="00480B79"/>
    <w:rsid w:val="0048265F"/>
    <w:rsid w:val="004856F6"/>
    <w:rsid w:val="00486CEC"/>
    <w:rsid w:val="0048741D"/>
    <w:rsid w:val="00492F51"/>
    <w:rsid w:val="0049465D"/>
    <w:rsid w:val="004A41D3"/>
    <w:rsid w:val="004A6057"/>
    <w:rsid w:val="004B0E14"/>
    <w:rsid w:val="004B39E5"/>
    <w:rsid w:val="004B3BCE"/>
    <w:rsid w:val="004B3CF9"/>
    <w:rsid w:val="004B7863"/>
    <w:rsid w:val="004C0B78"/>
    <w:rsid w:val="004C558F"/>
    <w:rsid w:val="004C6F95"/>
    <w:rsid w:val="004D0CEF"/>
    <w:rsid w:val="004E7277"/>
    <w:rsid w:val="00501CF4"/>
    <w:rsid w:val="0050293F"/>
    <w:rsid w:val="00504E7D"/>
    <w:rsid w:val="005104BF"/>
    <w:rsid w:val="00531462"/>
    <w:rsid w:val="00541051"/>
    <w:rsid w:val="00542809"/>
    <w:rsid w:val="00544FC8"/>
    <w:rsid w:val="00546A6E"/>
    <w:rsid w:val="005477B9"/>
    <w:rsid w:val="0055599A"/>
    <w:rsid w:val="0056283E"/>
    <w:rsid w:val="0056694C"/>
    <w:rsid w:val="0057025B"/>
    <w:rsid w:val="00587CCB"/>
    <w:rsid w:val="00594F22"/>
    <w:rsid w:val="005A76DE"/>
    <w:rsid w:val="005B0EEC"/>
    <w:rsid w:val="005B260C"/>
    <w:rsid w:val="005B6879"/>
    <w:rsid w:val="005D0AE7"/>
    <w:rsid w:val="005D6017"/>
    <w:rsid w:val="005D7540"/>
    <w:rsid w:val="005E20D3"/>
    <w:rsid w:val="005E231C"/>
    <w:rsid w:val="005E23C4"/>
    <w:rsid w:val="005E7F55"/>
    <w:rsid w:val="005F3D56"/>
    <w:rsid w:val="005F4519"/>
    <w:rsid w:val="005F6539"/>
    <w:rsid w:val="00601170"/>
    <w:rsid w:val="00603D86"/>
    <w:rsid w:val="0060633B"/>
    <w:rsid w:val="00607F5D"/>
    <w:rsid w:val="00616AC6"/>
    <w:rsid w:val="00622BFB"/>
    <w:rsid w:val="00622E8A"/>
    <w:rsid w:val="00623FA1"/>
    <w:rsid w:val="006277EC"/>
    <w:rsid w:val="00630E71"/>
    <w:rsid w:val="0063632D"/>
    <w:rsid w:val="00637118"/>
    <w:rsid w:val="006402E8"/>
    <w:rsid w:val="0064141F"/>
    <w:rsid w:val="00641C14"/>
    <w:rsid w:val="00651D38"/>
    <w:rsid w:val="00661D75"/>
    <w:rsid w:val="00662B2B"/>
    <w:rsid w:val="00663224"/>
    <w:rsid w:val="00663814"/>
    <w:rsid w:val="00671F81"/>
    <w:rsid w:val="00673A59"/>
    <w:rsid w:val="006749E2"/>
    <w:rsid w:val="006802A9"/>
    <w:rsid w:val="00683897"/>
    <w:rsid w:val="00687F78"/>
    <w:rsid w:val="006954C4"/>
    <w:rsid w:val="006B1585"/>
    <w:rsid w:val="006B7125"/>
    <w:rsid w:val="006B7362"/>
    <w:rsid w:val="006C1783"/>
    <w:rsid w:val="006C20B9"/>
    <w:rsid w:val="006D5207"/>
    <w:rsid w:val="006E4880"/>
    <w:rsid w:val="006E7562"/>
    <w:rsid w:val="006F126E"/>
    <w:rsid w:val="006F1CD0"/>
    <w:rsid w:val="006F74B3"/>
    <w:rsid w:val="0070185A"/>
    <w:rsid w:val="00703E08"/>
    <w:rsid w:val="0070680C"/>
    <w:rsid w:val="00713F74"/>
    <w:rsid w:val="00715684"/>
    <w:rsid w:val="00715F98"/>
    <w:rsid w:val="0072261D"/>
    <w:rsid w:val="00725BBE"/>
    <w:rsid w:val="00725F6A"/>
    <w:rsid w:val="00732FF8"/>
    <w:rsid w:val="007430CD"/>
    <w:rsid w:val="007479A6"/>
    <w:rsid w:val="007502BE"/>
    <w:rsid w:val="00750378"/>
    <w:rsid w:val="00751F2F"/>
    <w:rsid w:val="00753235"/>
    <w:rsid w:val="00756F8D"/>
    <w:rsid w:val="00757295"/>
    <w:rsid w:val="00762274"/>
    <w:rsid w:val="00762CDB"/>
    <w:rsid w:val="00764597"/>
    <w:rsid w:val="00765FB0"/>
    <w:rsid w:val="007701B1"/>
    <w:rsid w:val="00770465"/>
    <w:rsid w:val="00773D72"/>
    <w:rsid w:val="00773D97"/>
    <w:rsid w:val="00780EBE"/>
    <w:rsid w:val="0078292E"/>
    <w:rsid w:val="007834F2"/>
    <w:rsid w:val="00784AD8"/>
    <w:rsid w:val="00786164"/>
    <w:rsid w:val="00795425"/>
    <w:rsid w:val="00795B33"/>
    <w:rsid w:val="00796241"/>
    <w:rsid w:val="00797276"/>
    <w:rsid w:val="007A07DB"/>
    <w:rsid w:val="007A3CE3"/>
    <w:rsid w:val="007A5B92"/>
    <w:rsid w:val="007B2843"/>
    <w:rsid w:val="007B5F31"/>
    <w:rsid w:val="007B7E0C"/>
    <w:rsid w:val="007C3D0C"/>
    <w:rsid w:val="007E50C6"/>
    <w:rsid w:val="007F54C2"/>
    <w:rsid w:val="00803992"/>
    <w:rsid w:val="00804ED2"/>
    <w:rsid w:val="0080578F"/>
    <w:rsid w:val="00807072"/>
    <w:rsid w:val="00807B85"/>
    <w:rsid w:val="00807B96"/>
    <w:rsid w:val="008169CC"/>
    <w:rsid w:val="00825947"/>
    <w:rsid w:val="00826CC4"/>
    <w:rsid w:val="00832AD5"/>
    <w:rsid w:val="008348F3"/>
    <w:rsid w:val="00836515"/>
    <w:rsid w:val="00836E8A"/>
    <w:rsid w:val="00836F3B"/>
    <w:rsid w:val="0083711D"/>
    <w:rsid w:val="00843F2B"/>
    <w:rsid w:val="00847B49"/>
    <w:rsid w:val="008512B2"/>
    <w:rsid w:val="00851A7B"/>
    <w:rsid w:val="0085566D"/>
    <w:rsid w:val="00872DB7"/>
    <w:rsid w:val="008755DC"/>
    <w:rsid w:val="00875FA2"/>
    <w:rsid w:val="0087751F"/>
    <w:rsid w:val="00884182"/>
    <w:rsid w:val="00886CE4"/>
    <w:rsid w:val="00894066"/>
    <w:rsid w:val="008B63C5"/>
    <w:rsid w:val="008B7D6A"/>
    <w:rsid w:val="008B7DC4"/>
    <w:rsid w:val="008C0321"/>
    <w:rsid w:val="008C0843"/>
    <w:rsid w:val="008C35E9"/>
    <w:rsid w:val="008C3AB3"/>
    <w:rsid w:val="008C3C66"/>
    <w:rsid w:val="008C3EF3"/>
    <w:rsid w:val="008D2B76"/>
    <w:rsid w:val="008D354E"/>
    <w:rsid w:val="008E224C"/>
    <w:rsid w:val="008E7DE0"/>
    <w:rsid w:val="008F6A7C"/>
    <w:rsid w:val="00903410"/>
    <w:rsid w:val="00905BD8"/>
    <w:rsid w:val="00920337"/>
    <w:rsid w:val="009206A5"/>
    <w:rsid w:val="009208AB"/>
    <w:rsid w:val="009266E7"/>
    <w:rsid w:val="00927F47"/>
    <w:rsid w:val="0093363B"/>
    <w:rsid w:val="00936666"/>
    <w:rsid w:val="009404C2"/>
    <w:rsid w:val="0094321B"/>
    <w:rsid w:val="0094369B"/>
    <w:rsid w:val="00946117"/>
    <w:rsid w:val="009526E2"/>
    <w:rsid w:val="00953BA0"/>
    <w:rsid w:val="009602D1"/>
    <w:rsid w:val="00966D6C"/>
    <w:rsid w:val="00972A37"/>
    <w:rsid w:val="009827A4"/>
    <w:rsid w:val="00996197"/>
    <w:rsid w:val="009A2830"/>
    <w:rsid w:val="009A4A05"/>
    <w:rsid w:val="009A70B6"/>
    <w:rsid w:val="009A7350"/>
    <w:rsid w:val="009B6BD1"/>
    <w:rsid w:val="009C22EF"/>
    <w:rsid w:val="009C2829"/>
    <w:rsid w:val="009C4FD3"/>
    <w:rsid w:val="009D1103"/>
    <w:rsid w:val="009D40E7"/>
    <w:rsid w:val="009E1445"/>
    <w:rsid w:val="009F51A9"/>
    <w:rsid w:val="00A01F16"/>
    <w:rsid w:val="00A16FD2"/>
    <w:rsid w:val="00A20E48"/>
    <w:rsid w:val="00A2290F"/>
    <w:rsid w:val="00A25F5F"/>
    <w:rsid w:val="00A26B6D"/>
    <w:rsid w:val="00A279D6"/>
    <w:rsid w:val="00A355D6"/>
    <w:rsid w:val="00A37D8D"/>
    <w:rsid w:val="00A43BB4"/>
    <w:rsid w:val="00A45030"/>
    <w:rsid w:val="00A472A7"/>
    <w:rsid w:val="00A47D29"/>
    <w:rsid w:val="00A52DC4"/>
    <w:rsid w:val="00A53575"/>
    <w:rsid w:val="00A57DE5"/>
    <w:rsid w:val="00A65D03"/>
    <w:rsid w:val="00A72F6A"/>
    <w:rsid w:val="00A83146"/>
    <w:rsid w:val="00A85FAE"/>
    <w:rsid w:val="00A86889"/>
    <w:rsid w:val="00A876A9"/>
    <w:rsid w:val="00A966D6"/>
    <w:rsid w:val="00AA470E"/>
    <w:rsid w:val="00AA5A58"/>
    <w:rsid w:val="00AA79A4"/>
    <w:rsid w:val="00AA7EE7"/>
    <w:rsid w:val="00AB1F6F"/>
    <w:rsid w:val="00AB6666"/>
    <w:rsid w:val="00AC1D89"/>
    <w:rsid w:val="00AC1F29"/>
    <w:rsid w:val="00AC65E8"/>
    <w:rsid w:val="00AF0CA4"/>
    <w:rsid w:val="00AF40DC"/>
    <w:rsid w:val="00AF7F8A"/>
    <w:rsid w:val="00B01CD2"/>
    <w:rsid w:val="00B11A79"/>
    <w:rsid w:val="00B12B0E"/>
    <w:rsid w:val="00B137E6"/>
    <w:rsid w:val="00B14803"/>
    <w:rsid w:val="00B14A8D"/>
    <w:rsid w:val="00B15587"/>
    <w:rsid w:val="00B179C0"/>
    <w:rsid w:val="00B17C05"/>
    <w:rsid w:val="00B22363"/>
    <w:rsid w:val="00B22E3A"/>
    <w:rsid w:val="00B36DB5"/>
    <w:rsid w:val="00B37697"/>
    <w:rsid w:val="00B41643"/>
    <w:rsid w:val="00B41F87"/>
    <w:rsid w:val="00B510D6"/>
    <w:rsid w:val="00B52B14"/>
    <w:rsid w:val="00B6142A"/>
    <w:rsid w:val="00B62923"/>
    <w:rsid w:val="00B64293"/>
    <w:rsid w:val="00B67B3B"/>
    <w:rsid w:val="00B733C0"/>
    <w:rsid w:val="00B73542"/>
    <w:rsid w:val="00B77D68"/>
    <w:rsid w:val="00B8461C"/>
    <w:rsid w:val="00B9066B"/>
    <w:rsid w:val="00B939D6"/>
    <w:rsid w:val="00B968D1"/>
    <w:rsid w:val="00BA0485"/>
    <w:rsid w:val="00BA6610"/>
    <w:rsid w:val="00BB64FF"/>
    <w:rsid w:val="00BB780A"/>
    <w:rsid w:val="00BD0083"/>
    <w:rsid w:val="00BD1718"/>
    <w:rsid w:val="00BD5B90"/>
    <w:rsid w:val="00BD6A98"/>
    <w:rsid w:val="00BE63E0"/>
    <w:rsid w:val="00BF42BD"/>
    <w:rsid w:val="00BF6ECB"/>
    <w:rsid w:val="00C00773"/>
    <w:rsid w:val="00C0277E"/>
    <w:rsid w:val="00C05CD7"/>
    <w:rsid w:val="00C06918"/>
    <w:rsid w:val="00C06D99"/>
    <w:rsid w:val="00C22431"/>
    <w:rsid w:val="00C24321"/>
    <w:rsid w:val="00C24543"/>
    <w:rsid w:val="00C340CE"/>
    <w:rsid w:val="00C378CA"/>
    <w:rsid w:val="00C405B4"/>
    <w:rsid w:val="00C40797"/>
    <w:rsid w:val="00C40FB7"/>
    <w:rsid w:val="00C4494C"/>
    <w:rsid w:val="00C44C4C"/>
    <w:rsid w:val="00C55DB5"/>
    <w:rsid w:val="00C70318"/>
    <w:rsid w:val="00C74FF5"/>
    <w:rsid w:val="00C76DD3"/>
    <w:rsid w:val="00C77FAD"/>
    <w:rsid w:val="00C8453D"/>
    <w:rsid w:val="00C918D0"/>
    <w:rsid w:val="00C943C1"/>
    <w:rsid w:val="00C9474F"/>
    <w:rsid w:val="00C94B45"/>
    <w:rsid w:val="00C96390"/>
    <w:rsid w:val="00C966D7"/>
    <w:rsid w:val="00CA2504"/>
    <w:rsid w:val="00CA590B"/>
    <w:rsid w:val="00CB3325"/>
    <w:rsid w:val="00CB3BB8"/>
    <w:rsid w:val="00CB3F6B"/>
    <w:rsid w:val="00CB5B69"/>
    <w:rsid w:val="00CB61F2"/>
    <w:rsid w:val="00CC4701"/>
    <w:rsid w:val="00CD0C44"/>
    <w:rsid w:val="00CD2518"/>
    <w:rsid w:val="00CD38DA"/>
    <w:rsid w:val="00CD54B1"/>
    <w:rsid w:val="00CE319E"/>
    <w:rsid w:val="00CF181A"/>
    <w:rsid w:val="00CF54DC"/>
    <w:rsid w:val="00CF6202"/>
    <w:rsid w:val="00CF66B9"/>
    <w:rsid w:val="00D007E1"/>
    <w:rsid w:val="00D060A3"/>
    <w:rsid w:val="00D151A2"/>
    <w:rsid w:val="00D163B4"/>
    <w:rsid w:val="00D21134"/>
    <w:rsid w:val="00D219F7"/>
    <w:rsid w:val="00D33250"/>
    <w:rsid w:val="00D355A5"/>
    <w:rsid w:val="00D411CB"/>
    <w:rsid w:val="00D45161"/>
    <w:rsid w:val="00D478E3"/>
    <w:rsid w:val="00D51F61"/>
    <w:rsid w:val="00D56FE2"/>
    <w:rsid w:val="00D609CD"/>
    <w:rsid w:val="00D70AB0"/>
    <w:rsid w:val="00D93227"/>
    <w:rsid w:val="00D96DE0"/>
    <w:rsid w:val="00DA0094"/>
    <w:rsid w:val="00DA1B47"/>
    <w:rsid w:val="00DA43F4"/>
    <w:rsid w:val="00DB093A"/>
    <w:rsid w:val="00DB36F2"/>
    <w:rsid w:val="00DB407B"/>
    <w:rsid w:val="00DB52FD"/>
    <w:rsid w:val="00DB59D1"/>
    <w:rsid w:val="00DC7CC6"/>
    <w:rsid w:val="00DD5691"/>
    <w:rsid w:val="00DE633E"/>
    <w:rsid w:val="00DF1B86"/>
    <w:rsid w:val="00DF1C87"/>
    <w:rsid w:val="00DF51C0"/>
    <w:rsid w:val="00DF5773"/>
    <w:rsid w:val="00DF7CDD"/>
    <w:rsid w:val="00E01782"/>
    <w:rsid w:val="00E0266E"/>
    <w:rsid w:val="00E058AA"/>
    <w:rsid w:val="00E06E34"/>
    <w:rsid w:val="00E07FA0"/>
    <w:rsid w:val="00E2287E"/>
    <w:rsid w:val="00E24174"/>
    <w:rsid w:val="00E25668"/>
    <w:rsid w:val="00E26305"/>
    <w:rsid w:val="00E319A1"/>
    <w:rsid w:val="00E33C78"/>
    <w:rsid w:val="00E37706"/>
    <w:rsid w:val="00E3778C"/>
    <w:rsid w:val="00E41399"/>
    <w:rsid w:val="00E43E45"/>
    <w:rsid w:val="00E4627B"/>
    <w:rsid w:val="00E568C3"/>
    <w:rsid w:val="00E60B57"/>
    <w:rsid w:val="00E62984"/>
    <w:rsid w:val="00E66362"/>
    <w:rsid w:val="00E66C76"/>
    <w:rsid w:val="00E81099"/>
    <w:rsid w:val="00E824A6"/>
    <w:rsid w:val="00E974B6"/>
    <w:rsid w:val="00E97B87"/>
    <w:rsid w:val="00EA543B"/>
    <w:rsid w:val="00EC1D30"/>
    <w:rsid w:val="00EC311E"/>
    <w:rsid w:val="00EE49AB"/>
    <w:rsid w:val="00EF13EB"/>
    <w:rsid w:val="00EF2304"/>
    <w:rsid w:val="00EF2529"/>
    <w:rsid w:val="00EF4F50"/>
    <w:rsid w:val="00F003DF"/>
    <w:rsid w:val="00F02BA0"/>
    <w:rsid w:val="00F05BB9"/>
    <w:rsid w:val="00F15226"/>
    <w:rsid w:val="00F15EA5"/>
    <w:rsid w:val="00F1741C"/>
    <w:rsid w:val="00F205F9"/>
    <w:rsid w:val="00F2109B"/>
    <w:rsid w:val="00F2337D"/>
    <w:rsid w:val="00F27680"/>
    <w:rsid w:val="00F30DDC"/>
    <w:rsid w:val="00F31032"/>
    <w:rsid w:val="00F3665C"/>
    <w:rsid w:val="00F45BA3"/>
    <w:rsid w:val="00F51AE0"/>
    <w:rsid w:val="00F53285"/>
    <w:rsid w:val="00F65FD5"/>
    <w:rsid w:val="00F671CC"/>
    <w:rsid w:val="00F67293"/>
    <w:rsid w:val="00F672D7"/>
    <w:rsid w:val="00F7222E"/>
    <w:rsid w:val="00F73C0E"/>
    <w:rsid w:val="00F80D8B"/>
    <w:rsid w:val="00F83AEE"/>
    <w:rsid w:val="00F91271"/>
    <w:rsid w:val="00FA0211"/>
    <w:rsid w:val="00FA1263"/>
    <w:rsid w:val="00FB1F9D"/>
    <w:rsid w:val="00FB23AA"/>
    <w:rsid w:val="00FB3B84"/>
    <w:rsid w:val="00FB7667"/>
    <w:rsid w:val="00FC11B0"/>
    <w:rsid w:val="00FC41C9"/>
    <w:rsid w:val="00FD1A40"/>
    <w:rsid w:val="00FD4D83"/>
    <w:rsid w:val="00FD5351"/>
    <w:rsid w:val="00FF4966"/>
    <w:rsid w:val="00FF6018"/>
    <w:rsid w:val="00FF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D3"/>
    <w:pPr>
      <w:spacing w:after="60" w:line="264" w:lineRule="auto"/>
      <w:ind w:left="0"/>
    </w:pPr>
    <w:rPr>
      <w:rFonts w:ascii="Chaparral Pro" w:eastAsiaTheme="minorEastAsia" w:hAnsi="Chaparral Pro"/>
      <w:color w:val="000000" w:themeColor="text1"/>
      <w:sz w:val="22"/>
    </w:rPr>
  </w:style>
  <w:style w:type="paragraph" w:styleId="Heading1">
    <w:name w:val="heading 1"/>
    <w:basedOn w:val="Normal"/>
    <w:next w:val="Normal"/>
    <w:link w:val="Heading1Char"/>
    <w:uiPriority w:val="9"/>
    <w:qFormat/>
    <w:rsid w:val="00C76DD3"/>
    <w:pPr>
      <w:keepNext/>
      <w:spacing w:before="100" w:after="0" w:line="276" w:lineRule="auto"/>
      <w:contextualSpacing/>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C76DD3"/>
    <w:pPr>
      <w:keepNext/>
      <w:spacing w:before="100" w:after="0" w:line="276" w:lineRule="auto"/>
      <w:outlineLvl w:val="1"/>
    </w:pPr>
    <w:rPr>
      <w:rFonts w:eastAsiaTheme="majorEastAsia" w:cstheme="majorBidi"/>
      <w:b/>
      <w:bCs/>
      <w:color w:val="auto"/>
      <w:sz w:val="20"/>
      <w:szCs w:val="26"/>
    </w:rPr>
  </w:style>
  <w:style w:type="paragraph" w:styleId="Heading3">
    <w:name w:val="heading 3"/>
    <w:basedOn w:val="Normal"/>
    <w:next w:val="Normal"/>
    <w:link w:val="Heading3Char"/>
    <w:uiPriority w:val="9"/>
    <w:unhideWhenUsed/>
    <w:qFormat/>
    <w:rsid w:val="000444D6"/>
    <w:pPr>
      <w:keepNext/>
      <w:spacing w:after="0" w:line="276" w:lineRule="auto"/>
      <w:outlineLvl w:val="2"/>
    </w:pPr>
    <w:rPr>
      <w:rFonts w:ascii="Century Gothic" w:eastAsiaTheme="minorHAnsi" w:hAnsi="Century Gothic"/>
      <w:i/>
      <w:color w:val="auto"/>
      <w:sz w:val="20"/>
    </w:rPr>
  </w:style>
  <w:style w:type="paragraph" w:styleId="Heading4">
    <w:name w:val="heading 4"/>
    <w:basedOn w:val="Normal"/>
    <w:next w:val="Normal"/>
    <w:link w:val="Heading4Char"/>
    <w:uiPriority w:val="9"/>
    <w:semiHidden/>
    <w:unhideWhenUsed/>
    <w:qFormat/>
    <w:rsid w:val="00966D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66D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66D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66D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66D6C"/>
    <w:pPr>
      <w:spacing w:before="20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66D6C"/>
    <w:pPr>
      <w:spacing w:before="20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DD3"/>
    <w:rPr>
      <w:rFonts w:ascii="Chaparral Pro" w:eastAsiaTheme="majorEastAsia" w:hAnsi="Chaparral Pro" w:cstheme="majorBidi"/>
      <w:b/>
      <w:bCs/>
      <w:sz w:val="28"/>
      <w:szCs w:val="28"/>
    </w:rPr>
  </w:style>
  <w:style w:type="character" w:customStyle="1" w:styleId="Heading2Char">
    <w:name w:val="Heading 2 Char"/>
    <w:basedOn w:val="DefaultParagraphFont"/>
    <w:link w:val="Heading2"/>
    <w:uiPriority w:val="9"/>
    <w:rsid w:val="00C76DD3"/>
    <w:rPr>
      <w:rFonts w:ascii="Chaparral Pro" w:eastAsiaTheme="majorEastAsia" w:hAnsi="Chaparral Pro" w:cstheme="majorBidi"/>
      <w:b/>
      <w:bCs/>
      <w:szCs w:val="26"/>
    </w:rPr>
  </w:style>
  <w:style w:type="character" w:customStyle="1" w:styleId="Heading3Char">
    <w:name w:val="Heading 3 Char"/>
    <w:basedOn w:val="DefaultParagraphFont"/>
    <w:link w:val="Heading3"/>
    <w:uiPriority w:val="9"/>
    <w:rsid w:val="000444D6"/>
    <w:rPr>
      <w:rFonts w:ascii="Century Gothic" w:hAnsi="Century Gothic"/>
      <w:i/>
    </w:rPr>
  </w:style>
  <w:style w:type="character" w:customStyle="1" w:styleId="Heading4Char">
    <w:name w:val="Heading 4 Char"/>
    <w:basedOn w:val="DefaultParagraphFont"/>
    <w:link w:val="Heading4"/>
    <w:uiPriority w:val="9"/>
    <w:semiHidden/>
    <w:rsid w:val="00966D6C"/>
    <w:rPr>
      <w:rFonts w:asciiTheme="majorHAnsi" w:eastAsiaTheme="majorEastAsia" w:hAnsiTheme="majorHAnsi" w:cstheme="majorBidi"/>
      <w:b/>
      <w:bCs/>
      <w:smallCaps/>
      <w:color w:val="3071C3" w:themeColor="text2" w:themeTint="BF"/>
      <w:spacing w:val="20"/>
      <w:sz w:val="24"/>
    </w:rPr>
  </w:style>
  <w:style w:type="paragraph" w:styleId="FootnoteText">
    <w:name w:val="footnote text"/>
    <w:basedOn w:val="Normal"/>
    <w:link w:val="FootnoteTextChar"/>
    <w:uiPriority w:val="99"/>
    <w:unhideWhenUsed/>
    <w:rsid w:val="00966D6C"/>
    <w:pPr>
      <w:spacing w:line="240" w:lineRule="auto"/>
      <w:ind w:left="720" w:hanging="720"/>
    </w:pPr>
    <w:rPr>
      <w:sz w:val="20"/>
    </w:rPr>
  </w:style>
  <w:style w:type="character" w:customStyle="1" w:styleId="FootnoteTextChar">
    <w:name w:val="Footnote Text Char"/>
    <w:basedOn w:val="DefaultParagraphFont"/>
    <w:link w:val="FootnoteText"/>
    <w:uiPriority w:val="99"/>
    <w:rsid w:val="00966D6C"/>
    <w:rPr>
      <w:rFonts w:ascii="Doves Type" w:eastAsiaTheme="minorEastAsia" w:hAnsi="Doves Type"/>
      <w:color w:val="000000" w:themeColor="text1"/>
    </w:rPr>
  </w:style>
  <w:style w:type="character" w:styleId="FootnoteReference">
    <w:name w:val="footnote reference"/>
    <w:basedOn w:val="DefaultParagraphFont"/>
    <w:uiPriority w:val="99"/>
    <w:unhideWhenUsed/>
    <w:rsid w:val="00966D6C"/>
    <w:rPr>
      <w:vertAlign w:val="superscript"/>
    </w:rPr>
  </w:style>
  <w:style w:type="paragraph" w:styleId="EndnoteText">
    <w:name w:val="endnote text"/>
    <w:basedOn w:val="Normal"/>
    <w:link w:val="EndnoteTextChar"/>
    <w:uiPriority w:val="99"/>
    <w:semiHidden/>
    <w:unhideWhenUsed/>
    <w:rsid w:val="00966D6C"/>
    <w:rPr>
      <w:sz w:val="20"/>
    </w:rPr>
  </w:style>
  <w:style w:type="character" w:customStyle="1" w:styleId="EndnoteTextChar">
    <w:name w:val="Endnote Text Char"/>
    <w:basedOn w:val="DefaultParagraphFont"/>
    <w:link w:val="EndnoteText"/>
    <w:uiPriority w:val="99"/>
    <w:semiHidden/>
    <w:rsid w:val="00966D6C"/>
    <w:rPr>
      <w:rFonts w:ascii="Doves Type" w:eastAsiaTheme="minorEastAsia" w:hAnsi="Doves Type"/>
      <w:color w:val="5A5A5A" w:themeColor="text1" w:themeTint="A5"/>
    </w:rPr>
  </w:style>
  <w:style w:type="paragraph" w:styleId="Title">
    <w:name w:val="Title"/>
    <w:next w:val="Normal"/>
    <w:link w:val="TitleChar"/>
    <w:uiPriority w:val="10"/>
    <w:qFormat/>
    <w:rsid w:val="00966D6C"/>
    <w:pPr>
      <w:spacing w:line="240" w:lineRule="auto"/>
      <w:ind w:left="0"/>
      <w:contextualSpacing/>
    </w:pPr>
    <w:rPr>
      <w:rFonts w:ascii="Doves Type" w:eastAsiaTheme="majorEastAsia" w:hAnsi="Doves Type" w:cstheme="majorBidi"/>
      <w:b/>
      <w:smallCaps/>
      <w:color w:val="632423" w:themeColor="accent2" w:themeShade="80"/>
      <w:spacing w:val="5"/>
      <w:sz w:val="72"/>
      <w:szCs w:val="72"/>
    </w:rPr>
  </w:style>
  <w:style w:type="character" w:customStyle="1" w:styleId="TitleChar">
    <w:name w:val="Title Char"/>
    <w:basedOn w:val="DefaultParagraphFont"/>
    <w:link w:val="Title"/>
    <w:uiPriority w:val="10"/>
    <w:rsid w:val="00966D6C"/>
    <w:rPr>
      <w:rFonts w:ascii="Doves Type" w:eastAsiaTheme="majorEastAsia" w:hAnsi="Doves Type" w:cstheme="majorBidi"/>
      <w:b/>
      <w:smallCaps/>
      <w:color w:val="632423" w:themeColor="accent2" w:themeShade="80"/>
      <w:spacing w:val="5"/>
      <w:sz w:val="72"/>
      <w:szCs w:val="72"/>
    </w:rPr>
  </w:style>
  <w:style w:type="character" w:customStyle="1" w:styleId="Heading5Char">
    <w:name w:val="Heading 5 Char"/>
    <w:basedOn w:val="DefaultParagraphFont"/>
    <w:link w:val="Heading5"/>
    <w:uiPriority w:val="9"/>
    <w:semiHidden/>
    <w:rsid w:val="00966D6C"/>
    <w:rPr>
      <w:rFonts w:asciiTheme="majorHAnsi" w:eastAsiaTheme="majorEastAsia" w:hAnsiTheme="majorHAnsi" w:cstheme="majorBidi"/>
      <w:smallCaps/>
      <w:color w:val="3071C3" w:themeColor="text2" w:themeTint="BF"/>
      <w:spacing w:val="20"/>
      <w:sz w:val="24"/>
    </w:rPr>
  </w:style>
  <w:style w:type="paragraph" w:styleId="Quote">
    <w:name w:val="Quote"/>
    <w:basedOn w:val="Normal"/>
    <w:next w:val="Normal"/>
    <w:link w:val="QuoteChar"/>
    <w:uiPriority w:val="29"/>
    <w:qFormat/>
    <w:rsid w:val="00E058AA"/>
    <w:pPr>
      <w:ind w:left="720"/>
    </w:pPr>
    <w:rPr>
      <w:rFonts w:eastAsiaTheme="minorHAnsi"/>
      <w:i/>
      <w:iCs/>
    </w:rPr>
  </w:style>
  <w:style w:type="character" w:customStyle="1" w:styleId="QuoteChar">
    <w:name w:val="Quote Char"/>
    <w:basedOn w:val="DefaultParagraphFont"/>
    <w:link w:val="Quote"/>
    <w:uiPriority w:val="29"/>
    <w:rsid w:val="00E058AA"/>
    <w:rPr>
      <w:rFonts w:ascii="Doves Type" w:hAnsi="Doves Type"/>
      <w:i/>
      <w:iCs/>
      <w:color w:val="000000" w:themeColor="text1"/>
      <w:sz w:val="22"/>
    </w:rPr>
  </w:style>
  <w:style w:type="paragraph" w:customStyle="1" w:styleId="Tabbed3columns">
    <w:name w:val="Tabbed 3 columns"/>
    <w:basedOn w:val="Normal"/>
    <w:link w:val="Tabbed3columnsChar"/>
    <w:rsid w:val="00966D6C"/>
    <w:pPr>
      <w:tabs>
        <w:tab w:val="center" w:pos="4680"/>
        <w:tab w:val="right" w:pos="9360"/>
      </w:tabs>
    </w:pPr>
    <w:rPr>
      <w:b/>
      <w:bCs/>
    </w:rPr>
  </w:style>
  <w:style w:type="character" w:customStyle="1" w:styleId="Tabbed3columnsChar">
    <w:name w:val="Tabbed 3 columns Char"/>
    <w:basedOn w:val="DefaultParagraphFont"/>
    <w:link w:val="Tabbed3columns"/>
    <w:rsid w:val="00966D6C"/>
    <w:rPr>
      <w:rFonts w:ascii="Doves Type" w:eastAsiaTheme="minorEastAsia" w:hAnsi="Doves Type"/>
      <w:b/>
      <w:bCs/>
      <w:color w:val="5A5A5A" w:themeColor="text1" w:themeTint="A5"/>
      <w:sz w:val="22"/>
    </w:rPr>
  </w:style>
  <w:style w:type="paragraph" w:styleId="Subtitle">
    <w:name w:val="Subtitle"/>
    <w:next w:val="Normal"/>
    <w:link w:val="SubtitleChar"/>
    <w:uiPriority w:val="11"/>
    <w:qFormat/>
    <w:rsid w:val="00966D6C"/>
    <w:pPr>
      <w:spacing w:after="600" w:line="240" w:lineRule="auto"/>
      <w:ind w:left="0"/>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66D6C"/>
    <w:rPr>
      <w:rFonts w:eastAsiaTheme="minorEastAsia"/>
      <w:smallCaps/>
      <w:color w:val="938953" w:themeColor="background2" w:themeShade="7F"/>
      <w:spacing w:val="5"/>
      <w:sz w:val="28"/>
      <w:szCs w:val="28"/>
    </w:rPr>
  </w:style>
  <w:style w:type="paragraph" w:styleId="Header">
    <w:name w:val="header"/>
    <w:basedOn w:val="Normal"/>
    <w:link w:val="HeaderChar"/>
    <w:uiPriority w:val="99"/>
    <w:unhideWhenUsed/>
    <w:rsid w:val="00966D6C"/>
    <w:pPr>
      <w:tabs>
        <w:tab w:val="center" w:pos="4513"/>
        <w:tab w:val="right" w:pos="9026"/>
      </w:tabs>
    </w:pPr>
  </w:style>
  <w:style w:type="character" w:customStyle="1" w:styleId="HeaderChar">
    <w:name w:val="Header Char"/>
    <w:basedOn w:val="DefaultParagraphFont"/>
    <w:link w:val="Header"/>
    <w:uiPriority w:val="99"/>
    <w:rsid w:val="00966D6C"/>
    <w:rPr>
      <w:rFonts w:ascii="Doves Type" w:eastAsiaTheme="minorEastAsia" w:hAnsi="Doves Type"/>
      <w:color w:val="5A5A5A" w:themeColor="text1" w:themeTint="A5"/>
      <w:sz w:val="24"/>
    </w:rPr>
  </w:style>
  <w:style w:type="paragraph" w:styleId="Footer">
    <w:name w:val="footer"/>
    <w:basedOn w:val="Normal"/>
    <w:link w:val="FooterChar"/>
    <w:uiPriority w:val="99"/>
    <w:unhideWhenUsed/>
    <w:rsid w:val="00966D6C"/>
    <w:pPr>
      <w:tabs>
        <w:tab w:val="center" w:pos="4513"/>
        <w:tab w:val="right" w:pos="9026"/>
      </w:tabs>
    </w:pPr>
  </w:style>
  <w:style w:type="character" w:customStyle="1" w:styleId="FooterChar">
    <w:name w:val="Footer Char"/>
    <w:basedOn w:val="DefaultParagraphFont"/>
    <w:link w:val="Footer"/>
    <w:uiPriority w:val="99"/>
    <w:rsid w:val="00966D6C"/>
    <w:rPr>
      <w:rFonts w:ascii="Doves Type" w:eastAsiaTheme="minorEastAsia" w:hAnsi="Doves Type"/>
      <w:color w:val="5A5A5A" w:themeColor="text1" w:themeTint="A5"/>
      <w:sz w:val="24"/>
    </w:rPr>
  </w:style>
  <w:style w:type="paragraph" w:styleId="ListParagraph">
    <w:name w:val="List Paragraph"/>
    <w:basedOn w:val="Normal"/>
    <w:uiPriority w:val="34"/>
    <w:qFormat/>
    <w:rsid w:val="00661D75"/>
    <w:pPr>
      <w:numPr>
        <w:numId w:val="2"/>
      </w:numPr>
      <w:contextualSpacing/>
    </w:pPr>
  </w:style>
  <w:style w:type="character" w:customStyle="1" w:styleId="Heading6Char">
    <w:name w:val="Heading 6 Char"/>
    <w:basedOn w:val="DefaultParagraphFont"/>
    <w:link w:val="Heading6"/>
    <w:uiPriority w:val="9"/>
    <w:semiHidden/>
    <w:rsid w:val="00966D6C"/>
    <w:rPr>
      <w:rFonts w:asciiTheme="majorHAnsi" w:eastAsiaTheme="majorEastAsia" w:hAnsiTheme="majorHAnsi" w:cstheme="majorBidi"/>
      <w:smallCaps/>
      <w:color w:val="938953" w:themeColor="background2" w:themeShade="7F"/>
      <w:spacing w:val="20"/>
      <w:sz w:val="24"/>
    </w:rPr>
  </w:style>
  <w:style w:type="character" w:customStyle="1" w:styleId="Heading7Char">
    <w:name w:val="Heading 7 Char"/>
    <w:basedOn w:val="DefaultParagraphFont"/>
    <w:link w:val="Heading7"/>
    <w:uiPriority w:val="9"/>
    <w:semiHidden/>
    <w:rsid w:val="00966D6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66D6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66D6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966D6C"/>
    <w:rPr>
      <w:b/>
      <w:bCs/>
      <w:smallCaps/>
      <w:color w:val="1F497D" w:themeColor="text2"/>
      <w:spacing w:val="10"/>
      <w:sz w:val="18"/>
      <w:szCs w:val="18"/>
    </w:rPr>
  </w:style>
  <w:style w:type="character" w:styleId="Strong">
    <w:name w:val="Strong"/>
    <w:uiPriority w:val="22"/>
    <w:qFormat/>
    <w:rsid w:val="00966D6C"/>
    <w:rPr>
      <w:b/>
      <w:bCs/>
      <w:spacing w:val="0"/>
    </w:rPr>
  </w:style>
  <w:style w:type="character" w:styleId="Emphasis">
    <w:name w:val="Emphasis"/>
    <w:uiPriority w:val="20"/>
    <w:qFormat/>
    <w:rsid w:val="00966D6C"/>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66D6C"/>
    <w:pPr>
      <w:spacing w:after="0" w:line="240" w:lineRule="auto"/>
    </w:pPr>
  </w:style>
  <w:style w:type="paragraph" w:styleId="IntenseQuote">
    <w:name w:val="Intense Quote"/>
    <w:basedOn w:val="Normal"/>
    <w:next w:val="Normal"/>
    <w:link w:val="IntenseQuoteChar"/>
    <w:uiPriority w:val="30"/>
    <w:qFormat/>
    <w:rsid w:val="00966D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66D6C"/>
    <w:rPr>
      <w:rFonts w:asciiTheme="majorHAnsi" w:eastAsiaTheme="majorEastAsia" w:hAnsiTheme="majorHAnsi" w:cstheme="majorBidi"/>
      <w:smallCaps/>
      <w:color w:val="365F91" w:themeColor="accent1" w:themeShade="BF"/>
      <w:sz w:val="24"/>
    </w:rPr>
  </w:style>
  <w:style w:type="character" w:styleId="SubtleEmphasis">
    <w:name w:val="Subtle Emphasis"/>
    <w:uiPriority w:val="19"/>
    <w:qFormat/>
    <w:rsid w:val="00966D6C"/>
    <w:rPr>
      <w:smallCaps/>
      <w:dstrike w:val="0"/>
      <w:color w:val="5A5A5A" w:themeColor="text1" w:themeTint="A5"/>
      <w:vertAlign w:val="baseline"/>
    </w:rPr>
  </w:style>
  <w:style w:type="character" w:styleId="IntenseEmphasis">
    <w:name w:val="Intense Emphasis"/>
    <w:uiPriority w:val="21"/>
    <w:qFormat/>
    <w:rsid w:val="00966D6C"/>
    <w:rPr>
      <w:b/>
      <w:bCs/>
      <w:smallCaps/>
      <w:color w:val="4F81BD" w:themeColor="accent1"/>
      <w:spacing w:val="40"/>
    </w:rPr>
  </w:style>
  <w:style w:type="character" w:styleId="SubtleReference">
    <w:name w:val="Subtle Reference"/>
    <w:uiPriority w:val="31"/>
    <w:qFormat/>
    <w:rsid w:val="00966D6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66D6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66D6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66D6C"/>
    <w:pPr>
      <w:outlineLvl w:val="9"/>
    </w:pPr>
    <w:rPr>
      <w:lang w:bidi="en-US"/>
    </w:rPr>
  </w:style>
  <w:style w:type="character" w:styleId="Hyperlink">
    <w:name w:val="Hyperlink"/>
    <w:basedOn w:val="DefaultParagraphFont"/>
    <w:uiPriority w:val="99"/>
    <w:unhideWhenUsed/>
    <w:rsid w:val="00122EDE"/>
    <w:rPr>
      <w:color w:val="0000FF" w:themeColor="hyperlink"/>
      <w:u w:val="single"/>
    </w:rPr>
  </w:style>
  <w:style w:type="character" w:customStyle="1" w:styleId="NoSpacingChar">
    <w:name w:val="No Spacing Char"/>
    <w:basedOn w:val="DefaultParagraphFont"/>
    <w:link w:val="NoSpacing"/>
    <w:uiPriority w:val="1"/>
    <w:rsid w:val="00762CDB"/>
    <w:rPr>
      <w:rFonts w:ascii="Chaparral Pro" w:eastAsiaTheme="minorEastAsia" w:hAnsi="Chaparral Pro"/>
      <w:color w:val="000000" w:themeColor="text1"/>
      <w:sz w:val="22"/>
    </w:rPr>
  </w:style>
  <w:style w:type="paragraph" w:styleId="BalloonText">
    <w:name w:val="Balloon Text"/>
    <w:basedOn w:val="Normal"/>
    <w:link w:val="BalloonTextChar"/>
    <w:uiPriority w:val="99"/>
    <w:semiHidden/>
    <w:unhideWhenUsed/>
    <w:rsid w:val="0076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DB"/>
    <w:rPr>
      <w:rFonts w:ascii="Tahoma" w:eastAsiaTheme="minorEastAsi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D3"/>
    <w:pPr>
      <w:spacing w:after="60" w:line="264" w:lineRule="auto"/>
      <w:ind w:left="0"/>
    </w:pPr>
    <w:rPr>
      <w:rFonts w:ascii="Chaparral Pro" w:eastAsiaTheme="minorEastAsia" w:hAnsi="Chaparral Pro"/>
      <w:color w:val="000000" w:themeColor="text1"/>
      <w:sz w:val="22"/>
    </w:rPr>
  </w:style>
  <w:style w:type="paragraph" w:styleId="Heading1">
    <w:name w:val="heading 1"/>
    <w:basedOn w:val="Normal"/>
    <w:next w:val="Normal"/>
    <w:link w:val="Heading1Char"/>
    <w:uiPriority w:val="9"/>
    <w:qFormat/>
    <w:rsid w:val="00C76DD3"/>
    <w:pPr>
      <w:keepNext/>
      <w:spacing w:before="100" w:after="0" w:line="276" w:lineRule="auto"/>
      <w:contextualSpacing/>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C76DD3"/>
    <w:pPr>
      <w:keepNext/>
      <w:spacing w:before="100" w:after="0" w:line="276" w:lineRule="auto"/>
      <w:outlineLvl w:val="1"/>
    </w:pPr>
    <w:rPr>
      <w:rFonts w:eastAsiaTheme="majorEastAsia" w:cstheme="majorBidi"/>
      <w:b/>
      <w:bCs/>
      <w:color w:val="auto"/>
      <w:sz w:val="20"/>
      <w:szCs w:val="26"/>
    </w:rPr>
  </w:style>
  <w:style w:type="paragraph" w:styleId="Heading3">
    <w:name w:val="heading 3"/>
    <w:basedOn w:val="Normal"/>
    <w:next w:val="Normal"/>
    <w:link w:val="Heading3Char"/>
    <w:uiPriority w:val="9"/>
    <w:unhideWhenUsed/>
    <w:qFormat/>
    <w:rsid w:val="000444D6"/>
    <w:pPr>
      <w:keepNext/>
      <w:spacing w:after="0" w:line="276" w:lineRule="auto"/>
      <w:outlineLvl w:val="2"/>
    </w:pPr>
    <w:rPr>
      <w:rFonts w:ascii="Century Gothic" w:eastAsiaTheme="minorHAnsi" w:hAnsi="Century Gothic"/>
      <w:i/>
      <w:color w:val="auto"/>
      <w:sz w:val="20"/>
    </w:rPr>
  </w:style>
  <w:style w:type="paragraph" w:styleId="Heading4">
    <w:name w:val="heading 4"/>
    <w:basedOn w:val="Normal"/>
    <w:next w:val="Normal"/>
    <w:link w:val="Heading4Char"/>
    <w:uiPriority w:val="9"/>
    <w:semiHidden/>
    <w:unhideWhenUsed/>
    <w:qFormat/>
    <w:rsid w:val="00966D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66D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66D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66D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66D6C"/>
    <w:pPr>
      <w:spacing w:before="20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66D6C"/>
    <w:pPr>
      <w:spacing w:before="20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DD3"/>
    <w:rPr>
      <w:rFonts w:ascii="Chaparral Pro" w:eastAsiaTheme="majorEastAsia" w:hAnsi="Chaparral Pro" w:cstheme="majorBidi"/>
      <w:b/>
      <w:bCs/>
      <w:sz w:val="28"/>
      <w:szCs w:val="28"/>
    </w:rPr>
  </w:style>
  <w:style w:type="character" w:customStyle="1" w:styleId="Heading2Char">
    <w:name w:val="Heading 2 Char"/>
    <w:basedOn w:val="DefaultParagraphFont"/>
    <w:link w:val="Heading2"/>
    <w:uiPriority w:val="9"/>
    <w:rsid w:val="00C76DD3"/>
    <w:rPr>
      <w:rFonts w:ascii="Chaparral Pro" w:eastAsiaTheme="majorEastAsia" w:hAnsi="Chaparral Pro" w:cstheme="majorBidi"/>
      <w:b/>
      <w:bCs/>
      <w:szCs w:val="26"/>
    </w:rPr>
  </w:style>
  <w:style w:type="character" w:customStyle="1" w:styleId="Heading3Char">
    <w:name w:val="Heading 3 Char"/>
    <w:basedOn w:val="DefaultParagraphFont"/>
    <w:link w:val="Heading3"/>
    <w:uiPriority w:val="9"/>
    <w:rsid w:val="000444D6"/>
    <w:rPr>
      <w:rFonts w:ascii="Century Gothic" w:hAnsi="Century Gothic"/>
      <w:i/>
    </w:rPr>
  </w:style>
  <w:style w:type="character" w:customStyle="1" w:styleId="Heading4Char">
    <w:name w:val="Heading 4 Char"/>
    <w:basedOn w:val="DefaultParagraphFont"/>
    <w:link w:val="Heading4"/>
    <w:uiPriority w:val="9"/>
    <w:semiHidden/>
    <w:rsid w:val="00966D6C"/>
    <w:rPr>
      <w:rFonts w:asciiTheme="majorHAnsi" w:eastAsiaTheme="majorEastAsia" w:hAnsiTheme="majorHAnsi" w:cstheme="majorBidi"/>
      <w:b/>
      <w:bCs/>
      <w:smallCaps/>
      <w:color w:val="3071C3" w:themeColor="text2" w:themeTint="BF"/>
      <w:spacing w:val="20"/>
      <w:sz w:val="24"/>
    </w:rPr>
  </w:style>
  <w:style w:type="paragraph" w:styleId="FootnoteText">
    <w:name w:val="footnote text"/>
    <w:basedOn w:val="Normal"/>
    <w:link w:val="FootnoteTextChar"/>
    <w:uiPriority w:val="99"/>
    <w:unhideWhenUsed/>
    <w:rsid w:val="00966D6C"/>
    <w:pPr>
      <w:spacing w:line="240" w:lineRule="auto"/>
      <w:ind w:left="720" w:hanging="720"/>
    </w:pPr>
    <w:rPr>
      <w:sz w:val="20"/>
    </w:rPr>
  </w:style>
  <w:style w:type="character" w:customStyle="1" w:styleId="FootnoteTextChar">
    <w:name w:val="Footnote Text Char"/>
    <w:basedOn w:val="DefaultParagraphFont"/>
    <w:link w:val="FootnoteText"/>
    <w:uiPriority w:val="99"/>
    <w:rsid w:val="00966D6C"/>
    <w:rPr>
      <w:rFonts w:ascii="Doves Type" w:eastAsiaTheme="minorEastAsia" w:hAnsi="Doves Type"/>
      <w:color w:val="000000" w:themeColor="text1"/>
    </w:rPr>
  </w:style>
  <w:style w:type="character" w:styleId="FootnoteReference">
    <w:name w:val="footnote reference"/>
    <w:basedOn w:val="DefaultParagraphFont"/>
    <w:uiPriority w:val="99"/>
    <w:unhideWhenUsed/>
    <w:rsid w:val="00966D6C"/>
    <w:rPr>
      <w:vertAlign w:val="superscript"/>
    </w:rPr>
  </w:style>
  <w:style w:type="paragraph" w:styleId="EndnoteText">
    <w:name w:val="endnote text"/>
    <w:basedOn w:val="Normal"/>
    <w:link w:val="EndnoteTextChar"/>
    <w:uiPriority w:val="99"/>
    <w:semiHidden/>
    <w:unhideWhenUsed/>
    <w:rsid w:val="00966D6C"/>
    <w:rPr>
      <w:sz w:val="20"/>
    </w:rPr>
  </w:style>
  <w:style w:type="character" w:customStyle="1" w:styleId="EndnoteTextChar">
    <w:name w:val="Endnote Text Char"/>
    <w:basedOn w:val="DefaultParagraphFont"/>
    <w:link w:val="EndnoteText"/>
    <w:uiPriority w:val="99"/>
    <w:semiHidden/>
    <w:rsid w:val="00966D6C"/>
    <w:rPr>
      <w:rFonts w:ascii="Doves Type" w:eastAsiaTheme="minorEastAsia" w:hAnsi="Doves Type"/>
      <w:color w:val="5A5A5A" w:themeColor="text1" w:themeTint="A5"/>
    </w:rPr>
  </w:style>
  <w:style w:type="paragraph" w:styleId="Title">
    <w:name w:val="Title"/>
    <w:next w:val="Normal"/>
    <w:link w:val="TitleChar"/>
    <w:uiPriority w:val="10"/>
    <w:qFormat/>
    <w:rsid w:val="00966D6C"/>
    <w:pPr>
      <w:spacing w:line="240" w:lineRule="auto"/>
      <w:ind w:left="0"/>
      <w:contextualSpacing/>
    </w:pPr>
    <w:rPr>
      <w:rFonts w:ascii="Doves Type" w:eastAsiaTheme="majorEastAsia" w:hAnsi="Doves Type" w:cstheme="majorBidi"/>
      <w:b/>
      <w:smallCaps/>
      <w:color w:val="632423" w:themeColor="accent2" w:themeShade="80"/>
      <w:spacing w:val="5"/>
      <w:sz w:val="72"/>
      <w:szCs w:val="72"/>
    </w:rPr>
  </w:style>
  <w:style w:type="character" w:customStyle="1" w:styleId="TitleChar">
    <w:name w:val="Title Char"/>
    <w:basedOn w:val="DefaultParagraphFont"/>
    <w:link w:val="Title"/>
    <w:uiPriority w:val="10"/>
    <w:rsid w:val="00966D6C"/>
    <w:rPr>
      <w:rFonts w:ascii="Doves Type" w:eastAsiaTheme="majorEastAsia" w:hAnsi="Doves Type" w:cstheme="majorBidi"/>
      <w:b/>
      <w:smallCaps/>
      <w:color w:val="632423" w:themeColor="accent2" w:themeShade="80"/>
      <w:spacing w:val="5"/>
      <w:sz w:val="72"/>
      <w:szCs w:val="72"/>
    </w:rPr>
  </w:style>
  <w:style w:type="character" w:customStyle="1" w:styleId="Heading5Char">
    <w:name w:val="Heading 5 Char"/>
    <w:basedOn w:val="DefaultParagraphFont"/>
    <w:link w:val="Heading5"/>
    <w:uiPriority w:val="9"/>
    <w:semiHidden/>
    <w:rsid w:val="00966D6C"/>
    <w:rPr>
      <w:rFonts w:asciiTheme="majorHAnsi" w:eastAsiaTheme="majorEastAsia" w:hAnsiTheme="majorHAnsi" w:cstheme="majorBidi"/>
      <w:smallCaps/>
      <w:color w:val="3071C3" w:themeColor="text2" w:themeTint="BF"/>
      <w:spacing w:val="20"/>
      <w:sz w:val="24"/>
    </w:rPr>
  </w:style>
  <w:style w:type="paragraph" w:styleId="Quote">
    <w:name w:val="Quote"/>
    <w:basedOn w:val="Normal"/>
    <w:next w:val="Normal"/>
    <w:link w:val="QuoteChar"/>
    <w:uiPriority w:val="29"/>
    <w:qFormat/>
    <w:rsid w:val="00E058AA"/>
    <w:pPr>
      <w:ind w:left="720"/>
    </w:pPr>
    <w:rPr>
      <w:rFonts w:eastAsiaTheme="minorHAnsi"/>
      <w:i/>
      <w:iCs/>
    </w:rPr>
  </w:style>
  <w:style w:type="character" w:customStyle="1" w:styleId="QuoteChar">
    <w:name w:val="Quote Char"/>
    <w:basedOn w:val="DefaultParagraphFont"/>
    <w:link w:val="Quote"/>
    <w:uiPriority w:val="29"/>
    <w:rsid w:val="00E058AA"/>
    <w:rPr>
      <w:rFonts w:ascii="Doves Type" w:hAnsi="Doves Type"/>
      <w:i/>
      <w:iCs/>
      <w:color w:val="000000" w:themeColor="text1"/>
      <w:sz w:val="22"/>
    </w:rPr>
  </w:style>
  <w:style w:type="paragraph" w:customStyle="1" w:styleId="Tabbed3columns">
    <w:name w:val="Tabbed 3 columns"/>
    <w:basedOn w:val="Normal"/>
    <w:link w:val="Tabbed3columnsChar"/>
    <w:rsid w:val="00966D6C"/>
    <w:pPr>
      <w:tabs>
        <w:tab w:val="center" w:pos="4680"/>
        <w:tab w:val="right" w:pos="9360"/>
      </w:tabs>
    </w:pPr>
    <w:rPr>
      <w:b/>
      <w:bCs/>
    </w:rPr>
  </w:style>
  <w:style w:type="character" w:customStyle="1" w:styleId="Tabbed3columnsChar">
    <w:name w:val="Tabbed 3 columns Char"/>
    <w:basedOn w:val="DefaultParagraphFont"/>
    <w:link w:val="Tabbed3columns"/>
    <w:rsid w:val="00966D6C"/>
    <w:rPr>
      <w:rFonts w:ascii="Doves Type" w:eastAsiaTheme="minorEastAsia" w:hAnsi="Doves Type"/>
      <w:b/>
      <w:bCs/>
      <w:color w:val="5A5A5A" w:themeColor="text1" w:themeTint="A5"/>
      <w:sz w:val="22"/>
    </w:rPr>
  </w:style>
  <w:style w:type="paragraph" w:styleId="Subtitle">
    <w:name w:val="Subtitle"/>
    <w:next w:val="Normal"/>
    <w:link w:val="SubtitleChar"/>
    <w:uiPriority w:val="11"/>
    <w:qFormat/>
    <w:rsid w:val="00966D6C"/>
    <w:pPr>
      <w:spacing w:after="600" w:line="240" w:lineRule="auto"/>
      <w:ind w:left="0"/>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66D6C"/>
    <w:rPr>
      <w:rFonts w:eastAsiaTheme="minorEastAsia"/>
      <w:smallCaps/>
      <w:color w:val="938953" w:themeColor="background2" w:themeShade="7F"/>
      <w:spacing w:val="5"/>
      <w:sz w:val="28"/>
      <w:szCs w:val="28"/>
    </w:rPr>
  </w:style>
  <w:style w:type="paragraph" w:styleId="Header">
    <w:name w:val="header"/>
    <w:basedOn w:val="Normal"/>
    <w:link w:val="HeaderChar"/>
    <w:uiPriority w:val="99"/>
    <w:unhideWhenUsed/>
    <w:rsid w:val="00966D6C"/>
    <w:pPr>
      <w:tabs>
        <w:tab w:val="center" w:pos="4513"/>
        <w:tab w:val="right" w:pos="9026"/>
      </w:tabs>
    </w:pPr>
  </w:style>
  <w:style w:type="character" w:customStyle="1" w:styleId="HeaderChar">
    <w:name w:val="Header Char"/>
    <w:basedOn w:val="DefaultParagraphFont"/>
    <w:link w:val="Header"/>
    <w:uiPriority w:val="99"/>
    <w:rsid w:val="00966D6C"/>
    <w:rPr>
      <w:rFonts w:ascii="Doves Type" w:eastAsiaTheme="minorEastAsia" w:hAnsi="Doves Type"/>
      <w:color w:val="5A5A5A" w:themeColor="text1" w:themeTint="A5"/>
      <w:sz w:val="24"/>
    </w:rPr>
  </w:style>
  <w:style w:type="paragraph" w:styleId="Footer">
    <w:name w:val="footer"/>
    <w:basedOn w:val="Normal"/>
    <w:link w:val="FooterChar"/>
    <w:uiPriority w:val="99"/>
    <w:unhideWhenUsed/>
    <w:rsid w:val="00966D6C"/>
    <w:pPr>
      <w:tabs>
        <w:tab w:val="center" w:pos="4513"/>
        <w:tab w:val="right" w:pos="9026"/>
      </w:tabs>
    </w:pPr>
  </w:style>
  <w:style w:type="character" w:customStyle="1" w:styleId="FooterChar">
    <w:name w:val="Footer Char"/>
    <w:basedOn w:val="DefaultParagraphFont"/>
    <w:link w:val="Footer"/>
    <w:uiPriority w:val="99"/>
    <w:rsid w:val="00966D6C"/>
    <w:rPr>
      <w:rFonts w:ascii="Doves Type" w:eastAsiaTheme="minorEastAsia" w:hAnsi="Doves Type"/>
      <w:color w:val="5A5A5A" w:themeColor="text1" w:themeTint="A5"/>
      <w:sz w:val="24"/>
    </w:rPr>
  </w:style>
  <w:style w:type="paragraph" w:styleId="ListParagraph">
    <w:name w:val="List Paragraph"/>
    <w:basedOn w:val="Normal"/>
    <w:uiPriority w:val="34"/>
    <w:qFormat/>
    <w:rsid w:val="00661D75"/>
    <w:pPr>
      <w:numPr>
        <w:numId w:val="2"/>
      </w:numPr>
      <w:contextualSpacing/>
    </w:pPr>
  </w:style>
  <w:style w:type="character" w:customStyle="1" w:styleId="Heading6Char">
    <w:name w:val="Heading 6 Char"/>
    <w:basedOn w:val="DefaultParagraphFont"/>
    <w:link w:val="Heading6"/>
    <w:uiPriority w:val="9"/>
    <w:semiHidden/>
    <w:rsid w:val="00966D6C"/>
    <w:rPr>
      <w:rFonts w:asciiTheme="majorHAnsi" w:eastAsiaTheme="majorEastAsia" w:hAnsiTheme="majorHAnsi" w:cstheme="majorBidi"/>
      <w:smallCaps/>
      <w:color w:val="938953" w:themeColor="background2" w:themeShade="7F"/>
      <w:spacing w:val="20"/>
      <w:sz w:val="24"/>
    </w:rPr>
  </w:style>
  <w:style w:type="character" w:customStyle="1" w:styleId="Heading7Char">
    <w:name w:val="Heading 7 Char"/>
    <w:basedOn w:val="DefaultParagraphFont"/>
    <w:link w:val="Heading7"/>
    <w:uiPriority w:val="9"/>
    <w:semiHidden/>
    <w:rsid w:val="00966D6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66D6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66D6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966D6C"/>
    <w:rPr>
      <w:b/>
      <w:bCs/>
      <w:smallCaps/>
      <w:color w:val="1F497D" w:themeColor="text2"/>
      <w:spacing w:val="10"/>
      <w:sz w:val="18"/>
      <w:szCs w:val="18"/>
    </w:rPr>
  </w:style>
  <w:style w:type="character" w:styleId="Strong">
    <w:name w:val="Strong"/>
    <w:uiPriority w:val="22"/>
    <w:qFormat/>
    <w:rsid w:val="00966D6C"/>
    <w:rPr>
      <w:b/>
      <w:bCs/>
      <w:spacing w:val="0"/>
    </w:rPr>
  </w:style>
  <w:style w:type="character" w:styleId="Emphasis">
    <w:name w:val="Emphasis"/>
    <w:uiPriority w:val="20"/>
    <w:qFormat/>
    <w:rsid w:val="00966D6C"/>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66D6C"/>
    <w:pPr>
      <w:spacing w:after="0" w:line="240" w:lineRule="auto"/>
    </w:pPr>
  </w:style>
  <w:style w:type="paragraph" w:styleId="IntenseQuote">
    <w:name w:val="Intense Quote"/>
    <w:basedOn w:val="Normal"/>
    <w:next w:val="Normal"/>
    <w:link w:val="IntenseQuoteChar"/>
    <w:uiPriority w:val="30"/>
    <w:qFormat/>
    <w:rsid w:val="00966D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66D6C"/>
    <w:rPr>
      <w:rFonts w:asciiTheme="majorHAnsi" w:eastAsiaTheme="majorEastAsia" w:hAnsiTheme="majorHAnsi" w:cstheme="majorBidi"/>
      <w:smallCaps/>
      <w:color w:val="365F91" w:themeColor="accent1" w:themeShade="BF"/>
      <w:sz w:val="24"/>
    </w:rPr>
  </w:style>
  <w:style w:type="character" w:styleId="SubtleEmphasis">
    <w:name w:val="Subtle Emphasis"/>
    <w:uiPriority w:val="19"/>
    <w:qFormat/>
    <w:rsid w:val="00966D6C"/>
    <w:rPr>
      <w:smallCaps/>
      <w:dstrike w:val="0"/>
      <w:color w:val="5A5A5A" w:themeColor="text1" w:themeTint="A5"/>
      <w:vertAlign w:val="baseline"/>
    </w:rPr>
  </w:style>
  <w:style w:type="character" w:styleId="IntenseEmphasis">
    <w:name w:val="Intense Emphasis"/>
    <w:uiPriority w:val="21"/>
    <w:qFormat/>
    <w:rsid w:val="00966D6C"/>
    <w:rPr>
      <w:b/>
      <w:bCs/>
      <w:smallCaps/>
      <w:color w:val="4F81BD" w:themeColor="accent1"/>
      <w:spacing w:val="40"/>
    </w:rPr>
  </w:style>
  <w:style w:type="character" w:styleId="SubtleReference">
    <w:name w:val="Subtle Reference"/>
    <w:uiPriority w:val="31"/>
    <w:qFormat/>
    <w:rsid w:val="00966D6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66D6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66D6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66D6C"/>
    <w:pPr>
      <w:outlineLvl w:val="9"/>
    </w:pPr>
    <w:rPr>
      <w:lang w:bidi="en-US"/>
    </w:rPr>
  </w:style>
  <w:style w:type="character" w:styleId="Hyperlink">
    <w:name w:val="Hyperlink"/>
    <w:basedOn w:val="DefaultParagraphFont"/>
    <w:uiPriority w:val="99"/>
    <w:unhideWhenUsed/>
    <w:rsid w:val="00122EDE"/>
    <w:rPr>
      <w:color w:val="0000FF" w:themeColor="hyperlink"/>
      <w:u w:val="single"/>
    </w:rPr>
  </w:style>
  <w:style w:type="character" w:customStyle="1" w:styleId="NoSpacingChar">
    <w:name w:val="No Spacing Char"/>
    <w:basedOn w:val="DefaultParagraphFont"/>
    <w:link w:val="NoSpacing"/>
    <w:uiPriority w:val="1"/>
    <w:rsid w:val="00762CDB"/>
    <w:rPr>
      <w:rFonts w:ascii="Chaparral Pro" w:eastAsiaTheme="minorEastAsia" w:hAnsi="Chaparral Pro"/>
      <w:color w:val="000000" w:themeColor="text1"/>
      <w:sz w:val="22"/>
    </w:rPr>
  </w:style>
  <w:style w:type="paragraph" w:styleId="BalloonText">
    <w:name w:val="Balloon Text"/>
    <w:basedOn w:val="Normal"/>
    <w:link w:val="BalloonTextChar"/>
    <w:uiPriority w:val="99"/>
    <w:semiHidden/>
    <w:unhideWhenUsed/>
    <w:rsid w:val="0076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DB"/>
    <w:rPr>
      <w:rFonts w:ascii="Tahoma" w:eastAsiaTheme="minorEastAsi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8455-1BDA-4CFA-B543-A733915E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Weaver</dc:creator>
  <cp:lastModifiedBy>Max Weaver</cp:lastModifiedBy>
  <cp:revision>18</cp:revision>
  <cp:lastPrinted>2015-08-25T14:44:00Z</cp:lastPrinted>
  <dcterms:created xsi:type="dcterms:W3CDTF">2015-08-20T07:44:00Z</dcterms:created>
  <dcterms:modified xsi:type="dcterms:W3CDTF">2015-08-25T16:30:00Z</dcterms:modified>
</cp:coreProperties>
</file>