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9E" w:rsidRPr="00294159" w:rsidRDefault="00D92DB5" w:rsidP="00783BD8">
      <w:pPr>
        <w:pStyle w:val="PaperTitle"/>
        <w:rPr>
          <w:lang w:val="en-GB"/>
        </w:rPr>
      </w:pPr>
      <w:r>
        <w:rPr>
          <w:lang w:val="en-GB"/>
        </w:rPr>
        <w:t>optimising bidiesel production from high acid value waste cooking oil using supercritical methanol</w:t>
      </w:r>
    </w:p>
    <w:p w:rsidR="009D7D9E" w:rsidRPr="00294159" w:rsidRDefault="00D92DB5">
      <w:pPr>
        <w:pStyle w:val="Author"/>
      </w:pPr>
      <w:r>
        <w:t xml:space="preserve">Omar </w:t>
      </w:r>
      <w:proofErr w:type="spellStart"/>
      <w:r>
        <w:t>Aboelazayem</w:t>
      </w:r>
      <w:proofErr w:type="spellEnd"/>
      <w:r w:rsidR="00097625">
        <w:t xml:space="preserve">, </w:t>
      </w:r>
      <w:proofErr w:type="spellStart"/>
      <w:r>
        <w:t>Mamdouh</w:t>
      </w:r>
      <w:proofErr w:type="spellEnd"/>
      <w:r>
        <w:t xml:space="preserve"> </w:t>
      </w:r>
      <w:proofErr w:type="spellStart"/>
      <w:r>
        <w:t>Gadalla</w:t>
      </w:r>
      <w:proofErr w:type="spellEnd"/>
      <w:r w:rsidR="009D7D9E" w:rsidRPr="00294159">
        <w:t xml:space="preserve"> and </w:t>
      </w:r>
      <w:proofErr w:type="spellStart"/>
      <w:r>
        <w:t>Basu</w:t>
      </w:r>
      <w:r w:rsidR="00A71452">
        <w:t>deb</w:t>
      </w:r>
      <w:proofErr w:type="spellEnd"/>
      <w:r>
        <w:t xml:space="preserve"> </w:t>
      </w:r>
      <w:proofErr w:type="spellStart"/>
      <w:r>
        <w:t>Saha</w:t>
      </w:r>
      <w:proofErr w:type="spellEnd"/>
    </w:p>
    <w:p w:rsidR="00097625" w:rsidRDefault="00097625" w:rsidP="001E7B96">
      <w:pPr>
        <w:pStyle w:val="BodyText"/>
        <w:rPr>
          <w:sz w:val="20"/>
        </w:rPr>
      </w:pPr>
    </w:p>
    <w:p w:rsidR="001E7B96" w:rsidRDefault="00097625" w:rsidP="001E7B96">
      <w:pPr>
        <w:pStyle w:val="BodyText"/>
        <w:rPr>
          <w:sz w:val="20"/>
        </w:rPr>
      </w:pPr>
      <w:r w:rsidRPr="00097625">
        <w:rPr>
          <w:sz w:val="20"/>
        </w:rPr>
        <w:t>CORR</w:t>
      </w:r>
      <w:r w:rsidR="00D92DB5">
        <w:rPr>
          <w:sz w:val="20"/>
        </w:rPr>
        <w:t xml:space="preserve">ESPONDENCE ADDRESSES: Omar </w:t>
      </w:r>
      <w:proofErr w:type="spellStart"/>
      <w:r w:rsidR="00D92DB5">
        <w:rPr>
          <w:sz w:val="20"/>
        </w:rPr>
        <w:t>Aboelazayem</w:t>
      </w:r>
      <w:proofErr w:type="spellEnd"/>
      <w:r w:rsidRPr="00097625">
        <w:rPr>
          <w:sz w:val="20"/>
        </w:rPr>
        <w:t xml:space="preserve">, </w:t>
      </w:r>
      <w:bookmarkStart w:id="0" w:name="OLE_LINK30"/>
      <w:bookmarkStart w:id="1" w:name="OLE_LINK31"/>
      <w:bookmarkStart w:id="2" w:name="OLE_LINK32"/>
      <w:proofErr w:type="spellStart"/>
      <w:r w:rsidR="00D92DB5">
        <w:rPr>
          <w:sz w:val="20"/>
        </w:rPr>
        <w:t>Ph.D</w:t>
      </w:r>
      <w:proofErr w:type="spellEnd"/>
      <w:r w:rsidR="00D92DB5">
        <w:rPr>
          <w:sz w:val="20"/>
        </w:rPr>
        <w:t xml:space="preserve"> Student</w:t>
      </w:r>
      <w:r w:rsidR="00901701">
        <w:rPr>
          <w:sz w:val="20"/>
        </w:rPr>
        <w:t xml:space="preserve">, </w:t>
      </w:r>
      <w:r w:rsidR="00D92DB5">
        <w:rPr>
          <w:sz w:val="20"/>
        </w:rPr>
        <w:t>London South Bank University</w:t>
      </w:r>
      <w:r w:rsidRPr="00097625">
        <w:rPr>
          <w:sz w:val="20"/>
        </w:rPr>
        <w:t xml:space="preserve">, </w:t>
      </w:r>
      <w:r w:rsidR="00D92DB5">
        <w:rPr>
          <w:sz w:val="20"/>
        </w:rPr>
        <w:t>School</w:t>
      </w:r>
      <w:r w:rsidRPr="00097625">
        <w:rPr>
          <w:sz w:val="20"/>
        </w:rPr>
        <w:t xml:space="preserve"> of  Engineering, </w:t>
      </w:r>
      <w:r w:rsidR="00D92DB5">
        <w:rPr>
          <w:sz w:val="20"/>
        </w:rPr>
        <w:t>103 Borough Road SE1 0AA, London, United Kingdom</w:t>
      </w:r>
      <w:r w:rsidRPr="00097625">
        <w:rPr>
          <w:sz w:val="20"/>
        </w:rPr>
        <w:t xml:space="preserve">, e-mail: </w:t>
      </w:r>
      <w:bookmarkEnd w:id="0"/>
      <w:bookmarkEnd w:id="1"/>
      <w:bookmarkEnd w:id="2"/>
      <w:r w:rsidR="00D92DB5">
        <w:rPr>
          <w:sz w:val="20"/>
        </w:rPr>
        <w:t>aboelazo@lsbu.ac.uk</w:t>
      </w:r>
      <w:r>
        <w:rPr>
          <w:sz w:val="20"/>
        </w:rPr>
        <w:t xml:space="preserve">, </w:t>
      </w:r>
      <w:bookmarkStart w:id="3" w:name="OLE_LINK36"/>
      <w:bookmarkStart w:id="4" w:name="OLE_LINK37"/>
      <w:proofErr w:type="spellStart"/>
      <w:r w:rsidR="00D92DB5">
        <w:rPr>
          <w:sz w:val="20"/>
        </w:rPr>
        <w:t>Mamdouh</w:t>
      </w:r>
      <w:proofErr w:type="spellEnd"/>
      <w:r w:rsidR="00D92DB5">
        <w:rPr>
          <w:sz w:val="20"/>
        </w:rPr>
        <w:t xml:space="preserve"> </w:t>
      </w:r>
      <w:proofErr w:type="spellStart"/>
      <w:r w:rsidR="00D92DB5">
        <w:rPr>
          <w:sz w:val="20"/>
        </w:rPr>
        <w:t>Gadalla</w:t>
      </w:r>
      <w:proofErr w:type="spellEnd"/>
      <w:r>
        <w:rPr>
          <w:sz w:val="20"/>
        </w:rPr>
        <w:t xml:space="preserve">, </w:t>
      </w:r>
      <w:r w:rsidRPr="00097625">
        <w:rPr>
          <w:sz w:val="20"/>
        </w:rPr>
        <w:t>Ph.D.,</w:t>
      </w:r>
      <w:r>
        <w:rPr>
          <w:sz w:val="20"/>
        </w:rPr>
        <w:t xml:space="preserve"> </w:t>
      </w:r>
      <w:r w:rsidR="00D92DB5">
        <w:rPr>
          <w:sz w:val="20"/>
        </w:rPr>
        <w:t>Associate</w:t>
      </w:r>
      <w:r>
        <w:rPr>
          <w:sz w:val="20"/>
        </w:rPr>
        <w:t xml:space="preserve"> Professor</w:t>
      </w:r>
      <w:r w:rsidR="00901701">
        <w:rPr>
          <w:sz w:val="20"/>
        </w:rPr>
        <w:t xml:space="preserve">, </w:t>
      </w:r>
      <w:r w:rsidR="00D92DB5">
        <w:rPr>
          <w:sz w:val="20"/>
        </w:rPr>
        <w:t>The British University in Egypt</w:t>
      </w:r>
      <w:r w:rsidRPr="00097625">
        <w:rPr>
          <w:sz w:val="20"/>
        </w:rPr>
        <w:t xml:space="preserve">, </w:t>
      </w:r>
      <w:r w:rsidR="00D92DB5">
        <w:rPr>
          <w:sz w:val="20"/>
        </w:rPr>
        <w:t>Department of</w:t>
      </w:r>
      <w:r w:rsidRPr="00097625">
        <w:rPr>
          <w:sz w:val="20"/>
        </w:rPr>
        <w:t xml:space="preserve"> Chemical Engineering, </w:t>
      </w:r>
      <w:proofErr w:type="spellStart"/>
      <w:r w:rsidR="00D92DB5">
        <w:rPr>
          <w:sz w:val="20"/>
        </w:rPr>
        <w:t>Misr</w:t>
      </w:r>
      <w:proofErr w:type="spellEnd"/>
      <w:r w:rsidR="00D92DB5">
        <w:rPr>
          <w:sz w:val="20"/>
        </w:rPr>
        <w:t>-Ismailia Road</w:t>
      </w:r>
      <w:r w:rsidRPr="00097625">
        <w:rPr>
          <w:sz w:val="20"/>
        </w:rPr>
        <w:t>,</w:t>
      </w:r>
      <w:r w:rsidR="00D92DB5">
        <w:rPr>
          <w:sz w:val="20"/>
        </w:rPr>
        <w:t xml:space="preserve"> El-</w:t>
      </w:r>
      <w:proofErr w:type="spellStart"/>
      <w:r w:rsidR="00D92DB5">
        <w:rPr>
          <w:sz w:val="20"/>
        </w:rPr>
        <w:t>Sherouk</w:t>
      </w:r>
      <w:proofErr w:type="spellEnd"/>
      <w:r w:rsidR="00D92DB5">
        <w:rPr>
          <w:sz w:val="20"/>
        </w:rPr>
        <w:t xml:space="preserve"> City 11837, Cairo, Egypt</w:t>
      </w:r>
      <w:r w:rsidRPr="00097625">
        <w:rPr>
          <w:sz w:val="20"/>
        </w:rPr>
        <w:t xml:space="preserve">, e-mail: </w:t>
      </w:r>
      <w:r w:rsidR="00D92DB5">
        <w:rPr>
          <w:sz w:val="20"/>
        </w:rPr>
        <w:t>mamdouh.gadalla@bue.edu.eg</w:t>
      </w:r>
      <w:r>
        <w:rPr>
          <w:sz w:val="20"/>
        </w:rPr>
        <w:t>,</w:t>
      </w:r>
      <w:bookmarkEnd w:id="3"/>
      <w:bookmarkEnd w:id="4"/>
      <w:r>
        <w:rPr>
          <w:sz w:val="20"/>
        </w:rPr>
        <w:t xml:space="preserve"> </w:t>
      </w:r>
      <w:proofErr w:type="spellStart"/>
      <w:r w:rsidR="00D92DB5">
        <w:rPr>
          <w:sz w:val="20"/>
        </w:rPr>
        <w:t>Basu</w:t>
      </w:r>
      <w:r w:rsidR="00A71452">
        <w:rPr>
          <w:sz w:val="20"/>
        </w:rPr>
        <w:t>deb</w:t>
      </w:r>
      <w:proofErr w:type="spellEnd"/>
      <w:r w:rsidR="00D92DB5">
        <w:rPr>
          <w:sz w:val="20"/>
        </w:rPr>
        <w:t xml:space="preserve"> </w:t>
      </w:r>
      <w:proofErr w:type="spellStart"/>
      <w:r w:rsidR="00D92DB5">
        <w:rPr>
          <w:sz w:val="20"/>
        </w:rPr>
        <w:t>Saha</w:t>
      </w:r>
      <w:proofErr w:type="spellEnd"/>
      <w:r w:rsidRPr="00097625">
        <w:rPr>
          <w:sz w:val="20"/>
        </w:rPr>
        <w:t>, Ph.D.,</w:t>
      </w:r>
      <w:r w:rsidR="00D92DB5">
        <w:rPr>
          <w:sz w:val="20"/>
        </w:rPr>
        <w:t xml:space="preserve"> </w:t>
      </w:r>
      <w:r w:rsidRPr="00097625">
        <w:rPr>
          <w:sz w:val="20"/>
        </w:rPr>
        <w:t>P</w:t>
      </w:r>
      <w:r w:rsidR="00901701">
        <w:rPr>
          <w:sz w:val="20"/>
        </w:rPr>
        <w:t xml:space="preserve">rofessor, </w:t>
      </w:r>
      <w:r w:rsidR="00D92DB5">
        <w:rPr>
          <w:sz w:val="20"/>
        </w:rPr>
        <w:t>London South Bank University</w:t>
      </w:r>
      <w:r w:rsidR="00D92DB5" w:rsidRPr="00097625">
        <w:rPr>
          <w:sz w:val="20"/>
        </w:rPr>
        <w:t xml:space="preserve">, </w:t>
      </w:r>
      <w:r w:rsidR="00D92DB5">
        <w:rPr>
          <w:sz w:val="20"/>
        </w:rPr>
        <w:t>School</w:t>
      </w:r>
      <w:r w:rsidR="00D92DB5" w:rsidRPr="00097625">
        <w:rPr>
          <w:sz w:val="20"/>
        </w:rPr>
        <w:t xml:space="preserve"> of  Engineering, </w:t>
      </w:r>
      <w:r w:rsidR="00D92DB5">
        <w:rPr>
          <w:sz w:val="20"/>
        </w:rPr>
        <w:t>103 Borough Road SE1 0AA, London, United Kingdom, e-mail: b.saha@lsbu.ac.uk.</w:t>
      </w:r>
    </w:p>
    <w:p w:rsidR="00097625" w:rsidRPr="00097625" w:rsidRDefault="00097625" w:rsidP="001E7B96">
      <w:pPr>
        <w:pStyle w:val="BodyText"/>
        <w:rPr>
          <w:sz w:val="20"/>
        </w:rPr>
      </w:pPr>
      <w:bookmarkStart w:id="5" w:name="_GoBack"/>
      <w:bookmarkEnd w:id="5"/>
    </w:p>
    <w:p w:rsidR="00A71452" w:rsidRDefault="009D7D9E" w:rsidP="000D6B86">
      <w:pPr>
        <w:pStyle w:val="BodyText"/>
      </w:pPr>
      <w:r w:rsidRPr="00294159">
        <w:t>Abstract</w:t>
      </w:r>
    </w:p>
    <w:p w:rsidR="009D656A" w:rsidRPr="009D656A" w:rsidRDefault="009D656A" w:rsidP="009D656A">
      <w:pPr>
        <w:autoSpaceDE w:val="0"/>
        <w:autoSpaceDN w:val="0"/>
        <w:adjustRightInd w:val="0"/>
        <w:jc w:val="both"/>
      </w:pPr>
      <w:r w:rsidRPr="009D656A">
        <w:t xml:space="preserve">In this study, biodiesel production from a typical Egyptian waste cooking oil (WCO) with high acid value content (18 mg KOH/g oil) has been analysed by studying the main factors affecting biodiesel and glycerol yields. Response Surface Methodology (RSM) </w:t>
      </w:r>
      <w:r w:rsidRPr="0068228F">
        <w:rPr>
          <w:i/>
          <w:iCs/>
        </w:rPr>
        <w:t>via</w:t>
      </w:r>
      <w:r w:rsidRPr="009D656A">
        <w:t xml:space="preserve"> Central Composite Design (CCD) has been used to analyse the effect of four independent variables, i.e. methanol to oil (M:O) molar ratio, temperature, pressure and time on the reaction responses. A quadratic model for each response has been concluded representing the interrelationships between reaction variables and reaction responses. In addition, the predicted </w:t>
      </w:r>
      <w:r w:rsidR="0068228F" w:rsidRPr="009D656A">
        <w:t>models’</w:t>
      </w:r>
      <w:r w:rsidRPr="009D656A">
        <w:t xml:space="preserve"> adequacy has been evaluated through Analysis of Variance (ANOVA) method. Numerical optimisation technique has been applied to conclude the optimum reaction conditions for maximum product</w:t>
      </w:r>
      <w:r w:rsidR="000A3248">
        <w:t>ion of biodiesel resulting in 98% and 2.05</w:t>
      </w:r>
      <w:r w:rsidRPr="009D656A">
        <w:t>% for biodiesel and glycerol yields at M:O molar ratio, temperature, pressu</w:t>
      </w:r>
      <w:r w:rsidR="000A3248">
        <w:t>re and time of 25:1, 265</w:t>
      </w:r>
      <w:r w:rsidR="005C1697" w:rsidRPr="005C1697">
        <w:rPr>
          <w:vertAlign w:val="superscript"/>
        </w:rPr>
        <w:t>o</w:t>
      </w:r>
      <w:r w:rsidR="005C1697">
        <w:t>C, 11</w:t>
      </w:r>
      <w:r w:rsidR="000A3248">
        <w:t>0 bar and 20</w:t>
      </w:r>
      <w:r w:rsidRPr="009D656A">
        <w:t xml:space="preserve"> minutes, respectively. Experimental validation has been analysed for the predicted optimum conditions resulting in </w:t>
      </w:r>
      <w:r w:rsidR="000A3248">
        <w:t>98.82% biodiesel yield with 0.83</w:t>
      </w:r>
      <w:r w:rsidRPr="009D656A">
        <w:t>% relative error.</w:t>
      </w:r>
    </w:p>
    <w:p w:rsidR="009D7D9E" w:rsidRPr="00294159" w:rsidRDefault="009D7D9E">
      <w:pPr>
        <w:pStyle w:val="Keyword"/>
      </w:pPr>
      <w:r w:rsidRPr="00294159">
        <w:rPr>
          <w:i/>
          <w:iCs w:val="0"/>
        </w:rPr>
        <w:t>Keywords</w:t>
      </w:r>
      <w:r w:rsidRPr="00294159">
        <w:t xml:space="preserve">: </w:t>
      </w:r>
      <w:r w:rsidR="009D656A">
        <w:t>Biodiesel</w:t>
      </w:r>
      <w:r w:rsidRPr="00294159">
        <w:t xml:space="preserve">, </w:t>
      </w:r>
      <w:r w:rsidR="009D656A">
        <w:t>Waste cooking oil</w:t>
      </w:r>
      <w:r w:rsidRPr="00294159">
        <w:t xml:space="preserve">, </w:t>
      </w:r>
      <w:r w:rsidR="009D656A">
        <w:t>Supercritical transesterification</w:t>
      </w:r>
      <w:r w:rsidRPr="00294159">
        <w:t xml:space="preserve">, </w:t>
      </w:r>
      <w:r w:rsidR="0068228F">
        <w:t>Optimisation</w:t>
      </w:r>
      <w:r w:rsidR="00A84A98" w:rsidRPr="00294159">
        <w:t xml:space="preserve">, </w:t>
      </w:r>
      <w:r w:rsidR="0068228F">
        <w:t>Response surface methodology</w:t>
      </w:r>
      <w:r w:rsidR="00833C6C">
        <w:t>.</w:t>
      </w:r>
    </w:p>
    <w:p w:rsidR="00253443" w:rsidRPr="00294159" w:rsidRDefault="00253443" w:rsidP="00253443">
      <w:pPr>
        <w:pStyle w:val="Heading1"/>
        <w:sectPr w:rsidR="00253443" w:rsidRPr="00294159" w:rsidSect="00524695">
          <w:headerReference w:type="default" r:id="rId8"/>
          <w:pgSz w:w="11906" w:h="16838" w:code="9"/>
          <w:pgMar w:top="851" w:right="851" w:bottom="1134" w:left="1134" w:header="567" w:footer="567" w:gutter="0"/>
          <w:cols w:space="709"/>
          <w:docGrid w:linePitch="360"/>
        </w:sectPr>
      </w:pPr>
    </w:p>
    <w:p w:rsidR="00253443" w:rsidRPr="00294159" w:rsidRDefault="00253443" w:rsidP="00253443">
      <w:pPr>
        <w:pStyle w:val="Heading1"/>
        <w:numPr>
          <w:ilvl w:val="0"/>
          <w:numId w:val="0"/>
        </w:numPr>
        <w:ind w:left="432"/>
      </w:pPr>
    </w:p>
    <w:p w:rsidR="00783BD8" w:rsidRPr="00294159" w:rsidRDefault="00783BD8">
      <w:pPr>
        <w:pStyle w:val="Heading1"/>
        <w:sectPr w:rsidR="00783BD8" w:rsidRPr="00294159" w:rsidSect="00835413">
          <w:type w:val="continuous"/>
          <w:pgSz w:w="11906" w:h="16838" w:code="9"/>
          <w:pgMar w:top="851" w:right="567" w:bottom="1134" w:left="851" w:header="567" w:footer="567" w:gutter="0"/>
          <w:cols w:space="454"/>
          <w:docGrid w:linePitch="360"/>
        </w:sectPr>
      </w:pPr>
    </w:p>
    <w:p w:rsidR="009D7D9E" w:rsidRPr="00294159" w:rsidRDefault="009D7D9E">
      <w:pPr>
        <w:pStyle w:val="Heading1"/>
      </w:pPr>
      <w:r w:rsidRPr="00294159">
        <w:lastRenderedPageBreak/>
        <w:t>introduction</w:t>
      </w:r>
    </w:p>
    <w:p w:rsidR="00CB64C6" w:rsidRDefault="00A71452">
      <w:pPr>
        <w:pStyle w:val="BodyText"/>
      </w:pPr>
      <w:r>
        <w:t xml:space="preserve">The </w:t>
      </w:r>
      <w:r w:rsidR="00833C6C">
        <w:t xml:space="preserve">unstable price and depletion </w:t>
      </w:r>
      <w:r w:rsidR="004E45EB">
        <w:t xml:space="preserve">of world’s crude oil reserves </w:t>
      </w:r>
      <w:r w:rsidR="006850D2">
        <w:t>are</w:t>
      </w:r>
      <w:r w:rsidR="004E45EB">
        <w:t xml:space="preserve"> the main reasons for searching for alternative fuels, specifically for the transportation sector. Biofuels </w:t>
      </w:r>
      <w:r w:rsidR="006850D2">
        <w:t>have been considered as effective replacement for fossil fuels including biodiesel, bioe</w:t>
      </w:r>
      <w:r w:rsidR="0032732D">
        <w:t>thanol, biohydrogen and biogas</w:t>
      </w:r>
      <w:r w:rsidR="006804A6">
        <w:t>. Biodiesel has been</w:t>
      </w:r>
      <w:r w:rsidR="006850D2">
        <w:t xml:space="preserve"> </w:t>
      </w:r>
      <w:r w:rsidR="006804A6">
        <w:t>observed</w:t>
      </w:r>
      <w:r w:rsidR="006850D2">
        <w:t xml:space="preserve"> as an efficient replacement for petroleum based diesel fuel (petro-diesel). It is biodegradable, nontoxic, provide better engine lubricity and produced cleaner combustion compared to petro-diesel with significant reduction in car</w:t>
      </w:r>
      <w:r w:rsidR="006804A6">
        <w:t>b</w:t>
      </w:r>
      <w:r w:rsidR="006850D2">
        <w:t>on monoxide, unburned hydrocarbon</w:t>
      </w:r>
      <w:r w:rsidR="006804A6">
        <w:t xml:space="preserve">s and particulates. Biodiesel could </w:t>
      </w:r>
      <w:r w:rsidR="006850D2">
        <w:t xml:space="preserve"> </w:t>
      </w:r>
      <w:r w:rsidR="00833C6C">
        <w:t xml:space="preserve">also </w:t>
      </w:r>
      <w:r w:rsidR="006804A6">
        <w:t>be blended with petro-</w:t>
      </w:r>
      <w:r w:rsidR="006850D2">
        <w:t>diesel in various proportions for cleaner exhaus</w:t>
      </w:r>
      <w:r w:rsidR="006804A6">
        <w:t>t and to avoid engine modification</w:t>
      </w:r>
      <w:r w:rsidR="006850D2">
        <w:t xml:space="preserve"> requirements</w:t>
      </w:r>
      <w:r w:rsidR="002B2535">
        <w:t xml:space="preserve"> </w:t>
      </w:r>
      <w:r w:rsidR="001253F1">
        <w:fldChar w:fldCharType="begin" w:fldLock="1"/>
      </w:r>
      <w:r w:rsidR="002B2535">
        <w:instrText>ADDIN CSL_CITATION { "citationItems" : [ { "id" : "ITEM-1", "itemData" : { "DOI" : "10.1021/ie3007566", "ISSN" : "08885885", "author" : [ { "dropping-particle" : "", "family" : "Abidin", "given" : "Sumaiya Zainal", "non-dropping-particle" : "", "parse-names" : false, "suffix" : "" }, { "dropping-particle" : "", "family" : "Haigh", "given" : "Kathleen F.", "non-dropping-particle" : "", "parse-names" : false, "suffix" : "" }, { "dropping-particle" : "", "family" : "Saha", "given" : "Basudeb", "non-dropping-particle" : "", "parse-names" : false, "suffix" : "" } ], "container-title" : "Industrial and Engineering Chemistry Research", "id" : "ITEM-1", "issue" : "45", "issued" : { "date-parts" : [ [ "2012" ] ] }, "page" : "14653-14664", "title" : "Esterification of free fatty acids in used cooking oil using ion-exchange resins as catalysts: An efficient pretreatment method for biodiesel feedstock", "type" : "article-journal", "volume" : "51" }, "uris" : [ "http://www.mendeley.com/documents/?uuid=95c477ac-b284-4f7a-9272-1e14c35beb09" ] } ], "mendeley" : { "formattedCitation" : "[1]", "plainTextFormattedCitation" : "[1]", "previouslyFormattedCitation" : "[1]" }, "properties" : { "noteIndex" : 0 }, "schema" : "https://github.com/citation-style-language/schema/raw/master/csl-citation.json" }</w:instrText>
      </w:r>
      <w:r w:rsidR="001253F1">
        <w:fldChar w:fldCharType="separate"/>
      </w:r>
      <w:r w:rsidR="002B2535" w:rsidRPr="002B2535">
        <w:rPr>
          <w:noProof/>
        </w:rPr>
        <w:t>[1]</w:t>
      </w:r>
      <w:r w:rsidR="001253F1">
        <w:fldChar w:fldCharType="end"/>
      </w:r>
      <w:r w:rsidR="002B2535">
        <w:t>.</w:t>
      </w:r>
    </w:p>
    <w:p w:rsidR="00A707B8" w:rsidRDefault="00CB64C6">
      <w:pPr>
        <w:pStyle w:val="BodyText"/>
        <w:rPr>
          <w:color w:val="000000"/>
        </w:rPr>
      </w:pPr>
      <w:r w:rsidRPr="00CB64C6">
        <w:rPr>
          <w:color w:val="000000"/>
        </w:rPr>
        <w:t>Biodiesel is defined as a mono alkyl ester of long chain fatty acid derived from vegetable oil or animal fats.</w:t>
      </w:r>
      <w:r>
        <w:rPr>
          <w:color w:val="000000"/>
        </w:rPr>
        <w:t xml:space="preserve"> It is mostly produced by esterification and/or transesterification of various feedstock with methanol or ethanol</w:t>
      </w:r>
      <w:r w:rsidR="002B2535">
        <w:rPr>
          <w:color w:val="000000"/>
        </w:rPr>
        <w:t xml:space="preserve"> </w:t>
      </w:r>
      <w:r w:rsidR="001253F1">
        <w:rPr>
          <w:color w:val="000000"/>
        </w:rPr>
        <w:fldChar w:fldCharType="begin" w:fldLock="1"/>
      </w:r>
      <w:r w:rsidR="002B2535">
        <w:rPr>
          <w:color w:val="000000"/>
        </w:rPr>
        <w:instrText>ADDIN CSL_CITATION { "citationItems" : [ { "id" : "ITEM-1", "itemData" : { "DOI" : "10.1016/j.fuproc.2004.11.005", "ISSN" : "03783820", "abstract" : "Biodiesel is an alternative diesel fuel that is produced from vegetable oils and animal fats. It consists of the monoalkyl esters formed by a catalyzed reaction of the triglycerides in the oil or fat with a simple monohydric alcohol. The reaction conditions generally involve a trade-off between reaction time and temperature as reaction completeness is the most critical fuel quality parameter. Much of the process complexity originates from contaminants in the feedstock, such as water and free fatty acids, or impurities in the final product, such as methanol, free glycerol, and soap. Processes have been developed to produce biodiesel from high free fatty acid feedstocks, such as recycled restaurant grease, animal fats, and soapstock.", "author" : [ { "dropping-particle" : "Van", "family" : "Gerpen", "given" : "Jon", "non-dropping-particle" : "", "parse-names" : false, "suffix" : "" } ], "container-title" : "Fuel Processing Technology", "id" : "ITEM-1", "issue" : "10", "issued" : { "date-parts" : [ [ "2005" ] ] }, "page" : "1097-1107", "title" : "Biodiesel processing and production", "type" : "article-journal", "volume" : "86" }, "uris" : [ "http://www.mendeley.com/documents/?uuid=74cfd63f-a105-34d9-8599-15d2fd7e0a6f" ] } ], "mendeley" : { "formattedCitation" : "[2]", "plainTextFormattedCitation" : "[2]", "previouslyFormattedCitation" : "[2]" }, "properties" : { "noteIndex" : 0 }, "schema" : "https://github.com/citation-style-language/schema/raw/master/csl-citation.json" }</w:instrText>
      </w:r>
      <w:r w:rsidR="001253F1">
        <w:rPr>
          <w:color w:val="000000"/>
        </w:rPr>
        <w:fldChar w:fldCharType="separate"/>
      </w:r>
      <w:r w:rsidR="002B2535" w:rsidRPr="002B2535">
        <w:rPr>
          <w:noProof/>
          <w:color w:val="000000"/>
        </w:rPr>
        <w:t>[2]</w:t>
      </w:r>
      <w:r w:rsidR="001253F1">
        <w:rPr>
          <w:color w:val="000000"/>
        </w:rPr>
        <w:fldChar w:fldCharType="end"/>
      </w:r>
      <w:r>
        <w:rPr>
          <w:color w:val="000000"/>
        </w:rPr>
        <w:t>. Biodiesel production form first</w:t>
      </w:r>
      <w:r w:rsidR="00A707B8">
        <w:rPr>
          <w:color w:val="000000"/>
        </w:rPr>
        <w:t>-</w:t>
      </w:r>
      <w:r>
        <w:rPr>
          <w:color w:val="000000"/>
        </w:rPr>
        <w:t xml:space="preserve">generation </w:t>
      </w:r>
      <w:r>
        <w:rPr>
          <w:color w:val="000000"/>
        </w:rPr>
        <w:lastRenderedPageBreak/>
        <w:t>feedstock including fresh edible oils (palm oil, sunflower oil, corn oil and soybean oil) and animal fats (beef tallow, lamb and chicken fats) has been considered as an intense competition w</w:t>
      </w:r>
      <w:r w:rsidR="006804A6">
        <w:rPr>
          <w:color w:val="000000"/>
        </w:rPr>
        <w:t>ith food industry resulting in the increase</w:t>
      </w:r>
      <w:r>
        <w:rPr>
          <w:color w:val="000000"/>
        </w:rPr>
        <w:t xml:space="preserve"> </w:t>
      </w:r>
      <w:r w:rsidR="006804A6">
        <w:rPr>
          <w:color w:val="000000"/>
        </w:rPr>
        <w:t>of prices for</w:t>
      </w:r>
      <w:r>
        <w:rPr>
          <w:color w:val="000000"/>
        </w:rPr>
        <w:t xml:space="preserve"> these edible oils and fats due to the high demand from both food and biodiesel industries. Accordingly, researches ha</w:t>
      </w:r>
      <w:r w:rsidR="00833C6C">
        <w:rPr>
          <w:color w:val="000000"/>
        </w:rPr>
        <w:t>ve</w:t>
      </w:r>
      <w:r>
        <w:rPr>
          <w:color w:val="000000"/>
        </w:rPr>
        <w:t xml:space="preserve"> been directed towards </w:t>
      </w:r>
      <w:r w:rsidR="00A707B8">
        <w:rPr>
          <w:color w:val="000000"/>
        </w:rPr>
        <w:t>utilisation of second-</w:t>
      </w:r>
      <w:r>
        <w:rPr>
          <w:color w:val="000000"/>
        </w:rPr>
        <w:t>generation feedstock</w:t>
      </w:r>
      <w:r w:rsidR="00A707B8">
        <w:rPr>
          <w:color w:val="000000"/>
        </w:rPr>
        <w:t>s</w:t>
      </w:r>
      <w:r>
        <w:rPr>
          <w:color w:val="000000"/>
        </w:rPr>
        <w:t xml:space="preserve"> including nonedible oils and waste cooking </w:t>
      </w:r>
      <w:r w:rsidR="00A707B8">
        <w:rPr>
          <w:color w:val="000000"/>
        </w:rPr>
        <w:t>oils (WCO). Their advantages over the first-generation feedstocks that they are lower in cost and most importantly they do not affect food security</w:t>
      </w:r>
      <w:r w:rsidR="002B2535">
        <w:rPr>
          <w:color w:val="000000"/>
        </w:rPr>
        <w:t xml:space="preserve"> </w:t>
      </w:r>
      <w:r w:rsidR="001253F1">
        <w:rPr>
          <w:color w:val="000000"/>
        </w:rPr>
        <w:fldChar w:fldCharType="begin" w:fldLock="1"/>
      </w:r>
      <w:r w:rsidR="00B84876">
        <w:rPr>
          <w:color w:val="000000"/>
        </w:rPr>
        <w:instrText>ADDIN CSL_CITATION { "citationItems" : [ { "id" : "ITEM-1", "itemData" : { "DOI" : "10.1016/j.supflu.2012.12.018", "ISSN" : "08968446", "abstract" : "Catalyst-free transesterification of leather tanning waste with high free fatty acid (FFA) content at supercritical condition was reported in this work. The experiments were performed in batch system at various temperatures (250\u2013325\u00b0C) under constant pressure of 12MPa and methanol/fatty oil molar ratio of 40:1 for reaction time of 2\u201310min. Kinetic modeling of formation of fatty acid methyl esters (FAMEs) that incorporate reversible esterification and non-reversible transesterification simultaneously was verified. The proposed semi-empirical model was fitted against kinetic experimental data over temperature range studied. The kinetic parameters (i.e. k\u2032TE, k\u2032E, and kE\u2032) were determined by nonlinear regression fitting. Thermodynamic activation parameters of the reactions were evaluated based on activation complex theory (ACT) and the following results are obtained: \u0394G\u2021&gt;0, \u0394H\u2021&gt;0, and \u0394S\u2021&lt;0. The activation energy (Ea) of transesterification, forward and reverse esterification reactions was 36.01kJ/mol, 28.38kJ/mol, and 5.66kJ/mol, respectively.", "author" : [ { "dropping-particle" : "", "family" : "Ong", "given" : "L.K.", "non-dropping-particle" : "", "parse-names" : false, "suffix" : "" }, { "dropping-particle" : "", "family" : "Kurniawan", "given" : "A.", "non-dropping-particle" : "", "parse-names" : false, "suffix" : "" }, { "dropping-particle" : "", "family" : "Suwandi", "given" : "A.C.", "non-dropping-particle" : "", "parse-names" : false, "suffix" : "" }, { "dropping-particle" : "", "family" : "Lin", "given" : "C.X.", "non-dropping-particle" : "", "parse-names" : false, "suffix" : "" }, { "dropping-particle" : "", "family" : "Zhao", "given" : "X.S.", "non-dropping-particle" : "", "parse-names" : false, "suffix" : "" }, { "dropping-particle" : "", "family" : "Ismadji", "given" : "S.", "non-dropping-particle" : "", "parse-names" : false, "suffix" : "" } ], "container-title" : "The Journal of Supercritical Fluids", "id" : "ITEM-1", "issued" : { "date-parts" : [ [ "2013" ] ] }, "page" : "11-20", "title" : "Transesterification of leather tanning waste to biodiesel at supercritical condition: Kinetics and thermodynamics studies", "type" : "article-journal", "volume" : "75" }, "uris" : [ "http://www.mendeley.com/documents/?uuid=69ee62d7-dd0b-3e29-9945-ef1f453d9637" ] } ], "mendeley" : { "formattedCitation" : "[3]", "plainTextFormattedCitation" : "[3]", "previouslyFormattedCitation" : "[3]" }, "properties" : { "noteIndex" : 0 }, "schema" : "https://github.com/citation-style-language/schema/raw/master/csl-citation.json" }</w:instrText>
      </w:r>
      <w:r w:rsidR="001253F1">
        <w:rPr>
          <w:color w:val="000000"/>
        </w:rPr>
        <w:fldChar w:fldCharType="separate"/>
      </w:r>
      <w:r w:rsidR="002B2535" w:rsidRPr="002B2535">
        <w:rPr>
          <w:noProof/>
          <w:color w:val="000000"/>
        </w:rPr>
        <w:t>[3]</w:t>
      </w:r>
      <w:r w:rsidR="001253F1">
        <w:rPr>
          <w:color w:val="000000"/>
        </w:rPr>
        <w:fldChar w:fldCharType="end"/>
      </w:r>
      <w:r w:rsidR="00A707B8">
        <w:rPr>
          <w:color w:val="000000"/>
        </w:rPr>
        <w:t xml:space="preserve">. WCO has been considered as an ideal feedstock for biodiesel production since it adds to the benefits of second-generation feedstocks advantages that it contributes in waste reduction and utilisation. Moreover, it reduces the cost of waste water treatment plants since most of the residences </w:t>
      </w:r>
      <w:r w:rsidR="006804A6">
        <w:rPr>
          <w:color w:val="000000"/>
        </w:rPr>
        <w:t>get rid of their waste oils through</w:t>
      </w:r>
      <w:r w:rsidR="00A707B8">
        <w:rPr>
          <w:color w:val="000000"/>
        </w:rPr>
        <w:t xml:space="preserve"> the sewage causing severe problems for the treatment plants</w:t>
      </w:r>
      <w:r w:rsidR="00B84876">
        <w:rPr>
          <w:color w:val="000000"/>
        </w:rPr>
        <w:t xml:space="preserve"> </w:t>
      </w:r>
      <w:r w:rsidR="001253F1">
        <w:rPr>
          <w:color w:val="000000"/>
        </w:rPr>
        <w:fldChar w:fldCharType="begin" w:fldLock="1"/>
      </w:r>
      <w:r w:rsidR="00B84876">
        <w:rPr>
          <w:color w:val="000000"/>
        </w:rPr>
        <w:instrText>ADDIN CSL_CITATION { "citationItems" : [ { "id" : "ITEM-1", "itemData" : { "DOI" : "10.1016/j.rser.2017.01.034", "ISSN" : "13640321", "abstract" : "Due to the large amount of diesel fuel demands worldwide and the negative environmental and health impacts of its direct combustion, biodiesel production and consumption have been globally increasing as the best short-term substitute for mineral diesel. However, using edible and non-edible oil feedstocks for biodiesel production has led to several controversial issues including feedstock availability and cost, greenhouse gas (GHG) emission, land use changes (LUC), and fuel vs. food/feed competition. Fortunately, these problems can be effectively overcome using non-crop feedstocks. In this context, waste-oriented oils/fats have been proposed as the excellent options to produce biodiesel by overlooking the trivial collection/recycling costs. In this review article, a comprehensive collection plan followed by an elaborated integrated utilization strategy called \u201cwaste oil biodiesel utilization scenario\u201d (WO-BUS) is proposed for Iran in order to achieve cost-effective and eco-friendly production/consumption of biodiesel. WO-BUS is adoptable by the countries with similar situations and infrastructures.", "author" : [ { "dropping-particle" : "", "family" : "Hajjari", "given" : "Masoumeh", "non-dropping-particle" : "", "parse-names" : false, "suffix" : "" }, { "dropping-particle" : "", "family" : "Tabatabaei", "given" : "Meisam", "non-dropping-particle" : "", "parse-names" : false, "suffix" : "" }, { "dropping-particle" : "", "family" : "Aghbashlo", "given" : "Mortaza", "non-dropping-particle" : "", "parse-names" : false, "suffix" : "" }, { "dropping-particle" : "", "family" : "Ghanavati", "given" : "Hossein", "non-dropping-particle" : "", "parse-names" : false, "suffix" : "" } ], "container-title" : "Renewable and Sustainable Energy Reviews", "id" : "ITEM-1", "issue" : "November 2016", "issued" : { "date-parts" : [ [ "2017" ] ] }, "page" : "445-464", "publisher" : "Elsevier Ltd", "title" : "A review on the prospects of sustainable biodiesel production: A global scenario with an emphasis on waste-oil biodiesel utilization", "type" : "article-journal", "volume" : "72" }, "uris" : [ "http://www.mendeley.com/documents/?uuid=762435e4-a6a4-4a98-9d91-b9a8095c9611" ] } ], "mendeley" : { "formattedCitation" : "[4]", "plainTextFormattedCitation" : "[4]", "previouslyFormattedCitation" : "[4]" }, "properties" : { "noteIndex" : 0 }, "schema" : "https://github.com/citation-style-language/schema/raw/master/csl-citation.json" }</w:instrText>
      </w:r>
      <w:r w:rsidR="001253F1">
        <w:rPr>
          <w:color w:val="000000"/>
        </w:rPr>
        <w:fldChar w:fldCharType="separate"/>
      </w:r>
      <w:r w:rsidR="00B84876" w:rsidRPr="00B84876">
        <w:rPr>
          <w:noProof/>
          <w:color w:val="000000"/>
        </w:rPr>
        <w:t>[4]</w:t>
      </w:r>
      <w:r w:rsidR="001253F1">
        <w:rPr>
          <w:color w:val="000000"/>
        </w:rPr>
        <w:fldChar w:fldCharType="end"/>
      </w:r>
      <w:r w:rsidR="00A707B8">
        <w:rPr>
          <w:color w:val="000000"/>
        </w:rPr>
        <w:t>.</w:t>
      </w:r>
    </w:p>
    <w:p w:rsidR="00A707B8" w:rsidRDefault="00A707B8">
      <w:pPr>
        <w:pStyle w:val="BodyText"/>
        <w:rPr>
          <w:color w:val="000000"/>
        </w:rPr>
      </w:pPr>
      <w:r>
        <w:rPr>
          <w:color w:val="000000"/>
        </w:rPr>
        <w:t xml:space="preserve">However, </w:t>
      </w:r>
      <w:r w:rsidR="002747C7">
        <w:rPr>
          <w:color w:val="000000"/>
        </w:rPr>
        <w:t xml:space="preserve">WCO has some disadvantages as a feedstock including the high free fatty acids </w:t>
      </w:r>
      <w:r w:rsidR="002747C7">
        <w:rPr>
          <w:color w:val="000000"/>
        </w:rPr>
        <w:lastRenderedPageBreak/>
        <w:t xml:space="preserve">(FFA) and water content results from the cooking process. Accordingly, pre-treatment for the WCO feedstock is essential </w:t>
      </w:r>
      <w:r w:rsidR="001C3411">
        <w:rPr>
          <w:color w:val="000000"/>
        </w:rPr>
        <w:t xml:space="preserve">for alkaline homogenous catalyst processes to avoid saponification reaction </w:t>
      </w:r>
      <w:r w:rsidR="002747C7">
        <w:rPr>
          <w:color w:val="000000"/>
        </w:rPr>
        <w:t>by two steps production including esterification of FFA then transesterification of triglycerides</w:t>
      </w:r>
      <w:r w:rsidR="00B84876">
        <w:rPr>
          <w:color w:val="000000"/>
        </w:rPr>
        <w:t xml:space="preserve"> </w:t>
      </w:r>
      <w:r w:rsidR="001253F1">
        <w:rPr>
          <w:color w:val="000000"/>
        </w:rPr>
        <w:fldChar w:fldCharType="begin" w:fldLock="1"/>
      </w:r>
      <w:r w:rsidR="00B84876">
        <w:rPr>
          <w:color w:val="000000"/>
        </w:rPr>
        <w:instrText>ADDIN CSL_CITATION { "citationItems" : [ { "id" : "ITEM-1", "itemData" : { "DOI" : "10.1016/j.rser.2017.01.034", "ISSN" : "13640321", "abstract" : "Due to the large amount of diesel fuel demands worldwide and the negative environmental and health impacts of its direct combustion, biodiesel production and consumption have been globally increasing as the best short-term substitute for mineral diesel. However, using edible and non-edible oil feedstocks for biodiesel production has led to several controversial issues including feedstock availability and cost, greenhouse gas (GHG) emission, land use changes (LUC), and fuel vs. food/feed competition. Fortunately, these problems can be effectively overcome using non-crop feedstocks. In this context, waste-oriented oils/fats have been proposed as the excellent options to produce biodiesel by overlooking the trivial collection/recycling costs. In this review article, a comprehensive collection plan followed by an elaborated integrated utilization strategy called \u201cwaste oil biodiesel utilization scenario\u201d (WO-BUS) is proposed for Iran in order to achieve cost-effective and eco-friendly production/consumption of biodiesel. WO-BUS is adoptable by the countries with similar situations and infrastructures.", "author" : [ { "dropping-particle" : "", "family" : "Hajjari", "given" : "Masoumeh", "non-dropping-particle" : "", "parse-names" : false, "suffix" : "" }, { "dropping-particle" : "", "family" : "Tabatabaei", "given" : "Meisam", "non-dropping-particle" : "", "parse-names" : false, "suffix" : "" }, { "dropping-particle" : "", "family" : "Aghbashlo", "given" : "Mortaza", "non-dropping-particle" : "", "parse-names" : false, "suffix" : "" }, { "dropping-particle" : "", "family" : "Ghanavati", "given" : "Hossein", "non-dropping-particle" : "", "parse-names" : false, "suffix" : "" } ], "container-title" : "Renewable and Sustainable Energy Reviews", "id" : "ITEM-1", "issue" : "November 2016", "issued" : { "date-parts" : [ [ "2017" ] ] }, "page" : "445-464", "publisher" : "Elsevier Ltd", "title" : "A review on the prospects of sustainable biodiesel production: A global scenario with an emphasis on waste-oil biodiesel utilization", "type" : "article-journal", "volume" : "72" }, "uris" : [ "http://www.mendeley.com/documents/?uuid=762435e4-a6a4-4a98-9d91-b9a8095c9611" ] } ], "mendeley" : { "formattedCitation" : "[4]", "plainTextFormattedCitation" : "[4]", "previouslyFormattedCitation" : "[4]" }, "properties" : { "noteIndex" : 0 }, "schema" : "https://github.com/citation-style-language/schema/raw/master/csl-citation.json" }</w:instrText>
      </w:r>
      <w:r w:rsidR="001253F1">
        <w:rPr>
          <w:color w:val="000000"/>
        </w:rPr>
        <w:fldChar w:fldCharType="separate"/>
      </w:r>
      <w:r w:rsidR="00B84876" w:rsidRPr="00B84876">
        <w:rPr>
          <w:noProof/>
          <w:color w:val="000000"/>
        </w:rPr>
        <w:t>[4]</w:t>
      </w:r>
      <w:r w:rsidR="001253F1">
        <w:rPr>
          <w:color w:val="000000"/>
        </w:rPr>
        <w:fldChar w:fldCharType="end"/>
      </w:r>
      <w:r w:rsidR="002747C7">
        <w:rPr>
          <w:color w:val="000000"/>
        </w:rPr>
        <w:t xml:space="preserve">. Currently most of the biodiesel production processes use homogenous </w:t>
      </w:r>
      <w:r w:rsidR="006804A6">
        <w:rPr>
          <w:color w:val="000000"/>
        </w:rPr>
        <w:t xml:space="preserve">acidic and/or alkaline </w:t>
      </w:r>
      <w:r w:rsidR="002747C7">
        <w:rPr>
          <w:color w:val="000000"/>
        </w:rPr>
        <w:t>catalysts for biodiesel production fro</w:t>
      </w:r>
      <w:r w:rsidR="006804A6">
        <w:rPr>
          <w:color w:val="000000"/>
        </w:rPr>
        <w:t>m</w:t>
      </w:r>
      <w:r w:rsidR="002747C7">
        <w:rPr>
          <w:color w:val="000000"/>
        </w:rPr>
        <w:t xml:space="preserve"> WCO. These </w:t>
      </w:r>
      <w:r w:rsidR="001C3411">
        <w:rPr>
          <w:color w:val="000000"/>
        </w:rPr>
        <w:t xml:space="preserve">homogenous </w:t>
      </w:r>
      <w:r w:rsidR="002747C7">
        <w:rPr>
          <w:color w:val="000000"/>
        </w:rPr>
        <w:t xml:space="preserve">catalysts have number of drawbacks including equipment corrosion, generation of significant amount of wastewater, existence of side reactions and the high production cost due to </w:t>
      </w:r>
      <w:r w:rsidR="001C3411">
        <w:rPr>
          <w:color w:val="000000"/>
        </w:rPr>
        <w:t>difficulties of catalyst separation and recovery</w:t>
      </w:r>
      <w:r w:rsidR="00B84876">
        <w:rPr>
          <w:color w:val="000000"/>
        </w:rPr>
        <w:t xml:space="preserve"> </w:t>
      </w:r>
      <w:r w:rsidR="001253F1">
        <w:rPr>
          <w:color w:val="000000"/>
        </w:rPr>
        <w:fldChar w:fldCharType="begin" w:fldLock="1"/>
      </w:r>
      <w:r w:rsidR="00B84876">
        <w:rPr>
          <w:color w:val="000000"/>
        </w:rPr>
        <w:instrText>ADDIN CSL_CITATION { "citationItems" : [ { "id" : "ITEM-1", "itemData" : { "DOI" : "10.1021/ie3007566", "ISSN" : "08885885", "author" : [ { "dropping-particle" : "", "family" : "Abidin", "given" : "Sumaiya Zainal", "non-dropping-particle" : "", "parse-names" : false, "suffix" : "" }, { "dropping-particle" : "", "family" : "Haigh", "given" : "Kathleen F.", "non-dropping-particle" : "", "parse-names" : false, "suffix" : "" }, { "dropping-particle" : "", "family" : "Saha", "given" : "Basudeb", "non-dropping-particle" : "", "parse-names" : false, "suffix" : "" } ], "container-title" : "Industrial and Engineering Chemistry Research", "id" : "ITEM-1", "issue" : "45", "issued" : { "date-parts" : [ [ "2012" ] ] }, "page" : "14653-14664", "title" : "Esterification of free fatty acids in used cooking oil using ion-exchange resins as catalysts: An efficient pretreatment method for biodiesel feedstock", "type" : "article-journal", "volume" : "51" }, "uris" : [ "http://www.mendeley.com/documents/?uuid=95c477ac-b284-4f7a-9272-1e14c35beb09" ] } ], "mendeley" : { "formattedCitation" : "[1]", "plainTextFormattedCitation" : "[1]", "previouslyFormattedCitation" : "[1]" }, "properties" : { "noteIndex" : 0 }, "schema" : "https://github.com/citation-style-language/schema/raw/master/csl-citation.json" }</w:instrText>
      </w:r>
      <w:r w:rsidR="001253F1">
        <w:rPr>
          <w:color w:val="000000"/>
        </w:rPr>
        <w:fldChar w:fldCharType="separate"/>
      </w:r>
      <w:r w:rsidR="00B84876" w:rsidRPr="00B84876">
        <w:rPr>
          <w:noProof/>
          <w:color w:val="000000"/>
        </w:rPr>
        <w:t>[1]</w:t>
      </w:r>
      <w:r w:rsidR="001253F1">
        <w:rPr>
          <w:color w:val="000000"/>
        </w:rPr>
        <w:fldChar w:fldCharType="end"/>
      </w:r>
      <w:r w:rsidR="001C3411">
        <w:rPr>
          <w:color w:val="000000"/>
        </w:rPr>
        <w:t xml:space="preserve">. </w:t>
      </w:r>
    </w:p>
    <w:p w:rsidR="001C3411" w:rsidRDefault="001C3411">
      <w:pPr>
        <w:pStyle w:val="BodyText"/>
        <w:rPr>
          <w:color w:val="000000"/>
        </w:rPr>
      </w:pPr>
      <w:r>
        <w:rPr>
          <w:color w:val="000000"/>
        </w:rPr>
        <w:t>The use of heterogenous catalyst has proven simpler production and separation processes for biodiesel production compared to homogenous catalysts since they can be easily separated by settling. However, heterogenous catalysts are very sensitive for waste content which then requires effective water removal pre-treatment for the feedstock</w:t>
      </w:r>
      <w:r w:rsidR="00B84876">
        <w:rPr>
          <w:color w:val="000000"/>
        </w:rPr>
        <w:t xml:space="preserve"> </w:t>
      </w:r>
      <w:r w:rsidR="001253F1">
        <w:rPr>
          <w:color w:val="000000"/>
        </w:rPr>
        <w:fldChar w:fldCharType="begin" w:fldLock="1"/>
      </w:r>
      <w:r w:rsidR="00B84876">
        <w:rPr>
          <w:color w:val="000000"/>
        </w:rPr>
        <w:instrText>ADDIN CSL_CITATION { "citationItems" : [ { "id" : "ITEM-1", "itemData" : { "DOI" : "10.1016/j.biortech.2010.10.080", "ISSN" : "09608524", "abstract" : "The production and use of biodiesel has seen a quantum jump in the recent past due to benefits associated with its ability to mitigate greenhouse gas (GHG). There are large number of commercial plants producing biodiesel by transesterification of vegetable oils and fats based on base catalyzed (caustic) homogeneous transesterification of oils. However, homogeneous process needs steps of glycerol separation, washings, very stringent and extremely low limits of Na, K, glycerides and moisture limits in biodiesel. Heterogeneous catalyzed production of biodiesel has emerged as a preferred route as it is environmentally benign needs no water washing and product separation is much easier. The present report is review of the progress made in development of heterogeneous catalysts suitable for biodiesel production. This review shall help in selection of suitable catalysts and the optimum conditions for biodiesel production.", "author" : [ { "dropping-particle" : "", "family" : "Semwal", "given" : "Surbhi", "non-dropping-particle" : "", "parse-names" : false, "suffix" : "" }, { "dropping-particle" : "", "family" : "Arora", "given" : "Ajay K.", "non-dropping-particle" : "", "parse-names" : false, "suffix" : "" }, { "dropping-particle" : "", "family" : "Badoni", "given" : "Rajendra P.", "non-dropping-particle" : "", "parse-names" : false, "suffix" : "" }, { "dropping-particle" : "", "family" : "Tuli", "given" : "Deepak K.", "non-dropping-particle" : "", "parse-names" : false, "suffix" : "" } ], "container-title" : "Bioresource Technology", "id" : "ITEM-1", "issue" : "3", "issued" : { "date-parts" : [ [ "2011" ] ] }, "page" : "2151-2161", "title" : "Biodiesel production using heterogeneous catalysts", "type" : "article-journal", "volume" : "102" }, "uris" : [ "http://www.mendeley.com/documents/?uuid=c780263b-0b89-3f54-bf5a-16cfb0b7a60b" ] } ], "mendeley" : { "formattedCitation" : "[5]", "plainTextFormattedCitation" : "[5]", "previouslyFormattedCitation" : "[5]" }, "properties" : { "noteIndex" : 0 }, "schema" : "https://github.com/citation-style-language/schema/raw/master/csl-citation.json" }</w:instrText>
      </w:r>
      <w:r w:rsidR="001253F1">
        <w:rPr>
          <w:color w:val="000000"/>
        </w:rPr>
        <w:fldChar w:fldCharType="separate"/>
      </w:r>
      <w:r w:rsidR="00B84876" w:rsidRPr="00B84876">
        <w:rPr>
          <w:noProof/>
          <w:color w:val="000000"/>
        </w:rPr>
        <w:t>[5]</w:t>
      </w:r>
      <w:r w:rsidR="001253F1">
        <w:rPr>
          <w:color w:val="000000"/>
        </w:rPr>
        <w:fldChar w:fldCharType="end"/>
      </w:r>
      <w:r>
        <w:rPr>
          <w:color w:val="000000"/>
        </w:rPr>
        <w:t xml:space="preserve">. </w:t>
      </w:r>
    </w:p>
    <w:p w:rsidR="001C3411" w:rsidRDefault="001C3411">
      <w:pPr>
        <w:pStyle w:val="BodyText"/>
      </w:pPr>
      <w:r>
        <w:t xml:space="preserve">Non-catalytic supercritical methanol production technique is </w:t>
      </w:r>
      <w:r w:rsidR="006804A6">
        <w:t xml:space="preserve">a </w:t>
      </w:r>
      <w:r>
        <w:t>special method for biodiesel production without considering any of the previously mentioned restrictions. This technique has proven efficient production of biodiesel from low quality feedstock with high FFA and water contents. It tolerates esterification and transesterification reactions at the same time resulting in one step production of biodiesel</w:t>
      </w:r>
      <w:r w:rsidR="00B84876">
        <w:t xml:space="preserve"> </w:t>
      </w:r>
      <w:r w:rsidR="001253F1">
        <w:fldChar w:fldCharType="begin" w:fldLock="1"/>
      </w:r>
      <w:r w:rsidR="00B84876">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"[6]", "plainTextFormattedCitation" : "[6]", "previouslyFormattedCitation" : "[6]" }, "properties" : { "noteIndex" : 0 }, "schema" : "https://github.com/citation-style-language/schema/raw/master/csl-citation.json" }</w:instrText>
      </w:r>
      <w:r w:rsidR="001253F1">
        <w:fldChar w:fldCharType="separate"/>
      </w:r>
      <w:r w:rsidR="00B84876" w:rsidRPr="00B84876">
        <w:rPr>
          <w:noProof/>
        </w:rPr>
        <w:t>[6]</w:t>
      </w:r>
      <w:r w:rsidR="001253F1">
        <w:fldChar w:fldCharType="end"/>
      </w:r>
      <w:r>
        <w:t xml:space="preserve">. </w:t>
      </w:r>
    </w:p>
    <w:p w:rsidR="009D7D9E" w:rsidRDefault="00065367" w:rsidP="00065367">
      <w:pPr>
        <w:pStyle w:val="BodyText"/>
        <w:rPr>
          <w:color w:val="000000"/>
        </w:rPr>
      </w:pPr>
      <w:r>
        <w:t xml:space="preserve">The main goal of this research is to investigate the applicability of supercritical methanol technique for biodiesel production from </w:t>
      </w:r>
      <w:r w:rsidR="00833C6C">
        <w:t xml:space="preserve">a </w:t>
      </w:r>
      <w:r>
        <w:t xml:space="preserve">typical Egyptian WCO with high total acid value </w:t>
      </w:r>
      <w:r w:rsidRPr="009D656A">
        <w:t>(18 mg KOH/g oil)</w:t>
      </w:r>
      <w:r w:rsidR="006804A6">
        <w:t>. In addition</w:t>
      </w:r>
      <w:r>
        <w:t xml:space="preserve">, </w:t>
      </w:r>
      <w:r w:rsidR="006804A6">
        <w:t xml:space="preserve">to optimise </w:t>
      </w:r>
      <w:r w:rsidR="00391840">
        <w:t>the reaction</w:t>
      </w:r>
      <w:r>
        <w:t xml:space="preserve"> conditions including M:O</w:t>
      </w:r>
      <w:r w:rsidRPr="009D656A">
        <w:t xml:space="preserve"> molar ratio, temperature, pressure an</w:t>
      </w:r>
      <w:r w:rsidR="006804A6">
        <w:t>d time to maximise</w:t>
      </w:r>
      <w:r>
        <w:t xml:space="preserve"> biodiesel yield.</w:t>
      </w:r>
    </w:p>
    <w:p w:rsidR="00065367" w:rsidRPr="00065367" w:rsidRDefault="00065367" w:rsidP="00065367">
      <w:pPr>
        <w:pStyle w:val="BodyText"/>
        <w:rPr>
          <w:color w:val="000000"/>
        </w:rPr>
      </w:pPr>
    </w:p>
    <w:p w:rsidR="009D7D9E" w:rsidRPr="00294159" w:rsidRDefault="00065367">
      <w:pPr>
        <w:pStyle w:val="Heading1"/>
      </w:pPr>
      <w:r>
        <w:t>materials and methods</w:t>
      </w:r>
    </w:p>
    <w:p w:rsidR="00F42F33" w:rsidRPr="00294159" w:rsidRDefault="006554BA" w:rsidP="00F42F33">
      <w:pPr>
        <w:pStyle w:val="Heading2"/>
      </w:pPr>
      <w:r>
        <w:t xml:space="preserve">Materials used </w:t>
      </w:r>
    </w:p>
    <w:p w:rsidR="009D7D9E" w:rsidRPr="00294159" w:rsidRDefault="006554BA" w:rsidP="002B2535">
      <w:pPr>
        <w:pStyle w:val="BodyText"/>
      </w:pPr>
      <w:r>
        <w:t>WCO collected from Egyptian random local re</w:t>
      </w:r>
      <w:r w:rsidR="008E6804">
        <w:t xml:space="preserve">staurants and industries </w:t>
      </w:r>
      <w:r w:rsidR="00833C6C">
        <w:t>were</w:t>
      </w:r>
      <w:r w:rsidR="008E6804">
        <w:t xml:space="preserve"> ex</w:t>
      </w:r>
      <w:r>
        <w:t xml:space="preserve">ported to the UK. </w:t>
      </w:r>
      <w:r w:rsidRPr="00065367">
        <w:rPr>
          <w:color w:val="000000"/>
        </w:rPr>
        <w:t xml:space="preserve">Methanol 99% (MeOH) was purchased from Fisher Scientific, UK. The standard methyl esters used for preparing calibration curves and the heptadecanoic acid methyl ester used as an internal standard </w:t>
      </w:r>
      <w:r w:rsidR="00932B35">
        <w:rPr>
          <w:color w:val="000000"/>
        </w:rPr>
        <w:t>were</w:t>
      </w:r>
      <w:r w:rsidRPr="00065367">
        <w:rPr>
          <w:color w:val="000000"/>
        </w:rPr>
        <w:t xml:space="preserve"> purchased from Sigma-</w:t>
      </w:r>
      <w:r w:rsidRPr="00065367">
        <w:rPr>
          <w:color w:val="000000"/>
        </w:rPr>
        <w:lastRenderedPageBreak/>
        <w:t>Aldrich, UK. The liquid CO</w:t>
      </w:r>
      <w:r w:rsidRPr="00065367">
        <w:rPr>
          <w:color w:val="000000"/>
          <w:vertAlign w:val="subscript"/>
        </w:rPr>
        <w:t>2</w:t>
      </w:r>
      <w:r w:rsidRPr="00065367">
        <w:rPr>
          <w:color w:val="000000"/>
        </w:rPr>
        <w:t xml:space="preserve"> cylinder (99.9</w:t>
      </w:r>
      <w:r w:rsidR="00932B35">
        <w:rPr>
          <w:color w:val="000000"/>
        </w:rPr>
        <w:t xml:space="preserve">%) equipped with a dip tube was </w:t>
      </w:r>
      <w:r w:rsidRPr="00065367">
        <w:rPr>
          <w:color w:val="000000"/>
        </w:rPr>
        <w:t>purchased from BOC Ltd., UK</w:t>
      </w:r>
      <w:r w:rsidR="009D7D9E" w:rsidRPr="00294159">
        <w:t>.</w:t>
      </w:r>
    </w:p>
    <w:p w:rsidR="009D7D9E" w:rsidRPr="00294159" w:rsidRDefault="006554BA">
      <w:pPr>
        <w:pStyle w:val="Heading2"/>
      </w:pPr>
      <w:r>
        <w:t>Experimental Setup</w:t>
      </w:r>
    </w:p>
    <w:p w:rsidR="006554BA" w:rsidRDefault="00A94FD6" w:rsidP="00B07358">
      <w:pPr>
        <w:pStyle w:val="BodyText"/>
      </w:pPr>
      <w:r>
        <w:t>WCO ha</w:t>
      </w:r>
      <w:r w:rsidR="00932B35">
        <w:t>ve</w:t>
      </w:r>
      <w:r>
        <w:t xml:space="preserve"> been filtered in order to remove</w:t>
      </w:r>
      <w:r w:rsidR="006554BA">
        <w:t xml:space="preserve"> the cooking process residuals. The reaction too</w:t>
      </w:r>
      <w:r>
        <w:t>k</w:t>
      </w:r>
      <w:r w:rsidR="006554BA">
        <w:t xml:space="preserve"> place in a </w:t>
      </w:r>
      <w:r w:rsidR="006554BA" w:rsidRPr="006554BA">
        <w:rPr>
          <w:color w:val="000000"/>
        </w:rPr>
        <w:t>100-mL high pressure reactor made of stainless steel (model 49590, Parr I</w:t>
      </w:r>
      <w:r>
        <w:rPr>
          <w:color w:val="000000"/>
        </w:rPr>
        <w:t xml:space="preserve">nstrument Company, USA) which </w:t>
      </w:r>
      <w:proofErr w:type="spellStart"/>
      <w:r w:rsidR="00932B35">
        <w:rPr>
          <w:color w:val="000000"/>
        </w:rPr>
        <w:t>was</w:t>
      </w:r>
      <w:r>
        <w:rPr>
          <w:color w:val="000000"/>
        </w:rPr>
        <w:t>has</w:t>
      </w:r>
      <w:proofErr w:type="spellEnd"/>
      <w:r>
        <w:rPr>
          <w:color w:val="000000"/>
        </w:rPr>
        <w:t xml:space="preserve"> been</w:t>
      </w:r>
      <w:r w:rsidR="006554BA" w:rsidRPr="006554BA">
        <w:rPr>
          <w:color w:val="000000"/>
        </w:rPr>
        <w:t xml:space="preserve"> fitted with a thermocouple (type J), heating mantle, controller (model 4848) and a mechanical stirrer</w:t>
      </w:r>
      <w:r w:rsidR="006554BA">
        <w:rPr>
          <w:color w:val="000000"/>
        </w:rPr>
        <w:t xml:space="preserve">. Oil </w:t>
      </w:r>
      <w:r w:rsidR="00932B35">
        <w:rPr>
          <w:color w:val="000000"/>
        </w:rPr>
        <w:t>was</w:t>
      </w:r>
      <w:r w:rsidR="006554BA">
        <w:rPr>
          <w:color w:val="000000"/>
        </w:rPr>
        <w:t xml:space="preserve"> heated to 30</w:t>
      </w:r>
      <w:r w:rsidR="006554BA">
        <w:rPr>
          <w:color w:val="000000"/>
          <w:vertAlign w:val="superscript"/>
        </w:rPr>
        <w:t>o</w:t>
      </w:r>
      <w:r w:rsidR="006554BA">
        <w:rPr>
          <w:color w:val="000000"/>
        </w:rPr>
        <w:t>C to convert it to the liquid state</w:t>
      </w:r>
      <w:r>
        <w:rPr>
          <w:color w:val="000000"/>
        </w:rPr>
        <w:t>.</w:t>
      </w:r>
      <w:r w:rsidR="006554BA">
        <w:rPr>
          <w:color w:val="000000"/>
        </w:rPr>
        <w:t xml:space="preserve"> </w:t>
      </w:r>
      <w:r>
        <w:t>T</w:t>
      </w:r>
      <w:r w:rsidR="006554BA">
        <w:t>hen</w:t>
      </w:r>
      <w:r>
        <w:t>, it</w:t>
      </w:r>
      <w:r w:rsidR="006554BA">
        <w:t xml:space="preserve"> </w:t>
      </w:r>
      <w:r w:rsidR="00932B35">
        <w:t>was</w:t>
      </w:r>
      <w:r w:rsidR="006554BA">
        <w:t xml:space="preserve"> weighted and mixed with methanol </w:t>
      </w:r>
      <w:r>
        <w:t>(</w:t>
      </w:r>
      <w:r w:rsidR="006554BA">
        <w:t>based on specific ratio</w:t>
      </w:r>
      <w:r>
        <w:t>)</w:t>
      </w:r>
      <w:r w:rsidR="006554BA">
        <w:t xml:space="preserve"> to the reactor</w:t>
      </w:r>
      <w:r w:rsidR="006554BA" w:rsidRPr="006554BA">
        <w:rPr>
          <w:color w:val="000000"/>
        </w:rPr>
        <w:t xml:space="preserve"> </w:t>
      </w:r>
      <w:r>
        <w:rPr>
          <w:color w:val="000000"/>
        </w:rPr>
        <w:t>and</w:t>
      </w:r>
      <w:r w:rsidR="006554BA" w:rsidRPr="006554BA">
        <w:rPr>
          <w:color w:val="000000"/>
        </w:rPr>
        <w:t xml:space="preserve"> heated with continuously stirring at constant rate of 300 rpm to the target temperature</w:t>
      </w:r>
      <w:r w:rsidR="006554BA">
        <w:rPr>
          <w:color w:val="000000"/>
        </w:rPr>
        <w:t xml:space="preserve">. </w:t>
      </w:r>
      <w:r w:rsidR="006554BA" w:rsidRPr="006554BA">
        <w:rPr>
          <w:color w:val="000000"/>
        </w:rPr>
        <w:t xml:space="preserve">Then, supercritical fluid pump (model SFT-10, </w:t>
      </w:r>
      <w:proofErr w:type="spellStart"/>
      <w:r w:rsidR="006554BA" w:rsidRPr="006554BA">
        <w:rPr>
          <w:color w:val="000000"/>
        </w:rPr>
        <w:t>Analytix</w:t>
      </w:r>
      <w:proofErr w:type="spellEnd"/>
      <w:r w:rsidR="006554BA" w:rsidRPr="006554BA">
        <w:rPr>
          <w:color w:val="000000"/>
        </w:rPr>
        <w:t xml:space="preserve"> Ltd., U.K) </w:t>
      </w:r>
      <w:r w:rsidR="00932B35">
        <w:rPr>
          <w:color w:val="000000"/>
        </w:rPr>
        <w:t>was</w:t>
      </w:r>
      <w:r w:rsidR="006554BA" w:rsidRPr="006554BA">
        <w:rPr>
          <w:color w:val="000000"/>
        </w:rPr>
        <w:t xml:space="preserve"> used to compress CO</w:t>
      </w:r>
      <w:r w:rsidR="006554BA" w:rsidRPr="006554BA">
        <w:rPr>
          <w:color w:val="000000"/>
          <w:vertAlign w:val="subscript"/>
        </w:rPr>
        <w:t>2</w:t>
      </w:r>
      <w:r w:rsidR="006554BA" w:rsidRPr="006554BA">
        <w:rPr>
          <w:color w:val="000000"/>
        </w:rPr>
        <w:t> to the targeted pressure from the cylinder to the reactor.</w:t>
      </w:r>
      <w:r w:rsidR="006554BA">
        <w:rPr>
          <w:color w:val="000000"/>
        </w:rPr>
        <w:t xml:space="preserve"> The reaction time starts when the reactor reaches the required reaction temperature and pressure. After the reaction time, </w:t>
      </w:r>
      <w:r w:rsidR="006554BA" w:rsidRPr="006554BA">
        <w:rPr>
          <w:color w:val="000000"/>
        </w:rPr>
        <w:t xml:space="preserve">the reactor </w:t>
      </w:r>
      <w:r w:rsidR="00932B35">
        <w:rPr>
          <w:color w:val="000000"/>
        </w:rPr>
        <w:t>was</w:t>
      </w:r>
      <w:r w:rsidR="006554BA" w:rsidRPr="006554BA">
        <w:rPr>
          <w:color w:val="000000"/>
        </w:rPr>
        <w:t xml:space="preserve"> quenched using an ice bath to stop the reaction</w:t>
      </w:r>
      <w:r w:rsidR="00932B35">
        <w:rPr>
          <w:color w:val="000000"/>
        </w:rPr>
        <w:t xml:space="preserve"> and then</w:t>
      </w:r>
      <w:r>
        <w:rPr>
          <w:color w:val="000000"/>
        </w:rPr>
        <w:t xml:space="preserve"> t</w:t>
      </w:r>
      <w:r w:rsidR="006554BA">
        <w:rPr>
          <w:color w:val="000000"/>
        </w:rPr>
        <w:t xml:space="preserve">he reactor </w:t>
      </w:r>
      <w:r w:rsidR="00932B35">
        <w:rPr>
          <w:color w:val="000000"/>
        </w:rPr>
        <w:t>was</w:t>
      </w:r>
      <w:r w:rsidR="006554BA">
        <w:rPr>
          <w:color w:val="000000"/>
        </w:rPr>
        <w:t xml:space="preserve"> then depressurised</w:t>
      </w:r>
      <w:r>
        <w:rPr>
          <w:color w:val="000000"/>
        </w:rPr>
        <w:t>. Unreacted methanol has been recovered using simple distillation.</w:t>
      </w:r>
      <w:r w:rsidR="006554BA">
        <w:rPr>
          <w:color w:val="000000"/>
        </w:rPr>
        <w:t xml:space="preserve"> </w:t>
      </w:r>
      <w:r>
        <w:rPr>
          <w:color w:val="000000"/>
        </w:rPr>
        <w:t>T</w:t>
      </w:r>
      <w:r w:rsidR="006554BA">
        <w:rPr>
          <w:color w:val="000000"/>
        </w:rPr>
        <w:t xml:space="preserve">he reaction products </w:t>
      </w:r>
      <w:r w:rsidR="00932B35">
        <w:rPr>
          <w:color w:val="000000"/>
        </w:rPr>
        <w:t>were</w:t>
      </w:r>
      <w:r w:rsidR="006554BA">
        <w:rPr>
          <w:color w:val="000000"/>
        </w:rPr>
        <w:t xml:space="preserve"> separated using </w:t>
      </w:r>
      <w:r w:rsidR="00932B35">
        <w:rPr>
          <w:color w:val="000000"/>
        </w:rPr>
        <w:t xml:space="preserve">a </w:t>
      </w:r>
      <w:r w:rsidR="006554BA">
        <w:rPr>
          <w:color w:val="000000"/>
        </w:rPr>
        <w:t xml:space="preserve">centrifuge </w:t>
      </w:r>
      <w:r w:rsidR="00B07358" w:rsidRPr="00B07358">
        <w:rPr>
          <w:color w:val="000000"/>
        </w:rPr>
        <w:t xml:space="preserve">(1500 rpm, 3 min per cycle) to biodiesel and glycerol. </w:t>
      </w:r>
      <w:r w:rsidR="00B07358">
        <w:rPr>
          <w:color w:val="000000"/>
        </w:rPr>
        <w:t xml:space="preserve">Finally, biodiesel and glycerol weights </w:t>
      </w:r>
      <w:r w:rsidR="00932B35">
        <w:rPr>
          <w:color w:val="000000"/>
        </w:rPr>
        <w:t>were</w:t>
      </w:r>
      <w:r w:rsidR="00B07358">
        <w:rPr>
          <w:color w:val="000000"/>
        </w:rPr>
        <w:t xml:space="preserve"> measured for yields calculations. </w:t>
      </w:r>
      <w:r w:rsidR="00B07358">
        <w:t xml:space="preserve">Yields have been calculated by </w:t>
      </w:r>
      <w:r w:rsidR="00B84876">
        <w:t>Equation</w:t>
      </w:r>
      <w:r w:rsidR="00B07358">
        <w:t xml:space="preserve"> (1)</w:t>
      </w:r>
      <w:r>
        <w:t xml:space="preserve"> </w:t>
      </w:r>
      <w:r w:rsidR="001253F1">
        <w:fldChar w:fldCharType="begin" w:fldLock="1"/>
      </w:r>
      <w:r w:rsidR="00D6178C">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"[6]", "plainTextFormattedCitation" : "[6]", "previouslyFormattedCitation" : "[6]" }, "properties" : { "noteIndex" : 0 }, "schema" : "https://github.com/citation-style-language/schema/raw/master/csl-citation.json" }</w:instrText>
      </w:r>
      <w:r w:rsidR="001253F1">
        <w:fldChar w:fldCharType="separate"/>
      </w:r>
      <w:r w:rsidRPr="00A94FD6">
        <w:rPr>
          <w:noProof/>
        </w:rPr>
        <w:t>[6]</w:t>
      </w:r>
      <w:r w:rsidR="001253F1">
        <w:fldChar w:fldCharType="end"/>
      </w:r>
      <w:r w:rsidR="00B07358">
        <w:t xml:space="preserve">. </w:t>
      </w:r>
    </w:p>
    <w:p w:rsidR="00B07358" w:rsidRDefault="00B07358" w:rsidP="00B07358">
      <w:pPr>
        <w:pStyle w:val="BodyText"/>
      </w:pPr>
    </w:p>
    <w:p w:rsidR="00B07358" w:rsidRPr="00B07358" w:rsidRDefault="00B07358" w:rsidP="00B07358">
      <w:pPr>
        <w:pStyle w:val="TAMainText"/>
        <w:spacing w:line="276" w:lineRule="auto"/>
        <w:ind w:firstLine="0"/>
        <w:rPr>
          <w:rFonts w:ascii="Times New Roman" w:hAnsi="Times New Roman"/>
          <w:color w:val="000000"/>
          <w:szCs w:val="24"/>
          <w:lang w:eastAsia="en-US"/>
        </w:rPr>
      </w:pPr>
      <w:r>
        <w:rPr>
          <w:rFonts w:ascii="Times New Roman" w:hAnsi="Times New Roman"/>
          <w:i/>
          <w:iCs/>
          <w:color w:val="000000"/>
          <w:szCs w:val="24"/>
        </w:rPr>
        <w:t>Yield (%) =</w:t>
      </w:r>
      <w:r w:rsidRPr="00B07358">
        <w:rPr>
          <w:rFonts w:ascii="Times New Roman" w:hAnsi="Times New Roman"/>
          <w:i/>
          <w:iCs/>
          <w:color w:val="000000"/>
          <w:szCs w:val="24"/>
        </w:rPr>
        <w:t xml:space="preserve"> </w:t>
      </w:r>
      <w:r w:rsidR="001253F1" w:rsidRPr="00F3463E">
        <w:rPr>
          <w:rFonts w:ascii="Times New Roman" w:hAnsi="Times New Roman"/>
          <w:i/>
          <w:iCs/>
          <w:color w:val="000000"/>
          <w:szCs w:val="24"/>
        </w:rPr>
        <w:fldChar w:fldCharType="begin"/>
      </w:r>
      <w:r w:rsidRPr="00F3463E">
        <w:rPr>
          <w:rFonts w:ascii="Times New Roman" w:hAnsi="Times New Roman"/>
          <w:i/>
          <w:iCs/>
          <w:color w:val="000000"/>
          <w:szCs w:val="24"/>
        </w:rPr>
        <w:instrText xml:space="preserve"> QUOTE </w:instrText>
      </w:r>
      <w:r w:rsidR="001253F1" w:rsidRPr="001253F1">
        <w:rPr>
          <w:rFonts w:ascii="Times New Roman" w:hAnsi="Times New Roman"/>
          <w:i/>
          <w:iC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characterSpacingControl w:val=&quot;DontCompress&quot;/&gt;&lt;w:webPageEncoding w:val=&quot;windows-1250&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9D7D9E&quot;/&gt;&lt;wsp:rsid wsp:val=&quot;00065367&quot;/&gt;&lt;wsp:rsid wsp:val=&quot;00097625&quot;/&gt;&lt;wsp:rsid wsp:val=&quot;000C2637&quot;/&gt;&lt;wsp:rsid wsp:val=&quot;00126CBB&quot;/&gt;&lt;wsp:rsid wsp:val=&quot;00130C08&quot;/&gt;&lt;wsp:rsid wsp:val=&quot;0014599E&quot;/&gt;&lt;wsp:rsid wsp:val=&quot;001979C6&quot;/&gt;&lt;wsp:rsid wsp:val=&quot;001C3411&quot;/&gt;&lt;wsp:rsid wsp:val=&quot;001D563F&quot;/&gt;&lt;wsp:rsid wsp:val=&quot;001E029D&quot;/&gt;&lt;wsp:rsid wsp:val=&quot;001E5B3F&quot;/&gt;&lt;wsp:rsid wsp:val=&quot;001E6A7F&quot;/&gt;&lt;wsp:rsid wsp:val=&quot;001E7B96&quot;/&gt;&lt;wsp:rsid wsp:val=&quot;0021428A&quot;/&gt;&lt;wsp:rsid wsp:val=&quot;00224499&quot;/&gt;&lt;wsp:rsid wsp:val=&quot;00231ABC&quot;/&gt;&lt;wsp:rsid wsp:val=&quot;00242AE1&quot;/&gt;&lt;wsp:rsid wsp:val=&quot;00252E6A&quot;/&gt;&lt;wsp:rsid wsp:val=&quot;00253443&quot;/&gt;&lt;wsp:rsid wsp:val=&quot;00271B70&quot;/&gt;&lt;wsp:rsid wsp:val=&quot;002747C7&quot;/&gt;&lt;wsp:rsid wsp:val=&quot;00294159&quot;/&gt;&lt;wsp:rsid wsp:val=&quot;002D34BB&quot;/&gt;&lt;wsp:rsid wsp:val=&quot;002D481D&quot;/&gt;&lt;wsp:rsid wsp:val=&quot;003124DC&quot;/&gt;&lt;wsp:rsid wsp:val=&quot;003B64C9&quot;/&gt;&lt;wsp:rsid wsp:val=&quot;003B7F8D&quot;/&gt;&lt;wsp:rsid wsp:val=&quot;003E370A&quot;/&gt;&lt;wsp:rsid wsp:val=&quot;003F6C4B&quot;/&gt;&lt;wsp:rsid wsp:val=&quot;003F71CA&quot;/&gt;&lt;wsp:rsid wsp:val=&quot;00433EF5&quot;/&gt;&lt;wsp:rsid wsp:val=&quot;00465D4E&quot;/&gt;&lt;wsp:rsid wsp:val=&quot;004E45EB&quot;/&gt;&lt;wsp:rsid wsp:val=&quot;00524695&quot;/&gt;&lt;wsp:rsid wsp:val=&quot;005D10CA&quot;/&gt;&lt;wsp:rsid wsp:val=&quot;005E5F36&quot;/&gt;&lt;wsp:rsid wsp:val=&quot;005E6945&quot;/&gt;&lt;wsp:rsid wsp:val=&quot;00627ACC&quot;/&gt;&lt;wsp:rsid wsp:val=&quot;006554BA&quot;/&gt;&lt;wsp:rsid wsp:val=&quot;00676601&quot;/&gt;&lt;wsp:rsid wsp:val=&quot;0068228F&quot;/&gt;&lt;wsp:rsid wsp:val=&quot;006850D2&quot;/&gt;&lt;wsp:rsid wsp:val=&quot;00696658&quot;/&gt;&lt;wsp:rsid wsp:val=&quot;00717617&quot;/&gt;&lt;wsp:rsid wsp:val=&quot;00783BD8&quot;/&gt;&lt;wsp:rsid wsp:val=&quot;007B77CE&quot;/&gt;&lt;wsp:rsid wsp:val=&quot;007D057D&quot;/&gt;&lt;wsp:rsid wsp:val=&quot;00835413&quot;/&gt;&lt;wsp:rsid wsp:val=&quot;00896986&quot;/&gt;&lt;wsp:rsid wsp:val=&quot;00901701&quot;/&gt;&lt;wsp:rsid wsp:val=&quot;00933200&quot;/&gt;&lt;wsp:rsid wsp:val=&quot;00935623&quot;/&gt;&lt;wsp:rsid wsp:val=&quot;00946128&quot;/&gt;&lt;wsp:rsid wsp:val=&quot;009503EF&quot;/&gt;&lt;wsp:rsid wsp:val=&quot;009C6D5D&quot;/&gt;&lt;wsp:rsid wsp:val=&quot;009D656A&quot;/&gt;&lt;wsp:rsid wsp:val=&quot;009D7D9E&quot;/&gt;&lt;wsp:rsid wsp:val=&quot;00A707B8&quot;/&gt;&lt;wsp:rsid wsp:val=&quot;00A71452&quot;/&gt;&lt;wsp:rsid wsp:val=&quot;00A73FF1&quot;/&gt;&lt;wsp:rsid wsp:val=&quot;00A84A98&quot;/&gt;&lt;wsp:rsid wsp:val=&quot;00A95E0A&quot;/&gt;&lt;wsp:rsid wsp:val=&quot;00AA6457&quot;/&gt;&lt;wsp:rsid wsp:val=&quot;00AA6743&quot;/&gt;&lt;wsp:rsid wsp:val=&quot;00AC4398&quot;/&gt;&lt;wsp:rsid wsp:val=&quot;00B07358&quot;/&gt;&lt;wsp:rsid wsp:val=&quot;00B44CE9&quot;/&gt;&lt;wsp:rsid wsp:val=&quot;00B765A9&quot;/&gt;&lt;wsp:rsid wsp:val=&quot;00B86470&quot;/&gt;&lt;wsp:rsid wsp:val=&quot;00C3641C&quot;/&gt;&lt;wsp:rsid wsp:val=&quot;00CB64C6&quot;/&gt;&lt;wsp:rsid wsp:val=&quot;00D27910&quot;/&gt;&lt;wsp:rsid wsp:val=&quot;00D3308F&quot;/&gt;&lt;wsp:rsid wsp:val=&quot;00D43F11&quot;/&gt;&lt;wsp:rsid wsp:val=&quot;00D70D4C&quot;/&gt;&lt;wsp:rsid wsp:val=&quot;00D7275C&quot;/&gt;&lt;wsp:rsid wsp:val=&quot;00D82379&quot;/&gt;&lt;wsp:rsid wsp:val=&quot;00D84BE1&quot;/&gt;&lt;wsp:rsid wsp:val=&quot;00D92DB5&quot;/&gt;&lt;wsp:rsid wsp:val=&quot;00DC1B5F&quot;/&gt;&lt;wsp:rsid wsp:val=&quot;00DD3424&quot;/&gt;&lt;wsp:rsid wsp:val=&quot;00E230F6&quot;/&gt;&lt;wsp:rsid wsp:val=&quot;00E40FC2&quot;/&gt;&lt;wsp:rsid wsp:val=&quot;00E45E39&quot;/&gt;&lt;wsp:rsid wsp:val=&quot;00E50F1F&quot;/&gt;&lt;wsp:rsid wsp:val=&quot;00F42F33&quot;/&gt;&lt;wsp:rsid wsp:val=&quot;00F55573&quot;/&gt;&lt;wsp:rsid wsp:val=&quot;00F66641&quot;/&gt;&lt;wsp:rsid wsp:val=&quot;00FE3F8F&quot;/&gt;&lt;/wsp:rsids&gt;&lt;/w:docPr&gt;&lt;w:body&gt;&lt;wx:sect&gt;&lt;w:p wsp:rsidR=&quot;00000000&quot; wsp:rsidRDefault=&quot;00E40FC2&quot; wsp:rsidP=&quot;00E40FC2&quot;&gt;&lt;m:oMathPara&gt;&lt;m:oMath&gt;&lt;m:f&gt;&lt;m:fPr&gt;&lt;m:ctrlPr&gt;&lt;w:rPr&gt;&lt;w:rFonts w:ascii=&quot;Cambria Math&quot; w:h-ansi=&quot;Cambria Math&quot;/&gt;&lt;wx:font wx:val=&quot;Cambria Math&quot;/&gt;&lt;w:i/&gt;&lt;w:i-cs/&gt;&lt;w:color w:val=&quot;000000&quot;/&gt;&lt;/w:rPr&gt;&lt;/m:ctrlPr&gt;&lt;/m:fPr&gt;&lt;m:num&gt;&lt;m:r&gt;&lt;w:rPr&gt;&lt;w:rFonts w:ascii=&quot;Cambria Math&quot; w:h-ansi=&quot;Cambria Math&quot;/&gt;&lt;wx:font wx:val=&quot;Cambria Math&quot;/&gt;&lt;w:i/&gt;&lt;w:color w:val=&quot;000000&quot;/&gt;&lt;/w:rPr&gt;&lt;m:t&gt;Total weight of methyl esters &lt;/m:t&gt;&lt;/m:r&gt;&lt;/m:num&gt;&lt;m:den&gt;&lt;m:r&gt;&lt;w:rPr&gt;&lt;w:rFonts w:ascii=&quot;Cambria Math&quot; w:h-ansi=&quot;Cambria Math&quot;/&gt;&lt;wx:font wx:val=&quot;Cambria Math&quot;/&gt;&lt;w:i/&gt;&lt;w:color w:val=&quot;000000&quot;/&gt;&lt;/w:rPr&gt;&lt;m:t&gt;To&lt;/m:t&gt;&lt;/m:r&gt;&lt;m:r&gt;&lt;w:rPr&gt;&lt;w:rFonts w:ascii=&quot;Cambria Math&quot; w:h-ansi=&quot;Cambria Math&quot; w:cs=&quot;Cambria Math&quot;/&gt;&lt;wx:font wx:val=&quot;Cambria Math&quot;/&gt;&lt;w:i/&gt;&lt;w:color w:val=&quot;000000&quot;/&gt;&lt;/w:rPr&gt;&lt;m:t&gt;t&lt;/m:t&gt;&lt;/m:r&gt;&lt;m:r&gt;&lt;w:rPr&gt;&lt;w:rFonts w:ascii=&quot;Cambria Math&quot; w:h-ansi=&quot;Cambria Math&quot;/&gt;&lt;wx:font wx:val=&quot;Cambria Math&quot;/&gt;&lt;w:i/&gt;&lt;w:color w:val=&quot;000000&quot;/&gt;&lt;/w:rPr&gt;&lt;m:t&gt;al weight of waste oil used&lt;/m:t&gt;&lt;/m:r&gt;&lt;/m:den&gt;&lt;/m:f&gt;&lt;m:r&gt;&lt;w:rPr&gt;&lt;w:rFonts w:ascii=&quot;Cambria Math&quot; w:h-ansi=&quot;Cambria Math&quot;/&gt;&lt;wx:font wx:val=&quot;Cambria Math&quot;/&gt;&lt;w:i/&gt;&lt;w:color w:val=&quot;000000&quot;/&gt;&lt;/w:rPr&gt;&lt;m:t&gt; Ã—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3463E">
        <w:rPr>
          <w:rFonts w:ascii="Times New Roman" w:hAnsi="Times New Roman"/>
          <w:i/>
          <w:iCs/>
          <w:color w:val="000000"/>
          <w:szCs w:val="24"/>
        </w:rPr>
        <w:instrText xml:space="preserve"> </w:instrText>
      </w:r>
      <w:r w:rsidR="001253F1" w:rsidRPr="00F3463E">
        <w:rPr>
          <w:rFonts w:ascii="Times New Roman" w:hAnsi="Times New Roman"/>
          <w:i/>
          <w:iCs/>
          <w:color w:val="000000"/>
          <w:szCs w:val="24"/>
        </w:rPr>
        <w:fldChar w:fldCharType="end"/>
      </w:r>
      <w:r w:rsidRPr="00F3463E">
        <w:rPr>
          <w:rFonts w:ascii="Times New Roman" w:hAnsi="Times New Roman"/>
          <w:i/>
          <w:iCs/>
          <w:color w:val="000000"/>
          <w:szCs w:val="24"/>
        </w:rPr>
        <w:t>mass of Product / mass of Oil</w:t>
      </w:r>
      <w:r>
        <w:rPr>
          <w:rFonts w:ascii="Times New Roman" w:hAnsi="Times New Roman"/>
          <w:color w:val="000000"/>
          <w:szCs w:val="24"/>
        </w:rPr>
        <w:tab/>
      </w:r>
      <w:r w:rsidRPr="00B07358">
        <w:rPr>
          <w:rFonts w:ascii="Times New Roman" w:hAnsi="Times New Roman"/>
          <w:color w:val="000000"/>
          <w:szCs w:val="24"/>
        </w:rPr>
        <w:t>(1)</w:t>
      </w:r>
    </w:p>
    <w:p w:rsidR="009D7D9E" w:rsidRPr="00294159" w:rsidRDefault="009D7D9E" w:rsidP="005867D3">
      <w:pPr>
        <w:pStyle w:val="BodyText"/>
      </w:pPr>
    </w:p>
    <w:p w:rsidR="009D7D9E" w:rsidRPr="00294159" w:rsidRDefault="006C07CA">
      <w:pPr>
        <w:pStyle w:val="Heading2"/>
      </w:pPr>
      <w:r>
        <w:t>Experimental Design</w:t>
      </w:r>
    </w:p>
    <w:p w:rsidR="009D7D9E" w:rsidRDefault="006C07CA" w:rsidP="00446A49">
      <w:pPr>
        <w:pStyle w:val="BodyText"/>
      </w:pPr>
      <w:r>
        <w:t xml:space="preserve">RSM has been established to conclude the optimum conditions for biodiesel production by analysing the relationship of reaction parameters with reaction responses. Four independent variables have been chosen for the analysis including </w:t>
      </w:r>
      <w:r w:rsidRPr="006C07CA">
        <w:rPr>
          <w:color w:val="000000"/>
        </w:rPr>
        <w:t>M:O molar ratio, temperature, pressure and time, which were labelled as A, B, C, D respectively. Three levels for each variable have been coded as -1, 0, 1 as shown in Table</w:t>
      </w:r>
      <w:r w:rsidR="00391840">
        <w:rPr>
          <w:color w:val="000000"/>
        </w:rPr>
        <w:t xml:space="preserve"> </w:t>
      </w:r>
      <w:r w:rsidRPr="006C07CA">
        <w:rPr>
          <w:color w:val="000000"/>
        </w:rPr>
        <w:t>1.</w:t>
      </w:r>
      <w:r w:rsidR="00CB2652">
        <w:rPr>
          <w:color w:val="000000"/>
        </w:rPr>
        <w:t xml:space="preserve"> Biodiesel and glycerol yields</w:t>
      </w:r>
      <w:r w:rsidR="00391840">
        <w:rPr>
          <w:color w:val="000000"/>
        </w:rPr>
        <w:t xml:space="preserve"> have been selected as reaction</w:t>
      </w:r>
      <w:r w:rsidR="00CB2652">
        <w:rPr>
          <w:color w:val="000000"/>
        </w:rPr>
        <w:t xml:space="preserve"> responses. </w:t>
      </w:r>
      <w:r w:rsidR="00446A49">
        <w:rPr>
          <w:color w:val="000000"/>
        </w:rPr>
        <w:t xml:space="preserve">Thirty experiments have been performed in a randomised order where the responses have been calculated for each experiment.   </w:t>
      </w:r>
    </w:p>
    <w:p w:rsidR="00CB2652" w:rsidRPr="00294159" w:rsidRDefault="00B84876" w:rsidP="00CB2652">
      <w:pPr>
        <w:pStyle w:val="TableHeading"/>
      </w:pPr>
      <w:r>
        <w:br w:type="page"/>
      </w:r>
      <w:r w:rsidR="00CB2652">
        <w:lastRenderedPageBreak/>
        <w:t xml:space="preserve">Table 1. Experimental </w:t>
      </w:r>
      <w:r w:rsidR="00EA6D99">
        <w:t>Design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812"/>
        <w:gridCol w:w="708"/>
        <w:gridCol w:w="709"/>
        <w:gridCol w:w="708"/>
      </w:tblGrid>
      <w:tr w:rsidR="00CB2652" w:rsidRPr="00294159" w:rsidTr="009A29A5">
        <w:trPr>
          <w:jc w:val="center"/>
        </w:trPr>
        <w:tc>
          <w:tcPr>
            <w:tcW w:w="1969" w:type="dxa"/>
          </w:tcPr>
          <w:p w:rsidR="00CB2652" w:rsidRPr="00294159" w:rsidRDefault="00CB2652" w:rsidP="009A29A5">
            <w:pPr>
              <w:pStyle w:val="BodyText"/>
              <w:ind w:left="-57" w:right="-57"/>
            </w:pPr>
            <w:r>
              <w:t>Factor</w:t>
            </w:r>
          </w:p>
        </w:tc>
        <w:tc>
          <w:tcPr>
            <w:tcW w:w="812" w:type="dxa"/>
          </w:tcPr>
          <w:p w:rsidR="00CB2652" w:rsidRPr="00294159" w:rsidRDefault="00CB2652" w:rsidP="009A29A5">
            <w:pPr>
              <w:pStyle w:val="BodyText"/>
              <w:ind w:left="-57" w:right="-57"/>
            </w:pPr>
            <w:r>
              <w:t>Code</w:t>
            </w:r>
          </w:p>
        </w:tc>
        <w:tc>
          <w:tcPr>
            <w:tcW w:w="2125" w:type="dxa"/>
            <w:gridSpan w:val="3"/>
          </w:tcPr>
          <w:p w:rsidR="00CB2652" w:rsidRPr="00294159" w:rsidRDefault="00CB2652" w:rsidP="009A29A5">
            <w:pPr>
              <w:pStyle w:val="BodyText"/>
              <w:ind w:left="-57" w:right="-57"/>
            </w:pPr>
            <w:r>
              <w:t>Levels</w:t>
            </w:r>
          </w:p>
        </w:tc>
      </w:tr>
      <w:tr w:rsidR="00CB2652" w:rsidRPr="00294159" w:rsidTr="009A29A5">
        <w:trPr>
          <w:jc w:val="center"/>
        </w:trPr>
        <w:tc>
          <w:tcPr>
            <w:tcW w:w="1969" w:type="dxa"/>
          </w:tcPr>
          <w:p w:rsidR="00CB2652" w:rsidRPr="00294159" w:rsidRDefault="00CB2652" w:rsidP="009A29A5">
            <w:pPr>
              <w:pStyle w:val="BodyText"/>
              <w:ind w:left="-57" w:right="-57"/>
            </w:pPr>
          </w:p>
        </w:tc>
        <w:tc>
          <w:tcPr>
            <w:tcW w:w="812" w:type="dxa"/>
          </w:tcPr>
          <w:p w:rsidR="00CB2652" w:rsidRPr="00294159" w:rsidRDefault="00CB2652" w:rsidP="009A29A5">
            <w:pPr>
              <w:pStyle w:val="BodyText"/>
              <w:ind w:left="-57" w:right="-57"/>
            </w:pPr>
          </w:p>
        </w:tc>
        <w:tc>
          <w:tcPr>
            <w:tcW w:w="708" w:type="dxa"/>
          </w:tcPr>
          <w:p w:rsidR="00CB2652" w:rsidRPr="00294159" w:rsidRDefault="00CB2652" w:rsidP="009A29A5">
            <w:pPr>
              <w:pStyle w:val="BodyText"/>
              <w:ind w:left="-57" w:right="-57"/>
            </w:pPr>
            <w:r>
              <w:t>-1</w:t>
            </w:r>
          </w:p>
        </w:tc>
        <w:tc>
          <w:tcPr>
            <w:tcW w:w="709" w:type="dxa"/>
          </w:tcPr>
          <w:p w:rsidR="00CB2652" w:rsidRPr="00294159" w:rsidRDefault="00CB2652" w:rsidP="009A29A5">
            <w:pPr>
              <w:pStyle w:val="BodyText"/>
              <w:ind w:left="-57" w:right="-57"/>
            </w:pPr>
            <w:r>
              <w:t>0</w:t>
            </w:r>
          </w:p>
        </w:tc>
        <w:tc>
          <w:tcPr>
            <w:tcW w:w="708" w:type="dxa"/>
          </w:tcPr>
          <w:p w:rsidR="00CB2652" w:rsidRPr="00294159" w:rsidRDefault="00CB2652" w:rsidP="009A29A5">
            <w:pPr>
              <w:pStyle w:val="BodyText"/>
              <w:ind w:left="-57" w:right="-57"/>
            </w:pPr>
            <w:r>
              <w:t>1</w:t>
            </w:r>
          </w:p>
        </w:tc>
      </w:tr>
      <w:tr w:rsidR="00CB2652" w:rsidRPr="00294159" w:rsidTr="009A29A5">
        <w:trPr>
          <w:jc w:val="center"/>
        </w:trPr>
        <w:tc>
          <w:tcPr>
            <w:tcW w:w="1969" w:type="dxa"/>
          </w:tcPr>
          <w:p w:rsidR="00CB2652" w:rsidRPr="00294159" w:rsidRDefault="00CB2652" w:rsidP="009A29A5">
            <w:pPr>
              <w:pStyle w:val="BodyText"/>
              <w:ind w:left="-57" w:right="-57"/>
            </w:pPr>
            <w:r>
              <w:t>M</w:t>
            </w:r>
            <w:r w:rsidRPr="00CB2652">
              <w:t>:O (molar ratio)</w:t>
            </w:r>
          </w:p>
        </w:tc>
        <w:tc>
          <w:tcPr>
            <w:tcW w:w="812" w:type="dxa"/>
          </w:tcPr>
          <w:p w:rsidR="00CB2652" w:rsidRPr="00294159" w:rsidRDefault="00CB2652" w:rsidP="009A29A5">
            <w:pPr>
              <w:pStyle w:val="BodyText"/>
              <w:ind w:left="-57" w:right="-57"/>
            </w:pPr>
            <w:r>
              <w:t>A</w:t>
            </w:r>
          </w:p>
        </w:tc>
        <w:tc>
          <w:tcPr>
            <w:tcW w:w="708" w:type="dxa"/>
          </w:tcPr>
          <w:p w:rsidR="00CB2652" w:rsidRPr="00294159" w:rsidRDefault="00CB2652" w:rsidP="009A29A5">
            <w:pPr>
              <w:pStyle w:val="BodyText"/>
              <w:ind w:left="-57" w:right="-57"/>
            </w:pPr>
            <w:r>
              <w:t>20</w:t>
            </w:r>
          </w:p>
        </w:tc>
        <w:tc>
          <w:tcPr>
            <w:tcW w:w="709" w:type="dxa"/>
          </w:tcPr>
          <w:p w:rsidR="00CB2652" w:rsidRPr="00294159" w:rsidRDefault="00CB2652" w:rsidP="009A29A5">
            <w:pPr>
              <w:pStyle w:val="BodyText"/>
              <w:ind w:left="-57" w:right="-57"/>
            </w:pPr>
            <w:r>
              <w:t>30</w:t>
            </w:r>
          </w:p>
        </w:tc>
        <w:tc>
          <w:tcPr>
            <w:tcW w:w="708" w:type="dxa"/>
          </w:tcPr>
          <w:p w:rsidR="00CB2652" w:rsidRPr="00294159" w:rsidRDefault="00CB2652" w:rsidP="009A29A5">
            <w:pPr>
              <w:pStyle w:val="BodyText"/>
              <w:ind w:left="-57" w:right="-57"/>
            </w:pPr>
            <w:r>
              <w:t>40</w:t>
            </w:r>
          </w:p>
        </w:tc>
      </w:tr>
      <w:tr w:rsidR="00CB2652" w:rsidRPr="00294159" w:rsidTr="009A29A5">
        <w:trPr>
          <w:jc w:val="center"/>
        </w:trPr>
        <w:tc>
          <w:tcPr>
            <w:tcW w:w="1969" w:type="dxa"/>
          </w:tcPr>
          <w:p w:rsidR="00CB2652" w:rsidRPr="006C07CA" w:rsidRDefault="00CB2652" w:rsidP="009A29A5">
            <w:pPr>
              <w:pStyle w:val="BodyText"/>
              <w:ind w:left="-57" w:right="-57"/>
            </w:pPr>
            <w:r>
              <w:t>Temperature (</w:t>
            </w:r>
            <w:r>
              <w:rPr>
                <w:vertAlign w:val="superscript"/>
              </w:rPr>
              <w:t>o</w:t>
            </w:r>
            <w:r>
              <w:t>C)</w:t>
            </w:r>
          </w:p>
        </w:tc>
        <w:tc>
          <w:tcPr>
            <w:tcW w:w="812" w:type="dxa"/>
          </w:tcPr>
          <w:p w:rsidR="00CB2652" w:rsidRPr="00294159" w:rsidRDefault="00CB2652" w:rsidP="009A29A5">
            <w:pPr>
              <w:pStyle w:val="BodyText"/>
              <w:ind w:left="-57" w:right="-57"/>
            </w:pPr>
            <w:r>
              <w:t>B</w:t>
            </w:r>
          </w:p>
        </w:tc>
        <w:tc>
          <w:tcPr>
            <w:tcW w:w="708" w:type="dxa"/>
          </w:tcPr>
          <w:p w:rsidR="00CB2652" w:rsidRPr="00294159" w:rsidRDefault="00CB2652" w:rsidP="009A29A5">
            <w:pPr>
              <w:pStyle w:val="BodyText"/>
              <w:ind w:left="-57" w:right="-57"/>
            </w:pPr>
            <w:r>
              <w:t>240</w:t>
            </w:r>
          </w:p>
        </w:tc>
        <w:tc>
          <w:tcPr>
            <w:tcW w:w="709" w:type="dxa"/>
          </w:tcPr>
          <w:p w:rsidR="00CB2652" w:rsidRPr="00294159" w:rsidRDefault="00CB2652" w:rsidP="009A29A5">
            <w:pPr>
              <w:pStyle w:val="BodyText"/>
              <w:ind w:left="-57" w:right="-57"/>
            </w:pPr>
            <w:r>
              <w:t>260</w:t>
            </w:r>
          </w:p>
        </w:tc>
        <w:tc>
          <w:tcPr>
            <w:tcW w:w="708" w:type="dxa"/>
          </w:tcPr>
          <w:p w:rsidR="00CB2652" w:rsidRPr="00294159" w:rsidRDefault="00CB2652" w:rsidP="009A29A5">
            <w:pPr>
              <w:pStyle w:val="BodyText"/>
              <w:ind w:left="-57" w:right="-57"/>
            </w:pPr>
            <w:r>
              <w:t>280</w:t>
            </w:r>
          </w:p>
        </w:tc>
      </w:tr>
      <w:tr w:rsidR="00CB2652" w:rsidRPr="00294159" w:rsidTr="009A29A5">
        <w:trPr>
          <w:jc w:val="center"/>
        </w:trPr>
        <w:tc>
          <w:tcPr>
            <w:tcW w:w="1969" w:type="dxa"/>
          </w:tcPr>
          <w:p w:rsidR="00CB2652" w:rsidRPr="00294159" w:rsidRDefault="00CB2652" w:rsidP="009A29A5">
            <w:pPr>
              <w:pStyle w:val="BodyText"/>
              <w:ind w:left="-57" w:right="-57"/>
            </w:pPr>
            <w:r>
              <w:t>Pressure (bar)</w:t>
            </w:r>
          </w:p>
        </w:tc>
        <w:tc>
          <w:tcPr>
            <w:tcW w:w="812" w:type="dxa"/>
          </w:tcPr>
          <w:p w:rsidR="00CB2652" w:rsidRPr="00294159" w:rsidRDefault="00CB2652" w:rsidP="009A29A5">
            <w:pPr>
              <w:pStyle w:val="BodyText"/>
              <w:ind w:left="-57" w:right="-57"/>
            </w:pPr>
            <w:r>
              <w:t>C</w:t>
            </w:r>
          </w:p>
        </w:tc>
        <w:tc>
          <w:tcPr>
            <w:tcW w:w="708" w:type="dxa"/>
          </w:tcPr>
          <w:p w:rsidR="00CB2652" w:rsidRPr="00294159" w:rsidRDefault="00CB2652" w:rsidP="009A29A5">
            <w:pPr>
              <w:pStyle w:val="BodyText"/>
              <w:ind w:left="-57" w:right="-57"/>
            </w:pPr>
            <w:r>
              <w:t>85</w:t>
            </w:r>
          </w:p>
        </w:tc>
        <w:tc>
          <w:tcPr>
            <w:tcW w:w="709" w:type="dxa"/>
          </w:tcPr>
          <w:p w:rsidR="00CB2652" w:rsidRPr="00294159" w:rsidRDefault="00CB2652" w:rsidP="009A29A5">
            <w:pPr>
              <w:pStyle w:val="BodyText"/>
              <w:ind w:left="-57" w:right="-57"/>
            </w:pPr>
            <w:r>
              <w:t>135</w:t>
            </w:r>
          </w:p>
        </w:tc>
        <w:tc>
          <w:tcPr>
            <w:tcW w:w="708" w:type="dxa"/>
          </w:tcPr>
          <w:p w:rsidR="00CB2652" w:rsidRPr="00294159" w:rsidRDefault="00CB2652" w:rsidP="009A29A5">
            <w:pPr>
              <w:pStyle w:val="BodyText"/>
              <w:ind w:left="-57" w:right="-57"/>
            </w:pPr>
            <w:r>
              <w:t>185</w:t>
            </w:r>
          </w:p>
        </w:tc>
      </w:tr>
      <w:tr w:rsidR="00CB2652" w:rsidRPr="00294159" w:rsidTr="009A29A5">
        <w:trPr>
          <w:jc w:val="center"/>
        </w:trPr>
        <w:tc>
          <w:tcPr>
            <w:tcW w:w="1969" w:type="dxa"/>
          </w:tcPr>
          <w:p w:rsidR="00CB2652" w:rsidRPr="00294159" w:rsidRDefault="00CB2652" w:rsidP="009A29A5">
            <w:pPr>
              <w:pStyle w:val="BodyText"/>
              <w:ind w:left="-57" w:right="-57"/>
            </w:pPr>
            <w:r>
              <w:t>Time (min)</w:t>
            </w:r>
          </w:p>
        </w:tc>
        <w:tc>
          <w:tcPr>
            <w:tcW w:w="812" w:type="dxa"/>
          </w:tcPr>
          <w:p w:rsidR="00CB2652" w:rsidRPr="00294159" w:rsidRDefault="00CB2652" w:rsidP="009A29A5">
            <w:pPr>
              <w:pStyle w:val="BodyText"/>
              <w:ind w:left="-57" w:right="-57"/>
            </w:pPr>
            <w:r>
              <w:t>D</w:t>
            </w:r>
          </w:p>
        </w:tc>
        <w:tc>
          <w:tcPr>
            <w:tcW w:w="708" w:type="dxa"/>
          </w:tcPr>
          <w:p w:rsidR="00CB2652" w:rsidRPr="00294159" w:rsidRDefault="00CB2652" w:rsidP="009A29A5">
            <w:pPr>
              <w:pStyle w:val="BodyText"/>
              <w:ind w:left="-57" w:right="-57"/>
            </w:pPr>
            <w:r>
              <w:t>7</w:t>
            </w:r>
          </w:p>
        </w:tc>
        <w:tc>
          <w:tcPr>
            <w:tcW w:w="709" w:type="dxa"/>
          </w:tcPr>
          <w:p w:rsidR="00CB2652" w:rsidRPr="00294159" w:rsidRDefault="00CB2652" w:rsidP="009A29A5">
            <w:pPr>
              <w:pStyle w:val="BodyText"/>
              <w:ind w:left="-57" w:right="-57"/>
            </w:pPr>
            <w:r>
              <w:t>22</w:t>
            </w:r>
          </w:p>
        </w:tc>
        <w:tc>
          <w:tcPr>
            <w:tcW w:w="708" w:type="dxa"/>
          </w:tcPr>
          <w:p w:rsidR="00CB2652" w:rsidRPr="00294159" w:rsidRDefault="00CB2652" w:rsidP="009A29A5">
            <w:pPr>
              <w:pStyle w:val="BodyText"/>
              <w:ind w:left="-57" w:right="-57"/>
            </w:pPr>
            <w:r>
              <w:t>27</w:t>
            </w:r>
          </w:p>
        </w:tc>
      </w:tr>
    </w:tbl>
    <w:p w:rsidR="00CB2652" w:rsidRPr="00294159" w:rsidRDefault="00CB2652" w:rsidP="006C07CA">
      <w:pPr>
        <w:pStyle w:val="BodyText"/>
      </w:pPr>
    </w:p>
    <w:p w:rsidR="00627ACC" w:rsidRPr="00294159" w:rsidRDefault="00446A49" w:rsidP="00627ACC">
      <w:pPr>
        <w:pStyle w:val="Heading2"/>
      </w:pPr>
      <w:bookmarkStart w:id="6" w:name="OLE_LINK3"/>
      <w:r>
        <w:t>Statistical Analysis</w:t>
      </w:r>
    </w:p>
    <w:bookmarkEnd w:id="6"/>
    <w:p w:rsidR="009D7D9E" w:rsidRDefault="00446A49">
      <w:pPr>
        <w:pStyle w:val="BodyText"/>
        <w:rPr>
          <w:color w:val="000000"/>
        </w:rPr>
      </w:pPr>
      <w:r>
        <w:t xml:space="preserve">The general quadratic equation has been used to define the model. Statistical significance has been investigated using ANOVA by </w:t>
      </w:r>
      <w:r w:rsidRPr="00446A49">
        <w:rPr>
          <w:color w:val="000000"/>
        </w:rPr>
        <w:t>calculating the Fisher’s F-test at 95% confidence level</w:t>
      </w:r>
      <w:r>
        <w:rPr>
          <w:color w:val="000000"/>
        </w:rPr>
        <w:t xml:space="preserve">. </w:t>
      </w:r>
      <w:r w:rsidRPr="00446A49">
        <w:rPr>
          <w:color w:val="000000"/>
        </w:rPr>
        <w:t xml:space="preserve">Statistical significance of the results has been presented by p-value, where the result is considered to be significant when p-value is </w:t>
      </w:r>
      <w:r>
        <w:rPr>
          <w:color w:val="000000"/>
        </w:rPr>
        <w:t>less than</w:t>
      </w:r>
      <w:r w:rsidRPr="00446A49">
        <w:rPr>
          <w:color w:val="000000"/>
        </w:rPr>
        <w:t xml:space="preserve"> 0.05.</w:t>
      </w:r>
    </w:p>
    <w:p w:rsidR="00446A49" w:rsidRDefault="00446A49">
      <w:pPr>
        <w:pStyle w:val="BodyText"/>
        <w:rPr>
          <w:color w:val="000000"/>
        </w:rPr>
      </w:pPr>
      <w:r>
        <w:rPr>
          <w:color w:val="000000"/>
        </w:rPr>
        <w:t xml:space="preserve">Numerical optimisation of the reaction variables has been constructed based on certain goals. The goals were identified by maximising biodiesel yield and minimising glycerol yield at minimum temperature, pressure and time of the reaction. </w:t>
      </w:r>
    </w:p>
    <w:p w:rsidR="00446A49" w:rsidRDefault="00446A49">
      <w:pPr>
        <w:pStyle w:val="BodyText"/>
        <w:rPr>
          <w:color w:val="000000"/>
        </w:rPr>
      </w:pPr>
      <w:r w:rsidRPr="00446A49">
        <w:rPr>
          <w:color w:val="000000"/>
        </w:rPr>
        <w:t>Design of experiments, regression analysis, graphical analysis and numerical optimisation have been performed using Design Expert 10 software (Stat-Ease Inc., Minneapolis, MN, USA).</w:t>
      </w:r>
    </w:p>
    <w:p w:rsidR="00446A49" w:rsidRDefault="00446A49">
      <w:pPr>
        <w:pStyle w:val="BodyText"/>
        <w:rPr>
          <w:b/>
          <w:bCs/>
        </w:rPr>
      </w:pPr>
    </w:p>
    <w:p w:rsidR="00DF1A95" w:rsidRPr="00294159" w:rsidRDefault="00DF1A95" w:rsidP="00DF1A95">
      <w:pPr>
        <w:pStyle w:val="Heading2"/>
      </w:pPr>
      <w:r>
        <w:t>Physicochemical properties analysis</w:t>
      </w:r>
    </w:p>
    <w:p w:rsidR="00DF1A95" w:rsidRDefault="00DF1A95" w:rsidP="00DF1A95">
      <w:pPr>
        <w:pStyle w:val="BodyText"/>
        <w:rPr>
          <w:color w:val="000000"/>
        </w:rPr>
      </w:pPr>
      <w:r>
        <w:rPr>
          <w:color w:val="000000"/>
        </w:rPr>
        <w:t>The final pure biodiesel at the concluded optimum conditions has been analysed for investigating its chemical and physical properties. Analysis results have been compared to the</w:t>
      </w:r>
      <w:r w:rsidRPr="00B55093">
        <w:rPr>
          <w:color w:val="000000"/>
        </w:rPr>
        <w:t xml:space="preserve"> </w:t>
      </w:r>
      <w:r w:rsidRPr="00DF1A95">
        <w:rPr>
          <w:color w:val="000000"/>
        </w:rPr>
        <w:t>European standard of biodiesel, EN14214. The analysed properties have been replicated twice and the final results have been obtained as an average of the two results.</w:t>
      </w:r>
      <w:r>
        <w:rPr>
          <w:color w:val="000000"/>
        </w:rPr>
        <w:t xml:space="preserve"> </w:t>
      </w:r>
      <w:r w:rsidRPr="00DF1A95">
        <w:rPr>
          <w:color w:val="000000"/>
        </w:rPr>
        <w:t>Total acid number (TAN)</w:t>
      </w:r>
      <w:r>
        <w:rPr>
          <w:color w:val="000000"/>
        </w:rPr>
        <w:t>, standard density and kinematic viscosity of the produced biodiesel have</w:t>
      </w:r>
      <w:r w:rsidRPr="00DF1A95">
        <w:rPr>
          <w:color w:val="000000"/>
        </w:rPr>
        <w:t xml:space="preserve"> been calibrated according to ASTM D974</w:t>
      </w:r>
      <w:r>
        <w:rPr>
          <w:color w:val="000000"/>
        </w:rPr>
        <w:t xml:space="preserve">, </w:t>
      </w:r>
      <w:r w:rsidRPr="00DF1A95">
        <w:rPr>
          <w:color w:val="000000"/>
        </w:rPr>
        <w:t>ASTM D4052</w:t>
      </w:r>
      <w:r>
        <w:rPr>
          <w:color w:val="000000"/>
        </w:rPr>
        <w:t xml:space="preserve"> and </w:t>
      </w:r>
      <w:r w:rsidRPr="00DF1A95">
        <w:rPr>
          <w:color w:val="000000"/>
        </w:rPr>
        <w:t>ASTM D445</w:t>
      </w:r>
      <w:r>
        <w:rPr>
          <w:color w:val="000000"/>
        </w:rPr>
        <w:t>, respectively.</w:t>
      </w:r>
    </w:p>
    <w:p w:rsidR="00DF1A95" w:rsidRDefault="00DF1A95" w:rsidP="00DF1A95">
      <w:pPr>
        <w:pStyle w:val="BodyText"/>
        <w:rPr>
          <w:color w:val="000000"/>
        </w:rPr>
      </w:pPr>
    </w:p>
    <w:p w:rsidR="00DF1A95" w:rsidRPr="00294159" w:rsidRDefault="00DF1A95" w:rsidP="00DF1A95">
      <w:pPr>
        <w:pStyle w:val="Heading2"/>
      </w:pPr>
      <w:r>
        <w:t>Gas Chromatography Analysis</w:t>
      </w:r>
    </w:p>
    <w:p w:rsidR="00DF1A95" w:rsidRDefault="00DF1A95" w:rsidP="00BF18A1">
      <w:pPr>
        <w:pStyle w:val="TAMainText"/>
        <w:spacing w:line="240" w:lineRule="auto"/>
        <w:ind w:firstLine="0"/>
        <w:rPr>
          <w:rFonts w:ascii="Times New Roman" w:hAnsi="Times New Roman"/>
          <w:bCs/>
          <w:color w:val="000000"/>
        </w:rPr>
      </w:pPr>
      <w:r>
        <w:t xml:space="preserve">Fatty acids composition of the WCO </w:t>
      </w:r>
      <w:r w:rsidR="00932B35">
        <w:t>was</w:t>
      </w:r>
      <w:r>
        <w:t xml:space="preserve"> analysed according to </w:t>
      </w:r>
      <w:r w:rsidRPr="00DF1A95">
        <w:rPr>
          <w:rFonts w:ascii="Times New Roman" w:hAnsi="Times New Roman"/>
          <w:bCs/>
          <w:color w:val="000000"/>
        </w:rPr>
        <w:t>BS EN ISO 12966-2:2011</w:t>
      </w:r>
      <w:r>
        <w:rPr>
          <w:bCs/>
          <w:color w:val="000000"/>
        </w:rPr>
        <w:t xml:space="preserve"> by converting them to methyl esters as shown in Table 2. WCO and biodiesel samples </w:t>
      </w:r>
      <w:r w:rsidR="00932B35">
        <w:rPr>
          <w:bCs/>
          <w:color w:val="000000"/>
        </w:rPr>
        <w:t>were</w:t>
      </w:r>
      <w:r>
        <w:rPr>
          <w:bCs/>
          <w:color w:val="000000"/>
        </w:rPr>
        <w:t xml:space="preserve"> analysed using </w:t>
      </w:r>
      <w:r w:rsidRPr="00DF1A95">
        <w:rPr>
          <w:rFonts w:ascii="Times New Roman" w:hAnsi="Times New Roman"/>
          <w:bCs/>
          <w:color w:val="000000"/>
        </w:rPr>
        <w:t xml:space="preserve">gas chromatograph (GC) (Thermo- Scientific, Trace 1310) equipped with a capillary column (TR-BD 30 m × 0.25 mm × </w:t>
      </w:r>
      <w:r w:rsidRPr="00DF1A95">
        <w:rPr>
          <w:rFonts w:ascii="Times New Roman" w:hAnsi="Times New Roman"/>
          <w:bCs/>
          <w:color w:val="000000"/>
        </w:rPr>
        <w:lastRenderedPageBreak/>
        <w:t xml:space="preserve">0.25 </w:t>
      </w:r>
      <w:proofErr w:type="spellStart"/>
      <w:r w:rsidRPr="00DF1A95">
        <w:rPr>
          <w:rFonts w:ascii="Times New Roman" w:hAnsi="Times New Roman"/>
          <w:bCs/>
          <w:color w:val="000000"/>
        </w:rPr>
        <w:t>μm</w:t>
      </w:r>
      <w:proofErr w:type="spellEnd"/>
      <w:r w:rsidRPr="00DF1A95">
        <w:rPr>
          <w:rFonts w:ascii="Times New Roman" w:hAnsi="Times New Roman"/>
          <w:bCs/>
          <w:color w:val="000000"/>
        </w:rPr>
        <w:t>) and flame ionisation detector (FID). Both injector and detector temperatures have been adjusted at 250</w:t>
      </w:r>
      <w:r w:rsidRPr="00DF1A95">
        <w:rPr>
          <w:rFonts w:ascii="Times New Roman" w:hAnsi="Times New Roman"/>
          <w:bCs/>
          <w:color w:val="000000"/>
          <w:vertAlign w:val="superscript"/>
        </w:rPr>
        <w:t>o</w:t>
      </w:r>
      <w:r w:rsidRPr="00DF1A95">
        <w:rPr>
          <w:rFonts w:ascii="Times New Roman" w:hAnsi="Times New Roman"/>
          <w:bCs/>
          <w:color w:val="000000"/>
        </w:rPr>
        <w:t xml:space="preserve">C. Helium </w:t>
      </w:r>
      <w:r w:rsidR="00932B35">
        <w:rPr>
          <w:rFonts w:ascii="Times New Roman" w:hAnsi="Times New Roman"/>
          <w:bCs/>
          <w:color w:val="000000"/>
        </w:rPr>
        <w:t>was</w:t>
      </w:r>
      <w:r w:rsidRPr="00DF1A95">
        <w:rPr>
          <w:rFonts w:ascii="Times New Roman" w:hAnsi="Times New Roman"/>
          <w:bCs/>
          <w:color w:val="000000"/>
        </w:rPr>
        <w:t xml:space="preserve"> used as the carrier gas. The temperature programme </w:t>
      </w:r>
      <w:r w:rsidR="00932B35">
        <w:rPr>
          <w:rFonts w:ascii="Times New Roman" w:hAnsi="Times New Roman"/>
          <w:bCs/>
          <w:color w:val="000000"/>
        </w:rPr>
        <w:t>started</w:t>
      </w:r>
      <w:r w:rsidRPr="00DF1A95">
        <w:rPr>
          <w:rFonts w:ascii="Times New Roman" w:hAnsi="Times New Roman"/>
          <w:bCs/>
          <w:color w:val="000000"/>
        </w:rPr>
        <w:t xml:space="preserve"> from 60°C and held for 2 min. Then it ramped with </w:t>
      </w:r>
      <w:bookmarkStart w:id="7" w:name="OLE_LINK4"/>
      <w:bookmarkStart w:id="8" w:name="OLE_LINK2"/>
      <w:bookmarkStart w:id="9" w:name="OLE_LINK1"/>
      <w:r w:rsidRPr="00DF1A95">
        <w:rPr>
          <w:rFonts w:ascii="Times New Roman" w:hAnsi="Times New Roman"/>
          <w:bCs/>
          <w:color w:val="000000"/>
        </w:rPr>
        <w:t xml:space="preserve">10°C/min to 200°C </w:t>
      </w:r>
      <w:bookmarkEnd w:id="7"/>
      <w:bookmarkEnd w:id="8"/>
      <w:bookmarkEnd w:id="9"/>
      <w:r w:rsidRPr="00DF1A95">
        <w:rPr>
          <w:rFonts w:ascii="Times New Roman" w:hAnsi="Times New Roman"/>
          <w:bCs/>
          <w:color w:val="000000"/>
        </w:rPr>
        <w:t>and directly ramped with 1°C/min to 210°C. Finally, the temperature was increased to 240°C with a ramp rate of 20°C/min and remained for 7 minutes.</w:t>
      </w:r>
    </w:p>
    <w:p w:rsidR="00DF1A95" w:rsidRPr="00294159" w:rsidRDefault="00DF1A95" w:rsidP="00DF1A95">
      <w:pPr>
        <w:pStyle w:val="TableHeading"/>
      </w:pPr>
      <w:r>
        <w:t xml:space="preserve">Table 2. Fatty </w:t>
      </w:r>
      <w:r w:rsidR="00EA6D99">
        <w:t xml:space="preserve">Acids Compositions </w:t>
      </w:r>
      <w:r>
        <w:t>in WCO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1574"/>
      </w:tblGrid>
      <w:tr w:rsidR="00D81ADF" w:rsidRPr="00294159" w:rsidTr="00D81ADF">
        <w:trPr>
          <w:trHeight w:val="264"/>
          <w:jc w:val="center"/>
        </w:trPr>
        <w:tc>
          <w:tcPr>
            <w:tcW w:w="2512" w:type="dxa"/>
          </w:tcPr>
          <w:p w:rsidR="00D81ADF" w:rsidRPr="00294159" w:rsidRDefault="00D81ADF" w:rsidP="009A29A5">
            <w:pPr>
              <w:pStyle w:val="BodyText"/>
              <w:ind w:left="-57" w:right="-57"/>
            </w:pPr>
            <w:r>
              <w:t xml:space="preserve">Fatty Acid </w:t>
            </w:r>
          </w:p>
        </w:tc>
        <w:tc>
          <w:tcPr>
            <w:tcW w:w="1574" w:type="dxa"/>
          </w:tcPr>
          <w:p w:rsidR="00D81ADF" w:rsidRPr="00294159" w:rsidRDefault="00D81ADF" w:rsidP="009A29A5">
            <w:pPr>
              <w:pStyle w:val="BodyText"/>
              <w:ind w:left="-57" w:right="-57"/>
            </w:pPr>
            <w:r>
              <w:t>Weight (%)</w:t>
            </w:r>
          </w:p>
        </w:tc>
      </w:tr>
      <w:tr w:rsidR="00D81ADF" w:rsidRPr="00294159" w:rsidTr="00D81ADF">
        <w:trPr>
          <w:trHeight w:val="264"/>
          <w:jc w:val="center"/>
        </w:trPr>
        <w:tc>
          <w:tcPr>
            <w:tcW w:w="2512" w:type="dxa"/>
          </w:tcPr>
          <w:p w:rsidR="00D81ADF" w:rsidRPr="00294159" w:rsidRDefault="00D81ADF" w:rsidP="009A29A5">
            <w:pPr>
              <w:pStyle w:val="BodyText"/>
              <w:ind w:left="-57" w:right="-57"/>
            </w:pPr>
            <w:r>
              <w:t xml:space="preserve"> Methyl Oleate</w:t>
            </w:r>
          </w:p>
        </w:tc>
        <w:tc>
          <w:tcPr>
            <w:tcW w:w="1574" w:type="dxa"/>
          </w:tcPr>
          <w:p w:rsidR="00D81ADF" w:rsidRPr="00294159" w:rsidRDefault="00D81ADF" w:rsidP="009A29A5">
            <w:pPr>
              <w:pStyle w:val="BodyText"/>
              <w:ind w:left="-57" w:right="-57"/>
            </w:pPr>
            <w:r>
              <w:t>48.2</w:t>
            </w:r>
          </w:p>
        </w:tc>
      </w:tr>
      <w:tr w:rsidR="00D81ADF" w:rsidRPr="00294159" w:rsidTr="00D81ADF">
        <w:trPr>
          <w:trHeight w:val="264"/>
          <w:jc w:val="center"/>
        </w:trPr>
        <w:tc>
          <w:tcPr>
            <w:tcW w:w="2512" w:type="dxa"/>
          </w:tcPr>
          <w:p w:rsidR="00D81ADF" w:rsidRPr="006C07CA" w:rsidRDefault="00D81ADF" w:rsidP="00D81ADF">
            <w:pPr>
              <w:pStyle w:val="BodyText"/>
              <w:ind w:right="-57"/>
            </w:pPr>
            <w:r>
              <w:t xml:space="preserve">Methyl Palmitate </w:t>
            </w:r>
          </w:p>
        </w:tc>
        <w:tc>
          <w:tcPr>
            <w:tcW w:w="1574" w:type="dxa"/>
          </w:tcPr>
          <w:p w:rsidR="00D81ADF" w:rsidRPr="00294159" w:rsidRDefault="00D81ADF" w:rsidP="009A29A5">
            <w:pPr>
              <w:pStyle w:val="BodyText"/>
              <w:ind w:left="-57" w:right="-57"/>
            </w:pPr>
            <w:r>
              <w:t>41.6</w:t>
            </w:r>
          </w:p>
        </w:tc>
      </w:tr>
      <w:tr w:rsidR="00D81ADF" w:rsidRPr="00294159" w:rsidTr="00D81ADF">
        <w:trPr>
          <w:trHeight w:val="264"/>
          <w:jc w:val="center"/>
        </w:trPr>
        <w:tc>
          <w:tcPr>
            <w:tcW w:w="2512" w:type="dxa"/>
          </w:tcPr>
          <w:p w:rsidR="00D81ADF" w:rsidRPr="00294159" w:rsidRDefault="00D81ADF" w:rsidP="009A29A5">
            <w:pPr>
              <w:pStyle w:val="BodyText"/>
              <w:ind w:left="-57" w:right="-57"/>
            </w:pPr>
            <w:r>
              <w:t xml:space="preserve"> Methyl Linoleate</w:t>
            </w:r>
          </w:p>
        </w:tc>
        <w:tc>
          <w:tcPr>
            <w:tcW w:w="1574" w:type="dxa"/>
          </w:tcPr>
          <w:p w:rsidR="00D81ADF" w:rsidRPr="00294159" w:rsidRDefault="00D81ADF" w:rsidP="009A29A5">
            <w:pPr>
              <w:pStyle w:val="BodyText"/>
              <w:ind w:left="-57" w:right="-57"/>
            </w:pPr>
            <w:r>
              <w:t>9.3</w:t>
            </w:r>
          </w:p>
        </w:tc>
      </w:tr>
      <w:tr w:rsidR="00D81ADF" w:rsidRPr="00294159" w:rsidTr="00D81ADF">
        <w:trPr>
          <w:trHeight w:val="264"/>
          <w:jc w:val="center"/>
        </w:trPr>
        <w:tc>
          <w:tcPr>
            <w:tcW w:w="2512" w:type="dxa"/>
          </w:tcPr>
          <w:p w:rsidR="00D81ADF" w:rsidRPr="00294159" w:rsidRDefault="00D81ADF" w:rsidP="009A29A5">
            <w:pPr>
              <w:pStyle w:val="BodyText"/>
              <w:ind w:left="-57" w:right="-57"/>
            </w:pPr>
            <w:r>
              <w:t xml:space="preserve"> Methyl </w:t>
            </w:r>
            <w:proofErr w:type="spellStart"/>
            <w:r>
              <w:t>Myristate</w:t>
            </w:r>
            <w:proofErr w:type="spellEnd"/>
            <w:r>
              <w:t xml:space="preserve">  </w:t>
            </w:r>
          </w:p>
        </w:tc>
        <w:tc>
          <w:tcPr>
            <w:tcW w:w="1574" w:type="dxa"/>
          </w:tcPr>
          <w:p w:rsidR="00D81ADF" w:rsidRPr="00294159" w:rsidRDefault="00D81ADF" w:rsidP="009A29A5">
            <w:pPr>
              <w:pStyle w:val="BodyText"/>
              <w:ind w:left="-57" w:right="-57"/>
            </w:pPr>
            <w:r>
              <w:t>0.8</w:t>
            </w:r>
          </w:p>
        </w:tc>
      </w:tr>
    </w:tbl>
    <w:p w:rsidR="00DF1A95" w:rsidRDefault="00DF1A95" w:rsidP="00DF1A95">
      <w:pPr>
        <w:pStyle w:val="TAMainText"/>
        <w:spacing w:line="276" w:lineRule="auto"/>
        <w:ind w:firstLine="0"/>
        <w:rPr>
          <w:rFonts w:ascii="Times New Roman" w:hAnsi="Times New Roman"/>
          <w:bCs/>
          <w:color w:val="000000"/>
          <w:lang w:eastAsia="en-US"/>
        </w:rPr>
      </w:pPr>
    </w:p>
    <w:p w:rsidR="00D81ADF" w:rsidRPr="00294159" w:rsidRDefault="00D81ADF" w:rsidP="00D81ADF">
      <w:pPr>
        <w:pStyle w:val="Heading1"/>
      </w:pPr>
      <w:r>
        <w:t>Results and discussion</w:t>
      </w:r>
    </w:p>
    <w:p w:rsidR="00D81ADF" w:rsidRPr="00294159" w:rsidRDefault="00D81ADF" w:rsidP="00D81ADF">
      <w:pPr>
        <w:pStyle w:val="Heading2"/>
      </w:pPr>
      <w:r>
        <w:t>Model adequacy checking</w:t>
      </w:r>
    </w:p>
    <w:p w:rsidR="00DF1A95" w:rsidRDefault="0062193B" w:rsidP="00BF18A1">
      <w:pPr>
        <w:pStyle w:val="TAMainText"/>
        <w:spacing w:line="240" w:lineRule="auto"/>
        <w:ind w:firstLine="0"/>
        <w:rPr>
          <w:rFonts w:ascii="Times New Roman" w:hAnsi="Times New Roman"/>
          <w:color w:val="000000"/>
        </w:rPr>
      </w:pPr>
      <w:r>
        <w:rPr>
          <w:rFonts w:ascii="Times New Roman" w:hAnsi="Times New Roman"/>
          <w:bCs/>
          <w:color w:val="000000"/>
          <w:lang w:eastAsia="en-US"/>
        </w:rPr>
        <w:t xml:space="preserve">After performing the 30 experiments generated using CCD and calculating the responses for each run, two regression equations representing an empirical relationship between reaction variables and each response have been concluded. For simplicity, this paper will represent only the analysis and results for biodiesel yield response. </w:t>
      </w:r>
      <w:r w:rsidRPr="0062193B">
        <w:rPr>
          <w:rFonts w:ascii="Times New Roman" w:hAnsi="Times New Roman"/>
          <w:bCs/>
          <w:color w:val="000000"/>
        </w:rPr>
        <w:t>The polynomia</w:t>
      </w:r>
      <w:r w:rsidR="00391840">
        <w:rPr>
          <w:rFonts w:ascii="Times New Roman" w:hAnsi="Times New Roman"/>
          <w:bCs/>
          <w:color w:val="000000"/>
        </w:rPr>
        <w:t>l model as shown in E</w:t>
      </w:r>
      <w:r>
        <w:rPr>
          <w:rFonts w:ascii="Times New Roman" w:hAnsi="Times New Roman"/>
          <w:bCs/>
          <w:color w:val="000000"/>
        </w:rPr>
        <w:t>quation (2)</w:t>
      </w:r>
      <w:r w:rsidRPr="0062193B">
        <w:rPr>
          <w:rFonts w:ascii="Times New Roman" w:hAnsi="Times New Roman"/>
          <w:bCs/>
          <w:color w:val="000000"/>
        </w:rPr>
        <w:t xml:space="preserve"> has been used to fit the experimental results whe</w:t>
      </w:r>
      <w:r>
        <w:rPr>
          <w:rFonts w:ascii="Times New Roman" w:hAnsi="Times New Roman"/>
          <w:bCs/>
          <w:color w:val="000000"/>
        </w:rPr>
        <w:t>re Y is the dependant variable (biodiesel yield)</w:t>
      </w:r>
      <w:r w:rsidRPr="0062193B">
        <w:rPr>
          <w:rFonts w:ascii="Times New Roman" w:hAnsi="Times New Roman"/>
          <w:bCs/>
          <w:color w:val="000000"/>
        </w:rPr>
        <w:t>; A, B, C and D are the independent variables (</w:t>
      </w:r>
      <w:r w:rsidRPr="0062193B">
        <w:rPr>
          <w:rFonts w:ascii="Times New Roman" w:hAnsi="Times New Roman"/>
          <w:color w:val="000000"/>
        </w:rPr>
        <w:t>M:O molar ratio, temperature, pressure and time respectively).</w:t>
      </w:r>
    </w:p>
    <w:p w:rsidR="0062193B" w:rsidRDefault="0062193B" w:rsidP="002B2535">
      <w:pPr>
        <w:pStyle w:val="TAMainText"/>
        <w:spacing w:line="240" w:lineRule="auto"/>
        <w:ind w:firstLine="0"/>
        <w:rPr>
          <w:rFonts w:ascii="Times New Roman" w:hAnsi="Times New Roman"/>
          <w:bCs/>
          <w:color w:val="000000"/>
        </w:rPr>
      </w:pPr>
      <w:r>
        <w:rPr>
          <w:rFonts w:ascii="Times New Roman" w:eastAsia="Calibri" w:hAnsi="Times New Roman"/>
          <w:i/>
          <w:iCs/>
          <w:color w:val="000000"/>
          <w:szCs w:val="24"/>
        </w:rPr>
        <w:t>Y = 88.64 – 1.31 A –</w:t>
      </w:r>
      <w:r w:rsidRPr="0062193B">
        <w:rPr>
          <w:rFonts w:ascii="Times New Roman" w:eastAsia="Calibri" w:hAnsi="Times New Roman"/>
          <w:i/>
          <w:iCs/>
          <w:color w:val="000000"/>
          <w:szCs w:val="24"/>
        </w:rPr>
        <w:t xml:space="preserve"> B</w:t>
      </w:r>
      <w:r>
        <w:rPr>
          <w:rFonts w:ascii="Times New Roman" w:eastAsia="Calibri" w:hAnsi="Times New Roman"/>
          <w:i/>
          <w:iCs/>
          <w:color w:val="000000"/>
          <w:szCs w:val="24"/>
        </w:rPr>
        <w:t xml:space="preserve"> – 0.65 C + 0.32</w:t>
      </w:r>
      <w:r w:rsidRPr="0062193B">
        <w:rPr>
          <w:rFonts w:ascii="Times New Roman" w:eastAsia="Calibri" w:hAnsi="Times New Roman"/>
          <w:i/>
          <w:iCs/>
          <w:color w:val="000000"/>
          <w:szCs w:val="24"/>
        </w:rPr>
        <w:t xml:space="preserve"> D </w:t>
      </w:r>
      <w:r>
        <w:rPr>
          <w:rFonts w:ascii="Times New Roman" w:eastAsia="Calibri" w:hAnsi="Times New Roman"/>
          <w:i/>
          <w:iCs/>
          <w:color w:val="000000"/>
          <w:szCs w:val="24"/>
        </w:rPr>
        <w:t>– 2.34 AB – 0.17 AC – 1.54 AD – 1.04 BC – 0.17 BD – 0.86 CD – 0.18</w:t>
      </w:r>
      <w:r w:rsidRPr="0062193B">
        <w:rPr>
          <w:rFonts w:ascii="Times New Roman" w:eastAsia="Calibri" w:hAnsi="Times New Roman"/>
          <w:i/>
          <w:iCs/>
          <w:color w:val="000000"/>
          <w:szCs w:val="24"/>
        </w:rPr>
        <w:t xml:space="preserve"> A</w:t>
      </w:r>
      <w:r w:rsidRPr="0062193B">
        <w:rPr>
          <w:rFonts w:ascii="Times New Roman" w:eastAsia="Calibri" w:hAnsi="Times New Roman"/>
          <w:i/>
          <w:iCs/>
          <w:color w:val="000000"/>
          <w:position w:val="6"/>
          <w:sz w:val="12"/>
          <w:szCs w:val="12"/>
        </w:rPr>
        <w:t>2</w:t>
      </w:r>
      <w:r>
        <w:rPr>
          <w:rFonts w:ascii="Times New Roman" w:eastAsia="Calibri" w:hAnsi="Times New Roman"/>
          <w:i/>
          <w:iCs/>
          <w:color w:val="000000"/>
          <w:szCs w:val="24"/>
        </w:rPr>
        <w:t xml:space="preserve"> + 0.32</w:t>
      </w:r>
      <w:r w:rsidRPr="0062193B">
        <w:rPr>
          <w:rFonts w:ascii="Times New Roman" w:eastAsia="Calibri" w:hAnsi="Times New Roman"/>
          <w:i/>
          <w:iCs/>
          <w:color w:val="000000"/>
          <w:szCs w:val="24"/>
        </w:rPr>
        <w:t xml:space="preserve"> B</w:t>
      </w:r>
      <w:r w:rsidRPr="0062193B">
        <w:rPr>
          <w:rFonts w:ascii="Times New Roman" w:eastAsia="Calibri" w:hAnsi="Times New Roman"/>
          <w:i/>
          <w:iCs/>
          <w:color w:val="000000"/>
          <w:position w:val="6"/>
          <w:sz w:val="12"/>
          <w:szCs w:val="12"/>
        </w:rPr>
        <w:t>2</w:t>
      </w:r>
      <w:r>
        <w:rPr>
          <w:rFonts w:ascii="Times New Roman" w:eastAsia="Calibri" w:hAnsi="Times New Roman"/>
          <w:i/>
          <w:iCs/>
          <w:color w:val="000000"/>
          <w:szCs w:val="24"/>
        </w:rPr>
        <w:t xml:space="preserve"> + 2.23</w:t>
      </w:r>
      <w:r w:rsidRPr="0062193B">
        <w:rPr>
          <w:rFonts w:ascii="Times New Roman" w:eastAsia="Calibri" w:hAnsi="Times New Roman"/>
          <w:i/>
          <w:iCs/>
          <w:color w:val="000000"/>
          <w:szCs w:val="24"/>
        </w:rPr>
        <w:t xml:space="preserve"> C</w:t>
      </w:r>
      <w:r w:rsidRPr="0062193B">
        <w:rPr>
          <w:rFonts w:ascii="Times New Roman" w:eastAsia="Calibri" w:hAnsi="Times New Roman"/>
          <w:i/>
          <w:iCs/>
          <w:color w:val="000000"/>
          <w:position w:val="6"/>
          <w:sz w:val="12"/>
          <w:szCs w:val="12"/>
        </w:rPr>
        <w:t>2</w:t>
      </w:r>
      <w:r>
        <w:rPr>
          <w:rFonts w:ascii="Times New Roman" w:eastAsia="Calibri" w:hAnsi="Times New Roman"/>
          <w:i/>
          <w:iCs/>
          <w:color w:val="000000"/>
          <w:szCs w:val="24"/>
        </w:rPr>
        <w:t xml:space="preserve"> + 1.28</w:t>
      </w:r>
      <w:r w:rsidRPr="0062193B">
        <w:rPr>
          <w:rFonts w:ascii="Times New Roman" w:eastAsia="Calibri" w:hAnsi="Times New Roman"/>
          <w:i/>
          <w:iCs/>
          <w:color w:val="000000"/>
          <w:szCs w:val="24"/>
        </w:rPr>
        <w:t xml:space="preserve"> D</w:t>
      </w:r>
      <w:r w:rsidRPr="0062193B">
        <w:rPr>
          <w:rFonts w:ascii="Times New Roman" w:eastAsia="Calibri" w:hAnsi="Times New Roman"/>
          <w:i/>
          <w:iCs/>
          <w:color w:val="000000"/>
          <w:position w:val="6"/>
          <w:sz w:val="12"/>
          <w:szCs w:val="12"/>
        </w:rPr>
        <w:t>2</w:t>
      </w:r>
      <w:r>
        <w:rPr>
          <w:rFonts w:ascii="Times New Roman" w:hAnsi="Times New Roman"/>
          <w:bCs/>
          <w:color w:val="000000"/>
        </w:rPr>
        <w:t xml:space="preserve"> </w:t>
      </w:r>
      <w:r w:rsidR="00932B35">
        <w:rPr>
          <w:rFonts w:ascii="Times New Roman" w:hAnsi="Times New Roman"/>
          <w:bCs/>
          <w:color w:val="000000"/>
        </w:rPr>
        <w:tab/>
      </w:r>
      <w:r w:rsidR="00932B35">
        <w:rPr>
          <w:rFonts w:ascii="Times New Roman" w:hAnsi="Times New Roman"/>
          <w:bCs/>
          <w:color w:val="000000"/>
        </w:rPr>
        <w:tab/>
      </w:r>
      <w:r w:rsidR="00932B35">
        <w:rPr>
          <w:rFonts w:ascii="Times New Roman" w:hAnsi="Times New Roman"/>
          <w:bCs/>
          <w:color w:val="000000"/>
        </w:rPr>
        <w:tab/>
      </w:r>
      <w:r w:rsidR="00932B35">
        <w:rPr>
          <w:rFonts w:ascii="Times New Roman" w:hAnsi="Times New Roman"/>
          <w:bCs/>
          <w:color w:val="000000"/>
        </w:rPr>
        <w:tab/>
      </w:r>
      <w:r w:rsidR="00932B35">
        <w:rPr>
          <w:rFonts w:ascii="Times New Roman" w:hAnsi="Times New Roman"/>
          <w:bCs/>
          <w:color w:val="000000"/>
        </w:rPr>
        <w:tab/>
      </w:r>
      <w:r w:rsidR="00932B35">
        <w:rPr>
          <w:rFonts w:ascii="Times New Roman" w:hAnsi="Times New Roman"/>
          <w:bCs/>
          <w:color w:val="000000"/>
        </w:rPr>
        <w:tab/>
        <w:t xml:space="preserve"> </w:t>
      </w:r>
      <w:r w:rsidR="00391840">
        <w:rPr>
          <w:rFonts w:ascii="Times New Roman" w:hAnsi="Times New Roman"/>
          <w:bCs/>
          <w:color w:val="000000"/>
        </w:rPr>
        <w:t>(2</w:t>
      </w:r>
      <w:r w:rsidRPr="0062193B">
        <w:rPr>
          <w:rFonts w:ascii="Times New Roman" w:hAnsi="Times New Roman"/>
          <w:bCs/>
          <w:color w:val="000000"/>
        </w:rPr>
        <w:t>)</w:t>
      </w:r>
    </w:p>
    <w:p w:rsidR="005867D3" w:rsidRDefault="0062193B" w:rsidP="002B2535">
      <w:pPr>
        <w:pStyle w:val="TAMainText"/>
        <w:spacing w:line="240" w:lineRule="auto"/>
        <w:ind w:firstLine="0"/>
        <w:rPr>
          <w:rFonts w:ascii="Times New Roman" w:hAnsi="Times New Roman"/>
          <w:color w:val="000000"/>
        </w:rPr>
      </w:pPr>
      <w:r>
        <w:rPr>
          <w:rFonts w:ascii="Times New Roman" w:hAnsi="Times New Roman"/>
          <w:bCs/>
          <w:color w:val="000000"/>
        </w:rPr>
        <w:t xml:space="preserve">The proposed model has been examined for adequacy to </w:t>
      </w:r>
      <w:r w:rsidR="00D20BF4">
        <w:rPr>
          <w:rFonts w:ascii="Times New Roman" w:hAnsi="Times New Roman"/>
          <w:bCs/>
          <w:color w:val="000000"/>
        </w:rPr>
        <w:t xml:space="preserve">identify any errors associated with the normality assumptions. ANOVA has been used to model using F-test and p-value tests, </w:t>
      </w:r>
      <w:r w:rsidR="005867D3">
        <w:rPr>
          <w:rFonts w:ascii="Times New Roman" w:hAnsi="Times New Roman"/>
          <w:bCs/>
          <w:color w:val="000000"/>
        </w:rPr>
        <w:t>these</w:t>
      </w:r>
      <w:r w:rsidR="00D20BF4">
        <w:rPr>
          <w:rFonts w:ascii="Times New Roman" w:hAnsi="Times New Roman"/>
          <w:bCs/>
          <w:color w:val="000000"/>
        </w:rPr>
        <w:t xml:space="preserve"> value</w:t>
      </w:r>
      <w:r w:rsidR="005867D3">
        <w:rPr>
          <w:rFonts w:ascii="Times New Roman" w:hAnsi="Times New Roman"/>
          <w:bCs/>
          <w:color w:val="000000"/>
        </w:rPr>
        <w:t>s</w:t>
      </w:r>
      <w:r w:rsidR="00D20BF4">
        <w:rPr>
          <w:rFonts w:ascii="Times New Roman" w:hAnsi="Times New Roman"/>
          <w:bCs/>
          <w:color w:val="000000"/>
        </w:rPr>
        <w:t xml:space="preserve"> have been concluded </w:t>
      </w:r>
      <w:r w:rsidR="00D20BF4">
        <w:rPr>
          <w:rFonts w:ascii="Times New Roman" w:hAnsi="Times New Roman"/>
          <w:color w:val="000000"/>
        </w:rPr>
        <w:t>as 121.52</w:t>
      </w:r>
      <w:r w:rsidR="00D20BF4" w:rsidRPr="00D20BF4">
        <w:rPr>
          <w:rFonts w:ascii="Times New Roman" w:hAnsi="Times New Roman"/>
          <w:color w:val="000000"/>
        </w:rPr>
        <w:t xml:space="preserve"> and &lt;0.0001, respectively which prove that the developed quadratic model is statistically significant with 95% confidence level.</w:t>
      </w:r>
      <w:r w:rsidR="003913DC">
        <w:rPr>
          <w:rFonts w:ascii="Times New Roman" w:hAnsi="Times New Roman"/>
          <w:color w:val="000000"/>
        </w:rPr>
        <w:t xml:space="preserve"> Lack-of-fit test has been applied for the model concluding p-</w:t>
      </w:r>
      <w:r w:rsidR="005867D3">
        <w:rPr>
          <w:rFonts w:ascii="Times New Roman" w:hAnsi="Times New Roman"/>
          <w:color w:val="000000"/>
        </w:rPr>
        <w:t>value</w:t>
      </w:r>
      <w:r w:rsidR="00391840">
        <w:rPr>
          <w:rFonts w:ascii="Times New Roman" w:hAnsi="Times New Roman"/>
          <w:color w:val="000000"/>
        </w:rPr>
        <w:t xml:space="preserve"> of 0.088</w:t>
      </w:r>
      <w:r w:rsidR="003913DC">
        <w:rPr>
          <w:rFonts w:ascii="Times New Roman" w:hAnsi="Times New Roman"/>
          <w:color w:val="000000"/>
        </w:rPr>
        <w:t xml:space="preserve">, which </w:t>
      </w:r>
      <w:r w:rsidR="005867D3">
        <w:rPr>
          <w:rFonts w:ascii="Times New Roman" w:hAnsi="Times New Roman"/>
          <w:color w:val="000000"/>
        </w:rPr>
        <w:t xml:space="preserve">has successfully represented most of the experimental data. </w:t>
      </w:r>
      <w:r w:rsidR="005867D3" w:rsidRPr="005867D3">
        <w:rPr>
          <w:rFonts w:ascii="Times New Roman" w:hAnsi="Times New Roman"/>
          <w:color w:val="000000"/>
        </w:rPr>
        <w:t>The determination coefficient values, R</w:t>
      </w:r>
      <w:r w:rsidR="005867D3" w:rsidRPr="005867D3">
        <w:rPr>
          <w:rFonts w:ascii="Times New Roman" w:hAnsi="Times New Roman"/>
          <w:color w:val="000000"/>
          <w:vertAlign w:val="superscript"/>
        </w:rPr>
        <w:t xml:space="preserve">2 </w:t>
      </w:r>
      <w:r w:rsidR="005867D3" w:rsidRPr="005867D3">
        <w:rPr>
          <w:rFonts w:ascii="Times New Roman" w:hAnsi="Times New Roman"/>
          <w:color w:val="000000"/>
        </w:rPr>
        <w:t>and R</w:t>
      </w:r>
      <w:r w:rsidR="005867D3" w:rsidRPr="005867D3">
        <w:rPr>
          <w:rFonts w:ascii="Times New Roman" w:hAnsi="Times New Roman"/>
          <w:color w:val="000000"/>
          <w:vertAlign w:val="superscript"/>
        </w:rPr>
        <w:t>2</w:t>
      </w:r>
      <w:r w:rsidR="005867D3" w:rsidRPr="005867D3">
        <w:rPr>
          <w:rFonts w:ascii="Times New Roman" w:hAnsi="Times New Roman"/>
          <w:color w:val="000000"/>
          <w:vertAlign w:val="subscript"/>
        </w:rPr>
        <w:t>adj</w:t>
      </w:r>
      <w:r w:rsidR="005867D3" w:rsidRPr="005867D3">
        <w:rPr>
          <w:rFonts w:ascii="Times New Roman" w:hAnsi="Times New Roman"/>
          <w:color w:val="000000"/>
        </w:rPr>
        <w:t>, which measure the reliability of the model fitting, h</w:t>
      </w:r>
      <w:r w:rsidR="005867D3">
        <w:rPr>
          <w:rFonts w:ascii="Times New Roman" w:hAnsi="Times New Roman"/>
          <w:color w:val="000000"/>
        </w:rPr>
        <w:t>ave been calculated to be 0.9913 and 0.9831</w:t>
      </w:r>
      <w:r w:rsidR="005867D3" w:rsidRPr="005867D3">
        <w:rPr>
          <w:rFonts w:ascii="Times New Roman" w:hAnsi="Times New Roman"/>
          <w:color w:val="000000"/>
        </w:rPr>
        <w:t>, respectively. Thes</w:t>
      </w:r>
      <w:r w:rsidR="005867D3">
        <w:rPr>
          <w:rFonts w:ascii="Times New Roman" w:hAnsi="Times New Roman"/>
          <w:color w:val="000000"/>
        </w:rPr>
        <w:t>e values indicate that only 0.087</w:t>
      </w:r>
      <w:r w:rsidR="005867D3" w:rsidRPr="005867D3">
        <w:rPr>
          <w:rFonts w:ascii="Times New Roman" w:hAnsi="Times New Roman"/>
          <w:color w:val="000000"/>
        </w:rPr>
        <w:t xml:space="preserve"> of the total </w:t>
      </w:r>
      <w:r w:rsidR="005867D3" w:rsidRPr="005867D3">
        <w:rPr>
          <w:rFonts w:ascii="Times New Roman" w:hAnsi="Times New Roman"/>
          <w:color w:val="000000"/>
        </w:rPr>
        <w:lastRenderedPageBreak/>
        <w:t>variation is not well clarified by the developed model, which ensure the model fitting to the experimental data.</w:t>
      </w:r>
      <w:r w:rsidR="005867D3">
        <w:rPr>
          <w:rFonts w:ascii="Times New Roman" w:hAnsi="Times New Roman"/>
          <w:color w:val="000000"/>
        </w:rPr>
        <w:t xml:space="preserve"> Figure 1 illustrate</w:t>
      </w:r>
      <w:r w:rsidR="00391840">
        <w:rPr>
          <w:rFonts w:ascii="Times New Roman" w:hAnsi="Times New Roman"/>
          <w:color w:val="000000"/>
        </w:rPr>
        <w:t xml:space="preserve">s the </w:t>
      </w:r>
      <w:r w:rsidR="005867D3">
        <w:rPr>
          <w:rFonts w:ascii="Times New Roman" w:hAnsi="Times New Roman"/>
          <w:color w:val="000000"/>
        </w:rPr>
        <w:t xml:space="preserve"> relation between predicted values generated by the model and actual expe</w:t>
      </w:r>
      <w:r w:rsidR="000D6B86">
        <w:rPr>
          <w:rFonts w:ascii="Times New Roman" w:hAnsi="Times New Roman"/>
          <w:color w:val="000000"/>
        </w:rPr>
        <w:t>rimental values.</w:t>
      </w:r>
    </w:p>
    <w:p w:rsidR="005867D3" w:rsidRDefault="005867D3" w:rsidP="005867D3">
      <w:pPr>
        <w:pStyle w:val="TAMainText"/>
        <w:spacing w:line="276" w:lineRule="auto"/>
        <w:ind w:firstLine="0"/>
        <w:rPr>
          <w:rFonts w:ascii="Times New Roman" w:hAnsi="Times New Roman"/>
          <w:color w:val="000000"/>
        </w:rPr>
      </w:pPr>
    </w:p>
    <w:p w:rsidR="005867D3" w:rsidRDefault="005867D3" w:rsidP="005867D3">
      <w:pPr>
        <w:pStyle w:val="TAMainText"/>
        <w:spacing w:line="276" w:lineRule="auto"/>
        <w:ind w:firstLine="0"/>
        <w:rPr>
          <w:rFonts w:ascii="Times New Roman" w:hAnsi="Times New Roman"/>
          <w:color w:val="000000"/>
        </w:rPr>
      </w:pPr>
    </w:p>
    <w:p w:rsidR="005867D3" w:rsidRDefault="001253F1" w:rsidP="0062193B">
      <w:pPr>
        <w:pStyle w:val="TAMainText"/>
        <w:spacing w:line="276" w:lineRule="auto"/>
        <w:ind w:firstLine="0"/>
        <w:rPr>
          <w:rFonts w:ascii="Times New Roman" w:hAnsi="Times New Roman"/>
          <w:bCs/>
          <w:color w:val="000000"/>
        </w:rPr>
      </w:pPr>
      <w:r w:rsidRPr="001253F1">
        <w:rPr>
          <w:rFonts w:ascii="Times New Roman" w:hAnsi="Times New Roman"/>
          <w:bCs/>
          <w:color w:val="000000"/>
        </w:rPr>
        <w:pict>
          <v:shape id="_x0000_i1026" type="#_x0000_t75" style="width:236.25pt;height:225pt">
            <v:imagedata r:id="rId10" o:title=""/>
          </v:shape>
        </w:pict>
      </w:r>
    </w:p>
    <w:p w:rsidR="005867D3" w:rsidRDefault="005867D3" w:rsidP="005867D3">
      <w:pPr>
        <w:pStyle w:val="FigureHeading"/>
      </w:pPr>
      <w:proofErr w:type="gramStart"/>
      <w:r>
        <w:t>Figure 1</w:t>
      </w:r>
      <w:r w:rsidR="00EA6D99">
        <w:t>.</w:t>
      </w:r>
      <w:proofErr w:type="gramEnd"/>
      <w:r w:rsidR="00EA6D99">
        <w:t xml:space="preserve"> </w:t>
      </w:r>
      <w:r>
        <w:t xml:space="preserve">Predicted </w:t>
      </w:r>
      <w:r w:rsidR="00EA6D99">
        <w:t>Data Verses Experimental Actual Data</w:t>
      </w:r>
    </w:p>
    <w:p w:rsidR="005867D3" w:rsidRDefault="005867D3" w:rsidP="005867D3">
      <w:pPr>
        <w:pStyle w:val="FigureHeading"/>
        <w:jc w:val="left"/>
      </w:pPr>
    </w:p>
    <w:p w:rsidR="000D6B86" w:rsidRPr="000D6B86" w:rsidRDefault="005867D3" w:rsidP="000D6B86">
      <w:pPr>
        <w:pStyle w:val="Heading2"/>
      </w:pPr>
      <w:r>
        <w:t>Effect of process variables</w:t>
      </w:r>
    </w:p>
    <w:p w:rsidR="000D6B86" w:rsidRDefault="000D6B86" w:rsidP="000D6B86">
      <w:pPr>
        <w:pStyle w:val="Heading3"/>
      </w:pPr>
      <w:r>
        <w:t>Effect of M</w:t>
      </w:r>
      <w:r w:rsidRPr="000D6B86">
        <w:t>:O molar ratio</w:t>
      </w:r>
    </w:p>
    <w:p w:rsidR="000D6B86" w:rsidRPr="003D372E" w:rsidRDefault="00391840" w:rsidP="000D6B86">
      <w:pPr>
        <w:pStyle w:val="BodyText"/>
      </w:pPr>
      <w:r>
        <w:t>O</w:t>
      </w:r>
      <w:r w:rsidR="000D6B86">
        <w:t>ne of the drawbacks of using supercritical methanol technique for biodiesel production is the us</w:t>
      </w:r>
      <w:r>
        <w:t>age of large excess of methanol where,</w:t>
      </w:r>
      <w:r w:rsidR="000D6B86">
        <w:t xml:space="preserve"> it </w:t>
      </w:r>
      <w:r>
        <w:t xml:space="preserve">is </w:t>
      </w:r>
      <w:r w:rsidR="000D6B86">
        <w:t xml:space="preserve">very important to investigate it’s effect of the biodiesel yield for optimisation considerations. Experimental runs have been carried out at </w:t>
      </w:r>
      <w:r w:rsidR="000D6B86" w:rsidRPr="0062193B">
        <w:rPr>
          <w:color w:val="000000"/>
        </w:rPr>
        <w:t>M</w:t>
      </w:r>
      <w:r w:rsidR="000D6B86">
        <w:rPr>
          <w:color w:val="000000"/>
        </w:rPr>
        <w:t>:O molar ratio between 20:1 and</w:t>
      </w:r>
      <w:r>
        <w:rPr>
          <w:color w:val="000000"/>
        </w:rPr>
        <w:t xml:space="preserve"> 40:1. </w:t>
      </w:r>
      <w:r w:rsidR="00932B35">
        <w:rPr>
          <w:color w:val="000000"/>
        </w:rPr>
        <w:t xml:space="preserve">The ANOVA results for M:O molar ratio with p-value less than 0.0001 indicates that it has highly significant effect on biodiesel yield. Figure 2 illustrates a </w:t>
      </w:r>
      <w:r>
        <w:rPr>
          <w:color w:val="000000"/>
        </w:rPr>
        <w:t>3-D</w:t>
      </w:r>
      <w:r w:rsidR="003D372E">
        <w:rPr>
          <w:color w:val="000000"/>
        </w:rPr>
        <w:t xml:space="preserve"> plot for M:O molar ratio and temperature verses biodiesel yield where the other two variables</w:t>
      </w:r>
      <w:r>
        <w:rPr>
          <w:color w:val="000000"/>
        </w:rPr>
        <w:t>,</w:t>
      </w:r>
      <w:r w:rsidR="003D372E">
        <w:rPr>
          <w:color w:val="000000"/>
        </w:rPr>
        <w:t xml:space="preserve"> i.e. pressure and time</w:t>
      </w:r>
      <w:r>
        <w:rPr>
          <w:color w:val="000000"/>
        </w:rPr>
        <w:t>,</w:t>
      </w:r>
      <w:r w:rsidR="003D372E">
        <w:rPr>
          <w:color w:val="000000"/>
        </w:rPr>
        <w:t xml:space="preserve"> are kept constant at their centre points.  </w:t>
      </w:r>
      <w:r w:rsidR="00344F30">
        <w:rPr>
          <w:color w:val="000000"/>
        </w:rPr>
        <w:t xml:space="preserve">At constant temperature </w:t>
      </w:r>
      <w:r w:rsidR="00932B35">
        <w:rPr>
          <w:color w:val="000000"/>
        </w:rPr>
        <w:t xml:space="preserve">of </w:t>
      </w:r>
      <w:r w:rsidR="003D372E">
        <w:rPr>
          <w:color w:val="000000"/>
        </w:rPr>
        <w:t>250</w:t>
      </w:r>
      <w:r w:rsidR="003D372E">
        <w:rPr>
          <w:color w:val="000000"/>
          <w:vertAlign w:val="superscript"/>
        </w:rPr>
        <w:t>o</w:t>
      </w:r>
      <w:r w:rsidR="003D372E">
        <w:rPr>
          <w:color w:val="000000"/>
        </w:rPr>
        <w:t>C, it is clearly shown that there is a direct proportional relationship between M:O molar ratio and biodiesel yield. However, at higher temperatures</w:t>
      </w:r>
      <w:r w:rsidR="00D820EB">
        <w:rPr>
          <w:color w:val="000000"/>
        </w:rPr>
        <w:t xml:space="preserve"> its effect</w:t>
      </w:r>
      <w:r w:rsidR="003D372E">
        <w:rPr>
          <w:color w:val="000000"/>
        </w:rPr>
        <w:t xml:space="preserve"> decrease</w:t>
      </w:r>
      <w:r w:rsidR="00D820EB">
        <w:rPr>
          <w:color w:val="000000"/>
        </w:rPr>
        <w:t xml:space="preserve">s </w:t>
      </w:r>
      <w:r w:rsidR="004C44B5">
        <w:rPr>
          <w:color w:val="000000"/>
        </w:rPr>
        <w:t>to constant at 260</w:t>
      </w:r>
      <w:r w:rsidR="004C44B5">
        <w:rPr>
          <w:color w:val="000000"/>
          <w:vertAlign w:val="superscript"/>
        </w:rPr>
        <w:t>o</w:t>
      </w:r>
      <w:r w:rsidR="004C44B5">
        <w:rPr>
          <w:color w:val="000000"/>
        </w:rPr>
        <w:t xml:space="preserve">C reaching negative effect at higher temperatures. </w:t>
      </w:r>
    </w:p>
    <w:p w:rsidR="004C44B5" w:rsidRDefault="004C44B5" w:rsidP="004C44B5">
      <w:pPr>
        <w:pStyle w:val="Heading3"/>
      </w:pPr>
      <w:r>
        <w:lastRenderedPageBreak/>
        <w:t xml:space="preserve">Effect of </w:t>
      </w:r>
      <w:r w:rsidR="00641E32">
        <w:t xml:space="preserve">reaction </w:t>
      </w:r>
      <w:r>
        <w:t xml:space="preserve">temperature </w:t>
      </w:r>
    </w:p>
    <w:p w:rsidR="00C17366" w:rsidRDefault="007D6F2D" w:rsidP="00C17366">
      <w:pPr>
        <w:pStyle w:val="BodyText"/>
        <w:rPr>
          <w:color w:val="000000"/>
        </w:rPr>
      </w:pPr>
      <w:r>
        <w:t>Reaction t</w:t>
      </w:r>
      <w:r w:rsidR="00C17366">
        <w:t>emperature is an important parameter for supercritical production of biodiesel</w:t>
      </w:r>
      <w:r>
        <w:t>. Since the critical temperature of methanol is 240</w:t>
      </w:r>
      <w:r>
        <w:rPr>
          <w:color w:val="000000"/>
          <w:vertAlign w:val="superscript"/>
        </w:rPr>
        <w:t>o</w:t>
      </w:r>
      <w:r>
        <w:rPr>
          <w:color w:val="000000"/>
        </w:rPr>
        <w:t>C, the studied temperatures range</w:t>
      </w:r>
      <w:r w:rsidR="00932B35">
        <w:rPr>
          <w:color w:val="000000"/>
        </w:rPr>
        <w:t>s</w:t>
      </w:r>
      <w:r>
        <w:rPr>
          <w:color w:val="000000"/>
        </w:rPr>
        <w:t xml:space="preserve"> have been chosen between 250</w:t>
      </w:r>
      <w:r>
        <w:rPr>
          <w:color w:val="000000"/>
          <w:vertAlign w:val="superscript"/>
        </w:rPr>
        <w:t>o</w:t>
      </w:r>
      <w:r>
        <w:rPr>
          <w:color w:val="000000"/>
        </w:rPr>
        <w:t>C and 270</w:t>
      </w:r>
      <w:r>
        <w:rPr>
          <w:color w:val="000000"/>
          <w:vertAlign w:val="superscript"/>
        </w:rPr>
        <w:t>o</w:t>
      </w:r>
      <w:r>
        <w:rPr>
          <w:color w:val="000000"/>
        </w:rPr>
        <w:t xml:space="preserve">C. It has been concluded from the ANOVA results that reaction temperature has significant </w:t>
      </w:r>
      <w:r w:rsidR="00BF118B">
        <w:rPr>
          <w:color w:val="000000"/>
        </w:rPr>
        <w:t xml:space="preserve">effect on biodiesel yield with p-value less than 0.0001. </w:t>
      </w:r>
      <w:r>
        <w:rPr>
          <w:color w:val="000000"/>
        </w:rPr>
        <w:t xml:space="preserve">Figure 2 demonstrates the effect of temperature on biodiesel yield where the relation showed increase of biodiesel yield while increasing temperature at low M:O molar ratio range. </w:t>
      </w:r>
      <w:r w:rsidR="00932B35">
        <w:rPr>
          <w:color w:val="000000"/>
        </w:rPr>
        <w:t>The</w:t>
      </w:r>
      <w:r>
        <w:rPr>
          <w:color w:val="000000"/>
        </w:rPr>
        <w:t xml:space="preserve"> temperature has negative effect </w:t>
      </w:r>
      <w:r w:rsidR="00932B35">
        <w:rPr>
          <w:color w:val="000000"/>
        </w:rPr>
        <w:t>with an increase</w:t>
      </w:r>
      <w:r>
        <w:rPr>
          <w:color w:val="000000"/>
        </w:rPr>
        <w:t xml:space="preserve"> M:O molar ratio.</w:t>
      </w:r>
    </w:p>
    <w:p w:rsidR="00880ECC" w:rsidRDefault="001253F1" w:rsidP="00C17366">
      <w:pPr>
        <w:pStyle w:val="BodyText"/>
      </w:pPr>
      <w:r>
        <w:pict>
          <v:shape id="_x0000_i1027" type="#_x0000_t75" style="width:235.5pt;height:176.25pt">
            <v:imagedata r:id="rId11" o:title=""/>
          </v:shape>
        </w:pict>
      </w:r>
    </w:p>
    <w:p w:rsidR="00880ECC" w:rsidRDefault="00641E32" w:rsidP="00880ECC">
      <w:pPr>
        <w:pStyle w:val="FigureHeading"/>
      </w:pPr>
      <w:r>
        <w:t>Figure 2</w:t>
      </w:r>
      <w:r w:rsidR="00880ECC">
        <w:t xml:space="preserve">. </w:t>
      </w:r>
      <w:r>
        <w:t xml:space="preserve">3-D </w:t>
      </w:r>
      <w:r w:rsidR="00EA6D99">
        <w:t xml:space="preserve">Plot Showing the Effect of </w:t>
      </w:r>
      <w:r>
        <w:t>M</w:t>
      </w:r>
      <w:proofErr w:type="gramStart"/>
      <w:r w:rsidR="00EA6D99">
        <w:t>:</w:t>
      </w:r>
      <w:r>
        <w:t>O</w:t>
      </w:r>
      <w:proofErr w:type="gramEnd"/>
      <w:r>
        <w:t xml:space="preserve"> </w:t>
      </w:r>
      <w:r w:rsidR="00EA6D99">
        <w:t>Molar Ratio and Temperature on Yield</w:t>
      </w:r>
    </w:p>
    <w:p w:rsidR="00880ECC" w:rsidRPr="00C17366" w:rsidRDefault="00880ECC" w:rsidP="00880ECC">
      <w:pPr>
        <w:pStyle w:val="FigureHeading"/>
      </w:pPr>
    </w:p>
    <w:p w:rsidR="005867D3" w:rsidRDefault="007D6F2D" w:rsidP="007D6F2D">
      <w:pPr>
        <w:pStyle w:val="Heading3"/>
      </w:pPr>
      <w:r>
        <w:t xml:space="preserve">Effect of </w:t>
      </w:r>
      <w:r w:rsidR="00641E32">
        <w:t xml:space="preserve">reaction </w:t>
      </w:r>
      <w:r>
        <w:t>pressure</w:t>
      </w:r>
    </w:p>
    <w:p w:rsidR="007D6F2D" w:rsidRDefault="00BF118B" w:rsidP="007D6F2D">
      <w:pPr>
        <w:pStyle w:val="BodyText"/>
      </w:pPr>
      <w:r>
        <w:t xml:space="preserve">Carbon dioxide gas has been used to pressurise the reaction to the targeted pressure using </w:t>
      </w:r>
      <w:r w:rsidR="00932B35">
        <w:t xml:space="preserve">a </w:t>
      </w:r>
      <w:r w:rsidR="005B17BB">
        <w:t>high-pressure</w:t>
      </w:r>
      <w:r>
        <w:t xml:space="preserve"> pump. In addition, carbon dioxide acts as a co-solvent where it enhances the solubility of methanol in oil</w:t>
      </w:r>
      <w:r w:rsidR="00D6178C">
        <w:t xml:space="preserve"> </w:t>
      </w:r>
      <w:r w:rsidR="001253F1">
        <w:fldChar w:fldCharType="begin" w:fldLock="1"/>
      </w:r>
      <w:r w:rsidR="00D6178C">
        <w:instrText>ADDIN CSL_CITATION { "citationItems" : [ { "id" : "ITEM-1", "itemData" : { "DOI" : "10.1016/j.procbio.2005.03.014", "ISSN" : "13595113", "abstract" : "Transesterification of soybean oil in supercritical methanol has been carried out in the absence of catalyst. A co-solvent was added to the reaction mixture in order to decrease the operating temperature, pressure and molar ratio of alcohol to vegetable oil. With CO2 as co-solvent in the reaction system, there was a significant decrease in the severity of the conditions required for supercritical reaction. It was demonstrated that, with an optimal reaction temperature of 280\u00b0C, methanol to oil ratio of 24 and CO2 to methanol ratio of 0.1, a 98% yield of methyl esters (biodiesel) was observed in 10min at a reaction pressure of 14.3MPa, which makes the production of biodiesel using supercritical methanol viable as an industrial process. Furthermore, the production process is environmentally friendly.", "author" : [ { "dropping-particle" : "", "family" : "Han", "given" : "Hengwen", "non-dropping-particle" : "", "parse-names" : false, "suffix" : "" }, { "dropping-particle" : "", "family" : "Cao", "given" : "Weiliang", "non-dropping-particle" : "", "parse-names" : false, "suffix" : "" }, { "dropping-particle" : "", "family" : "Zhang", "given" : "Jingchang", "non-dropping-particle" : "", "parse-names" : false, "suffix" : "" } ], "container-title" : "Process Biochemistry", "id" : "ITEM-1", "issue" : "9", "issued" : { "date-parts" : [ [ "2005" ] ] }, "page" : "3148-3151", "title" : "Preparation of biodiesel from soybean oil using supercritical methanol and CO2 as co-solvent", "type" : "article-journal", "volume" : "40" }, "uris" : [ "http://www.mendeley.com/documents/?uuid=ddc9e592-04eb-3065-a385-ca69ea59e20d" ] } ], "mendeley" : { "formattedCitation" : "[7]", "plainTextFormattedCitation" : "[7]" }, "properties" : { "noteIndex" : 0 }, "schema" : "https://github.com/citation-style-language/schema/raw/master/csl-citation.json" }</w:instrText>
      </w:r>
      <w:r w:rsidR="001253F1">
        <w:fldChar w:fldCharType="separate"/>
      </w:r>
      <w:r w:rsidR="00D6178C" w:rsidRPr="00D6178C">
        <w:rPr>
          <w:noProof/>
        </w:rPr>
        <w:t>[7]</w:t>
      </w:r>
      <w:r w:rsidR="001253F1">
        <w:fldChar w:fldCharType="end"/>
      </w:r>
      <w:r>
        <w:t xml:space="preserve">. According to the ANOVA </w:t>
      </w:r>
      <w:r w:rsidR="00880ECC">
        <w:t xml:space="preserve">results, reaction pressure showed highly significant effect on biodiesel yield. </w:t>
      </w:r>
      <w:r w:rsidR="00641E32">
        <w:t xml:space="preserve">As shown in Figure 3 the pressure has inversely proportional relationship with </w:t>
      </w:r>
      <w:r w:rsidR="005B17BB">
        <w:t xml:space="preserve">the </w:t>
      </w:r>
      <w:r w:rsidR="00641E32">
        <w:t xml:space="preserve">yield from pressure range of 110 bar to 130 bar then, the yield increases slightly by increasing the pressure more than 130 bar. </w:t>
      </w:r>
    </w:p>
    <w:p w:rsidR="00641E32" w:rsidRDefault="00641E32" w:rsidP="00641E32">
      <w:pPr>
        <w:pStyle w:val="Heading3"/>
      </w:pPr>
      <w:r>
        <w:t>Effect of reaction time</w:t>
      </w:r>
    </w:p>
    <w:p w:rsidR="007D6F2D" w:rsidRDefault="00691EDF" w:rsidP="0000179F">
      <w:pPr>
        <w:pStyle w:val="BodyText"/>
      </w:pPr>
      <w:r>
        <w:t>According to the ANOVA results, reaction time showed significant effect on biodiesel yield with p-value of 0.005. This significance effe</w:t>
      </w:r>
      <w:r w:rsidR="00FA6CDC">
        <w:t>ct is clearly shown in Figure 3,</w:t>
      </w:r>
      <w:r>
        <w:t xml:space="preserve"> </w:t>
      </w:r>
      <w:r w:rsidR="0000179F">
        <w:t>w</w:t>
      </w:r>
      <w:r>
        <w:t xml:space="preserve">here </w:t>
      </w:r>
      <w:r w:rsidR="00911180">
        <w:t>increasing time has negative</w:t>
      </w:r>
      <w:r w:rsidR="00FA6CDC">
        <w:t xml:space="preserve"> effect</w:t>
      </w:r>
      <w:r w:rsidR="00911180">
        <w:t xml:space="preserve"> on biodiesel yield from </w:t>
      </w:r>
      <w:r w:rsidR="0000179F">
        <w:t xml:space="preserve">time range </w:t>
      </w:r>
      <w:r w:rsidR="00FA6CDC">
        <w:t>between 12 min to 16 min. R</w:t>
      </w:r>
      <w:r w:rsidR="0000179F">
        <w:t xml:space="preserve">eaction time </w:t>
      </w:r>
      <w:r w:rsidR="0000179F">
        <w:lastRenderedPageBreak/>
        <w:t xml:space="preserve">more than 16 min has no effect on biodiesel yield. </w:t>
      </w:r>
    </w:p>
    <w:p w:rsidR="0000179F" w:rsidRDefault="0000179F" w:rsidP="0000179F">
      <w:pPr>
        <w:pStyle w:val="BodyText"/>
      </w:pPr>
    </w:p>
    <w:p w:rsidR="005867D3" w:rsidRPr="0000179F" w:rsidRDefault="001253F1" w:rsidP="0000179F">
      <w:pPr>
        <w:pStyle w:val="BodyText"/>
      </w:pPr>
      <w:r>
        <w:pict>
          <v:shape id="_x0000_i1028" type="#_x0000_t75" style="width:236.25pt;height:177pt">
            <v:imagedata r:id="rId12" o:title=""/>
          </v:shape>
        </w:pict>
      </w:r>
    </w:p>
    <w:p w:rsidR="00AB23CF" w:rsidRDefault="00D6178C" w:rsidP="00AB23CF">
      <w:pPr>
        <w:pStyle w:val="FigureHeading"/>
      </w:pPr>
      <w:r>
        <w:t>Figure 3</w:t>
      </w:r>
      <w:r w:rsidR="00AB23CF">
        <w:t xml:space="preserve">. 3-D </w:t>
      </w:r>
      <w:r w:rsidR="00EA6D99">
        <w:t>Plot Showing the Effect of Pressure and Time on Yield</w:t>
      </w:r>
    </w:p>
    <w:p w:rsidR="00AB23CF" w:rsidRDefault="00AB23CF" w:rsidP="00AB23CF">
      <w:pPr>
        <w:pStyle w:val="Heading2"/>
        <w:numPr>
          <w:ilvl w:val="0"/>
          <w:numId w:val="0"/>
        </w:numPr>
      </w:pPr>
    </w:p>
    <w:p w:rsidR="0000179F" w:rsidRPr="0000179F" w:rsidRDefault="0000179F" w:rsidP="0000179F">
      <w:pPr>
        <w:pStyle w:val="Heading2"/>
      </w:pPr>
      <w:r>
        <w:t>Optimisation of reaction conditions</w:t>
      </w:r>
    </w:p>
    <w:p w:rsidR="000D5B7A" w:rsidRDefault="0000179F" w:rsidP="005B17BB">
      <w:pPr>
        <w:pStyle w:val="TAMainText"/>
        <w:spacing w:line="240" w:lineRule="auto"/>
        <w:ind w:firstLine="0"/>
        <w:rPr>
          <w:rFonts w:ascii="Times New Roman" w:hAnsi="Times New Roman"/>
          <w:color w:val="000000"/>
        </w:rPr>
      </w:pPr>
      <w:r>
        <w:rPr>
          <w:rFonts w:ascii="Times New Roman" w:hAnsi="Times New Roman"/>
          <w:bCs/>
          <w:color w:val="000000"/>
          <w:lang w:eastAsia="en-US"/>
        </w:rPr>
        <w:t xml:space="preserve">Optimisation of </w:t>
      </w:r>
      <w:r w:rsidR="005F6B39">
        <w:rPr>
          <w:rFonts w:ascii="Times New Roman" w:hAnsi="Times New Roman"/>
          <w:bCs/>
          <w:color w:val="000000"/>
          <w:lang w:eastAsia="en-US"/>
        </w:rPr>
        <w:t xml:space="preserve">supercritical methanol production of biodiesel has been studied to conclude the optimum values of the </w:t>
      </w:r>
      <w:r w:rsidR="005F6B39" w:rsidRPr="005F6B39">
        <w:rPr>
          <w:rFonts w:ascii="Times New Roman" w:hAnsi="Times New Roman"/>
          <w:bCs/>
          <w:color w:val="000000"/>
        </w:rPr>
        <w:t>independent variables (M:O molar</w:t>
      </w:r>
      <w:r w:rsidR="005F6B39" w:rsidRPr="005F6B39">
        <w:rPr>
          <w:rFonts w:ascii="Times New Roman" w:hAnsi="Times New Roman"/>
          <w:color w:val="000000"/>
        </w:rPr>
        <w:t xml:space="preserve"> ratio, temperature, pressure and time) affecting the dependant response variable</w:t>
      </w:r>
      <w:r w:rsidR="005F6B39">
        <w:rPr>
          <w:rFonts w:ascii="Times New Roman" w:hAnsi="Times New Roman"/>
          <w:color w:val="000000"/>
        </w:rPr>
        <w:t>s</w:t>
      </w:r>
      <w:r w:rsidR="005F6B39" w:rsidRPr="005F6B39">
        <w:rPr>
          <w:rFonts w:ascii="Times New Roman" w:hAnsi="Times New Roman"/>
          <w:color w:val="000000"/>
        </w:rPr>
        <w:t xml:space="preserve"> (biodiesel</w:t>
      </w:r>
      <w:r w:rsidR="005F6B39">
        <w:rPr>
          <w:rFonts w:ascii="Times New Roman" w:hAnsi="Times New Roman"/>
          <w:color w:val="000000"/>
        </w:rPr>
        <w:t xml:space="preserve"> and glycerol</w:t>
      </w:r>
      <w:r w:rsidR="005F6B39" w:rsidRPr="005F6B39">
        <w:rPr>
          <w:rFonts w:ascii="Times New Roman" w:hAnsi="Times New Roman"/>
          <w:color w:val="000000"/>
        </w:rPr>
        <w:t xml:space="preserve"> yield</w:t>
      </w:r>
      <w:r w:rsidR="005F6B39">
        <w:rPr>
          <w:rFonts w:ascii="Times New Roman" w:hAnsi="Times New Roman"/>
          <w:color w:val="000000"/>
        </w:rPr>
        <w:t>s</w:t>
      </w:r>
      <w:r w:rsidR="005F6B39" w:rsidRPr="005F6B39">
        <w:rPr>
          <w:rFonts w:ascii="Times New Roman" w:hAnsi="Times New Roman"/>
          <w:color w:val="000000"/>
        </w:rPr>
        <w:t>).</w:t>
      </w:r>
      <w:r w:rsidR="005F6B39">
        <w:rPr>
          <w:rFonts w:ascii="Times New Roman" w:hAnsi="Times New Roman"/>
          <w:color w:val="000000"/>
        </w:rPr>
        <w:t xml:space="preserve"> Numerical optimisation technique has been carried out using Design Expert software. In order to conclude the optimum conditions, a set of targets must be defined on the software to guide the optimisation process. </w:t>
      </w:r>
      <w:r w:rsidR="00FA6DB7">
        <w:rPr>
          <w:rFonts w:ascii="Times New Roman" w:hAnsi="Times New Roman"/>
          <w:color w:val="000000"/>
        </w:rPr>
        <w:t xml:space="preserve">Targets of the independent variables have been set based on environmental and economic considerations. </w:t>
      </w:r>
      <w:r w:rsidR="000D5B7A">
        <w:rPr>
          <w:rFonts w:ascii="Times New Roman" w:hAnsi="Times New Roman"/>
          <w:color w:val="000000"/>
        </w:rPr>
        <w:t xml:space="preserve">Reaction temperature, pressure and time have been set to be minimised in order to </w:t>
      </w:r>
      <w:r w:rsidR="001A0AC8">
        <w:rPr>
          <w:rFonts w:ascii="Times New Roman" w:hAnsi="Times New Roman"/>
          <w:color w:val="000000"/>
        </w:rPr>
        <w:t xml:space="preserve">optimise </w:t>
      </w:r>
      <w:r w:rsidR="000D5B7A">
        <w:rPr>
          <w:rFonts w:ascii="Times New Roman" w:hAnsi="Times New Roman"/>
          <w:color w:val="000000"/>
        </w:rPr>
        <w:t xml:space="preserve"> energy consumption. Responses targets </w:t>
      </w:r>
      <w:r w:rsidR="005B17BB">
        <w:rPr>
          <w:rFonts w:ascii="Times New Roman" w:hAnsi="Times New Roman"/>
          <w:color w:val="000000"/>
        </w:rPr>
        <w:t>have been</w:t>
      </w:r>
      <w:r w:rsidR="000D5B7A">
        <w:rPr>
          <w:rFonts w:ascii="Times New Roman" w:hAnsi="Times New Roman"/>
          <w:color w:val="000000"/>
        </w:rPr>
        <w:t xml:space="preserve"> set to maximise the biodiesel yield while minimising glycerol yield. </w:t>
      </w:r>
    </w:p>
    <w:p w:rsidR="00D705FF" w:rsidRDefault="005B17BB" w:rsidP="002B2535">
      <w:pPr>
        <w:pStyle w:val="TAMainText"/>
        <w:spacing w:line="240" w:lineRule="auto"/>
        <w:ind w:firstLine="0"/>
        <w:rPr>
          <w:rFonts w:ascii="Times New Roman" w:hAnsi="Times New Roman"/>
          <w:color w:val="000000"/>
        </w:rPr>
      </w:pPr>
      <w:r>
        <w:rPr>
          <w:rFonts w:ascii="Times New Roman" w:hAnsi="Times New Roman"/>
          <w:color w:val="000000"/>
        </w:rPr>
        <w:t>The</w:t>
      </w:r>
      <w:r w:rsidR="000D5B7A">
        <w:rPr>
          <w:rFonts w:ascii="Times New Roman" w:hAnsi="Times New Roman"/>
          <w:color w:val="000000"/>
        </w:rPr>
        <w:t xml:space="preserve"> numerical optimisation technique has concluded that according to the set goals </w:t>
      </w:r>
      <w:r w:rsidR="00593344">
        <w:rPr>
          <w:rFonts w:ascii="Times New Roman" w:hAnsi="Times New Roman"/>
          <w:color w:val="000000"/>
        </w:rPr>
        <w:t>the optimum conditions for</w:t>
      </w:r>
      <w:r w:rsidR="00FA6DB7">
        <w:rPr>
          <w:rFonts w:ascii="Times New Roman" w:hAnsi="Times New Roman"/>
          <w:color w:val="000000"/>
        </w:rPr>
        <w:t xml:space="preserve"> </w:t>
      </w:r>
      <w:r w:rsidR="00593344">
        <w:rPr>
          <w:rFonts w:ascii="Times New Roman" w:hAnsi="Times New Roman"/>
          <w:color w:val="000000"/>
        </w:rPr>
        <w:t xml:space="preserve">production of biodiesel is at </w:t>
      </w:r>
      <w:r w:rsidR="0092548B">
        <w:rPr>
          <w:rFonts w:ascii="Times New Roman" w:hAnsi="Times New Roman"/>
          <w:color w:val="000000"/>
        </w:rPr>
        <w:t>25:1, 265</w:t>
      </w:r>
      <w:r w:rsidR="0092548B" w:rsidRPr="0092548B">
        <w:rPr>
          <w:rFonts w:ascii="Times New Roman" w:hAnsi="Times New Roman"/>
          <w:color w:val="000000"/>
          <w:vertAlign w:val="superscript"/>
        </w:rPr>
        <w:t>o</w:t>
      </w:r>
      <w:r w:rsidR="0092548B">
        <w:rPr>
          <w:rFonts w:ascii="Times New Roman" w:hAnsi="Times New Roman"/>
          <w:color w:val="000000"/>
        </w:rPr>
        <w:t>C, 110 and 20 minutes for M:O molar ratio, temperature, pressure and time, respectively. These optimum conditions has concluded biodiesel yield of 98% and glycerol yield of 2.1%.</w:t>
      </w:r>
    </w:p>
    <w:p w:rsidR="00D705FF" w:rsidRPr="00D705FF" w:rsidRDefault="003F0BB9" w:rsidP="00D705FF">
      <w:pPr>
        <w:pStyle w:val="Heading2"/>
      </w:pPr>
      <w:r>
        <w:t xml:space="preserve">Optimum conditions validation </w:t>
      </w:r>
    </w:p>
    <w:p w:rsidR="0000179F" w:rsidRDefault="005C1697" w:rsidP="000A3248">
      <w:pPr>
        <w:pStyle w:val="TAMainText"/>
        <w:spacing w:line="240" w:lineRule="auto"/>
        <w:ind w:firstLine="0"/>
        <w:contextualSpacing/>
        <w:rPr>
          <w:rFonts w:ascii="Times New Roman" w:hAnsi="Times New Roman"/>
          <w:color w:val="000000"/>
        </w:rPr>
      </w:pPr>
      <w:r>
        <w:rPr>
          <w:rFonts w:ascii="Times New Roman" w:hAnsi="Times New Roman"/>
          <w:bCs/>
          <w:color w:val="000000"/>
        </w:rPr>
        <w:t>In order to validate the efficiency of the predicted model and it</w:t>
      </w:r>
      <w:r w:rsidR="001A0AC8">
        <w:rPr>
          <w:rFonts w:ascii="Times New Roman" w:hAnsi="Times New Roman"/>
          <w:bCs/>
          <w:color w:val="000000"/>
        </w:rPr>
        <w:t>’</w:t>
      </w:r>
      <w:r>
        <w:rPr>
          <w:rFonts w:ascii="Times New Roman" w:hAnsi="Times New Roman"/>
          <w:bCs/>
          <w:color w:val="000000"/>
        </w:rPr>
        <w:t xml:space="preserve">s predicted optimum conditions, experiments have been performed at </w:t>
      </w:r>
      <w:r w:rsidR="001A0AC8">
        <w:rPr>
          <w:rFonts w:ascii="Times New Roman" w:hAnsi="Times New Roman"/>
          <w:bCs/>
          <w:color w:val="000000"/>
        </w:rPr>
        <w:t xml:space="preserve">the </w:t>
      </w:r>
      <w:r w:rsidR="000A3248">
        <w:rPr>
          <w:rFonts w:ascii="Times New Roman" w:hAnsi="Times New Roman"/>
          <w:bCs/>
          <w:color w:val="000000"/>
        </w:rPr>
        <w:t xml:space="preserve">concluded </w:t>
      </w:r>
      <w:r>
        <w:rPr>
          <w:rFonts w:ascii="Times New Roman" w:hAnsi="Times New Roman"/>
          <w:bCs/>
          <w:color w:val="000000"/>
        </w:rPr>
        <w:t>optimum conditions.</w:t>
      </w:r>
      <w:r w:rsidR="000A3248">
        <w:rPr>
          <w:rFonts w:ascii="Times New Roman" w:hAnsi="Times New Roman"/>
          <w:bCs/>
          <w:color w:val="000000"/>
        </w:rPr>
        <w:t xml:space="preserve"> </w:t>
      </w:r>
      <w:r w:rsidR="00776282" w:rsidRPr="00776282">
        <w:rPr>
          <w:rFonts w:ascii="Times New Roman" w:hAnsi="Times New Roman"/>
          <w:color w:val="000000"/>
        </w:rPr>
        <w:t xml:space="preserve">The </w:t>
      </w:r>
      <w:r w:rsidR="00776282" w:rsidRPr="00776282">
        <w:rPr>
          <w:rFonts w:ascii="Times New Roman" w:hAnsi="Times New Roman"/>
          <w:color w:val="000000"/>
        </w:rPr>
        <w:lastRenderedPageBreak/>
        <w:t>experimental results showed similar response value to the predicted optimal response of 9</w:t>
      </w:r>
      <w:r w:rsidR="000A3248">
        <w:rPr>
          <w:rFonts w:ascii="Times New Roman" w:hAnsi="Times New Roman"/>
          <w:color w:val="000000"/>
        </w:rPr>
        <w:t>8.82% with relative error of 0.83</w:t>
      </w:r>
      <w:r w:rsidR="00776282" w:rsidRPr="00776282">
        <w:rPr>
          <w:rFonts w:ascii="Times New Roman" w:hAnsi="Times New Roman"/>
          <w:color w:val="000000"/>
        </w:rPr>
        <w:t>%. The similarity between the experimental response results and the predicted optimal response confirms and verifies the accuracy and adequacy of the predicted quadratic model.</w:t>
      </w:r>
    </w:p>
    <w:p w:rsidR="00F3463E" w:rsidRDefault="00F3463E" w:rsidP="000A3248">
      <w:pPr>
        <w:pStyle w:val="TAMainText"/>
        <w:spacing w:line="240" w:lineRule="auto"/>
        <w:ind w:firstLine="0"/>
        <w:contextualSpacing/>
        <w:rPr>
          <w:rFonts w:ascii="Times New Roman" w:hAnsi="Times New Roman"/>
          <w:color w:val="000000"/>
        </w:rPr>
      </w:pPr>
    </w:p>
    <w:p w:rsidR="00F3463E" w:rsidRPr="00D705FF" w:rsidRDefault="00F3463E" w:rsidP="00F3463E">
      <w:pPr>
        <w:pStyle w:val="Heading2"/>
      </w:pPr>
      <w:r>
        <w:t xml:space="preserve">Physicochemical properties </w:t>
      </w:r>
    </w:p>
    <w:p w:rsidR="00F3463E" w:rsidRDefault="00AA2A7A" w:rsidP="00F3463E">
      <w:pPr>
        <w:pStyle w:val="TAMainText"/>
        <w:spacing w:line="240" w:lineRule="auto"/>
        <w:ind w:firstLine="0"/>
        <w:contextualSpacing/>
        <w:rPr>
          <w:rFonts w:ascii="Times New Roman" w:hAnsi="Times New Roman"/>
          <w:color w:val="000000"/>
        </w:rPr>
      </w:pPr>
      <w:r>
        <w:rPr>
          <w:rFonts w:ascii="Times New Roman" w:hAnsi="Times New Roman"/>
          <w:bCs/>
          <w:color w:val="000000"/>
        </w:rPr>
        <w:t xml:space="preserve">The </w:t>
      </w:r>
      <w:r w:rsidR="002972D5">
        <w:rPr>
          <w:rFonts w:ascii="Times New Roman" w:hAnsi="Times New Roman"/>
          <w:bCs/>
          <w:color w:val="000000"/>
        </w:rPr>
        <w:t xml:space="preserve">physicochemical properties of the final biodiesel product have been analysed and compared to the </w:t>
      </w:r>
      <w:r w:rsidR="002972D5" w:rsidRPr="002972D5">
        <w:rPr>
          <w:rFonts w:ascii="Times New Roman" w:hAnsi="Times New Roman"/>
          <w:color w:val="000000"/>
        </w:rPr>
        <w:t>European Biodiesel Standard, EN14214.</w:t>
      </w:r>
      <w:r w:rsidR="001A0AC8">
        <w:rPr>
          <w:rFonts w:ascii="Times New Roman" w:hAnsi="Times New Roman"/>
          <w:color w:val="000000"/>
        </w:rPr>
        <w:t xml:space="preserve"> Table 3. shows</w:t>
      </w:r>
      <w:r w:rsidR="002972D5">
        <w:rPr>
          <w:rFonts w:ascii="Times New Roman" w:hAnsi="Times New Roman"/>
          <w:color w:val="000000"/>
        </w:rPr>
        <w:t xml:space="preserve"> the concluded properties in comparison with the standard limits of EN14214.</w:t>
      </w:r>
      <w:r w:rsidR="001A0AC8">
        <w:rPr>
          <w:rFonts w:ascii="Times New Roman" w:hAnsi="Times New Roman"/>
          <w:color w:val="000000"/>
        </w:rPr>
        <w:t xml:space="preserve"> The agreement of the biodiesel’s properties with the biodiesel standard properties </w:t>
      </w:r>
      <w:r w:rsidR="002972D5">
        <w:rPr>
          <w:rFonts w:ascii="Times New Roman" w:hAnsi="Times New Roman"/>
          <w:color w:val="000000"/>
        </w:rPr>
        <w:t xml:space="preserve">insures the quality of the produced biodiesel. </w:t>
      </w:r>
    </w:p>
    <w:p w:rsidR="002972D5" w:rsidRPr="000B4938" w:rsidRDefault="000B4938" w:rsidP="000B4938">
      <w:pPr>
        <w:pStyle w:val="TableHeading"/>
      </w:pPr>
      <w:r>
        <w:t xml:space="preserve">Table 3. Produced </w:t>
      </w:r>
      <w:r w:rsidR="00EA6D99">
        <w:t>Biodiesel Properties</w:t>
      </w:r>
    </w:p>
    <w:tbl>
      <w:tblPr>
        <w:tblW w:w="47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809"/>
        <w:gridCol w:w="1160"/>
        <w:gridCol w:w="1314"/>
      </w:tblGrid>
      <w:tr w:rsidR="00511797" w:rsidRPr="00857AB7" w:rsidTr="00511797">
        <w:trPr>
          <w:trHeight w:val="718"/>
        </w:trPr>
        <w:tc>
          <w:tcPr>
            <w:tcW w:w="1428"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Test</w:t>
            </w:r>
          </w:p>
        </w:tc>
        <w:tc>
          <w:tcPr>
            <w:tcW w:w="809"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Unit</w:t>
            </w:r>
          </w:p>
        </w:tc>
        <w:tc>
          <w:tcPr>
            <w:tcW w:w="1160"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Produced biodiesel</w:t>
            </w:r>
          </w:p>
        </w:tc>
        <w:tc>
          <w:tcPr>
            <w:tcW w:w="1314" w:type="dxa"/>
            <w:shd w:val="clear" w:color="auto" w:fill="auto"/>
            <w:hideMark/>
          </w:tcPr>
          <w:p w:rsidR="002972D5" w:rsidRDefault="002972D5" w:rsidP="00511797">
            <w:pPr>
              <w:autoSpaceDE w:val="0"/>
              <w:autoSpaceDN w:val="0"/>
              <w:adjustRightInd w:val="0"/>
              <w:spacing w:line="276" w:lineRule="auto"/>
              <w:rPr>
                <w:color w:val="000000"/>
                <w:lang w:val="en-US"/>
              </w:rPr>
            </w:pPr>
            <w:r w:rsidRPr="00511797">
              <w:rPr>
                <w:color w:val="000000"/>
                <w:lang w:val="en-US"/>
              </w:rPr>
              <w:t>Biodiesel (EN14214)</w:t>
            </w:r>
          </w:p>
          <w:p w:rsidR="005B17BB" w:rsidRPr="00511797" w:rsidRDefault="005B17BB" w:rsidP="00511797">
            <w:pPr>
              <w:autoSpaceDE w:val="0"/>
              <w:autoSpaceDN w:val="0"/>
              <w:adjustRightInd w:val="0"/>
              <w:spacing w:line="276" w:lineRule="auto"/>
              <w:rPr>
                <w:color w:val="000000"/>
                <w:lang w:val="en-US"/>
              </w:rPr>
            </w:pPr>
            <w:r>
              <w:rPr>
                <w:color w:val="000000"/>
                <w:lang w:val="en-US"/>
              </w:rPr>
              <w:t>Standard</w:t>
            </w:r>
          </w:p>
        </w:tc>
      </w:tr>
      <w:tr w:rsidR="00511797" w:rsidRPr="00857AB7" w:rsidTr="00511797">
        <w:trPr>
          <w:trHeight w:val="435"/>
        </w:trPr>
        <w:tc>
          <w:tcPr>
            <w:tcW w:w="1428"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Density at 15</w:t>
            </w:r>
            <w:r w:rsidRPr="00511797">
              <w:rPr>
                <w:color w:val="000000"/>
                <w:vertAlign w:val="superscript"/>
                <w:lang w:val="en-US"/>
              </w:rPr>
              <w:t>o</w:t>
            </w:r>
            <w:r w:rsidRPr="00511797">
              <w:rPr>
                <w:color w:val="000000"/>
                <w:lang w:val="en-US"/>
              </w:rPr>
              <w:t>C</w:t>
            </w:r>
          </w:p>
        </w:tc>
        <w:tc>
          <w:tcPr>
            <w:tcW w:w="809"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kg/m</w:t>
            </w:r>
            <w:r w:rsidRPr="00511797">
              <w:rPr>
                <w:color w:val="000000"/>
                <w:vertAlign w:val="superscript"/>
                <w:lang w:val="en-US"/>
              </w:rPr>
              <w:t>3</w:t>
            </w:r>
          </w:p>
        </w:tc>
        <w:tc>
          <w:tcPr>
            <w:tcW w:w="1160" w:type="dxa"/>
            <w:shd w:val="clear" w:color="auto" w:fill="auto"/>
            <w:hideMark/>
          </w:tcPr>
          <w:p w:rsidR="002972D5" w:rsidRPr="00511797" w:rsidRDefault="000B4938" w:rsidP="00511797">
            <w:pPr>
              <w:autoSpaceDE w:val="0"/>
              <w:autoSpaceDN w:val="0"/>
              <w:adjustRightInd w:val="0"/>
              <w:spacing w:line="276" w:lineRule="auto"/>
              <w:rPr>
                <w:color w:val="000000"/>
                <w:lang w:val="en-US"/>
              </w:rPr>
            </w:pPr>
            <w:r w:rsidRPr="00511797">
              <w:rPr>
                <w:color w:val="000000"/>
                <w:lang w:val="en-US"/>
              </w:rPr>
              <w:t>88</w:t>
            </w:r>
            <w:r w:rsidR="00697EB2">
              <w:rPr>
                <w:color w:val="000000"/>
                <w:lang w:val="en-US"/>
              </w:rPr>
              <w:t>4</w:t>
            </w:r>
          </w:p>
        </w:tc>
        <w:tc>
          <w:tcPr>
            <w:tcW w:w="1314"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860 - 900</w:t>
            </w:r>
          </w:p>
        </w:tc>
      </w:tr>
      <w:tr w:rsidR="00511797" w:rsidRPr="00857AB7" w:rsidTr="00511797">
        <w:trPr>
          <w:trHeight w:val="315"/>
        </w:trPr>
        <w:tc>
          <w:tcPr>
            <w:tcW w:w="1428"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Kinematic viscosity at 40</w:t>
            </w:r>
            <w:r w:rsidRPr="00511797">
              <w:rPr>
                <w:color w:val="000000"/>
                <w:vertAlign w:val="superscript"/>
                <w:lang w:val="en-US"/>
              </w:rPr>
              <w:t>o</w:t>
            </w:r>
            <w:r w:rsidRPr="00511797">
              <w:rPr>
                <w:color w:val="000000"/>
                <w:lang w:val="en-US"/>
              </w:rPr>
              <w:t>C</w:t>
            </w:r>
          </w:p>
        </w:tc>
        <w:tc>
          <w:tcPr>
            <w:tcW w:w="809"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proofErr w:type="spellStart"/>
            <w:r w:rsidRPr="00511797">
              <w:rPr>
                <w:color w:val="000000"/>
                <w:lang w:val="en-US"/>
              </w:rPr>
              <w:t>cSt</w:t>
            </w:r>
            <w:proofErr w:type="spellEnd"/>
          </w:p>
        </w:tc>
        <w:tc>
          <w:tcPr>
            <w:tcW w:w="1160" w:type="dxa"/>
            <w:shd w:val="clear" w:color="auto" w:fill="auto"/>
            <w:hideMark/>
          </w:tcPr>
          <w:p w:rsidR="002972D5" w:rsidRPr="00511797" w:rsidRDefault="00697EB2" w:rsidP="00511797">
            <w:pPr>
              <w:autoSpaceDE w:val="0"/>
              <w:autoSpaceDN w:val="0"/>
              <w:adjustRightInd w:val="0"/>
              <w:spacing w:line="276" w:lineRule="auto"/>
              <w:rPr>
                <w:color w:val="000000"/>
                <w:lang w:val="en-US"/>
              </w:rPr>
            </w:pPr>
            <w:r>
              <w:rPr>
                <w:color w:val="000000"/>
                <w:lang w:val="en-US"/>
              </w:rPr>
              <w:t>4.6</w:t>
            </w:r>
            <w:r w:rsidR="000B4938" w:rsidRPr="00511797">
              <w:rPr>
                <w:color w:val="000000"/>
                <w:lang w:val="en-US"/>
              </w:rPr>
              <w:t>2</w:t>
            </w:r>
          </w:p>
        </w:tc>
        <w:tc>
          <w:tcPr>
            <w:tcW w:w="1314" w:type="dxa"/>
            <w:shd w:val="clear" w:color="auto" w:fill="auto"/>
            <w:hideMark/>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3.5 - 5</w:t>
            </w:r>
          </w:p>
        </w:tc>
      </w:tr>
      <w:tr w:rsidR="00511797" w:rsidRPr="00857AB7" w:rsidTr="00511797">
        <w:trPr>
          <w:trHeight w:val="315"/>
        </w:trPr>
        <w:tc>
          <w:tcPr>
            <w:tcW w:w="1428" w:type="dxa"/>
            <w:shd w:val="clear" w:color="auto" w:fill="auto"/>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TAN</w:t>
            </w:r>
          </w:p>
        </w:tc>
        <w:tc>
          <w:tcPr>
            <w:tcW w:w="809" w:type="dxa"/>
            <w:shd w:val="clear" w:color="auto" w:fill="auto"/>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mg KOH/ g oil</w:t>
            </w:r>
          </w:p>
        </w:tc>
        <w:tc>
          <w:tcPr>
            <w:tcW w:w="1160" w:type="dxa"/>
            <w:shd w:val="clear" w:color="auto" w:fill="auto"/>
          </w:tcPr>
          <w:p w:rsidR="002972D5" w:rsidRPr="00511797" w:rsidRDefault="000B4938" w:rsidP="00511797">
            <w:pPr>
              <w:autoSpaceDE w:val="0"/>
              <w:autoSpaceDN w:val="0"/>
              <w:adjustRightInd w:val="0"/>
              <w:spacing w:line="276" w:lineRule="auto"/>
              <w:rPr>
                <w:color w:val="000000"/>
                <w:lang w:val="en-US"/>
              </w:rPr>
            </w:pPr>
            <w:r w:rsidRPr="00511797">
              <w:rPr>
                <w:color w:val="000000"/>
                <w:lang w:val="en-US"/>
              </w:rPr>
              <w:t>0.3</w:t>
            </w:r>
          </w:p>
        </w:tc>
        <w:tc>
          <w:tcPr>
            <w:tcW w:w="1314" w:type="dxa"/>
            <w:shd w:val="clear" w:color="auto" w:fill="auto"/>
          </w:tcPr>
          <w:p w:rsidR="002972D5" w:rsidRPr="00511797" w:rsidRDefault="002972D5" w:rsidP="00511797">
            <w:pPr>
              <w:autoSpaceDE w:val="0"/>
              <w:autoSpaceDN w:val="0"/>
              <w:adjustRightInd w:val="0"/>
              <w:spacing w:line="276" w:lineRule="auto"/>
              <w:rPr>
                <w:color w:val="000000"/>
                <w:lang w:val="en-US"/>
              </w:rPr>
            </w:pPr>
            <w:r w:rsidRPr="00511797">
              <w:rPr>
                <w:color w:val="000000"/>
                <w:lang w:val="en-US"/>
              </w:rPr>
              <w:t>&lt; 0.5</w:t>
            </w:r>
          </w:p>
        </w:tc>
      </w:tr>
    </w:tbl>
    <w:p w:rsidR="0062193B" w:rsidRDefault="0062193B">
      <w:pPr>
        <w:pStyle w:val="BodyText"/>
        <w:rPr>
          <w:b/>
          <w:bCs/>
        </w:rPr>
      </w:pPr>
    </w:p>
    <w:p w:rsidR="000B4938" w:rsidRPr="00294159" w:rsidRDefault="000B4938" w:rsidP="000B4938">
      <w:pPr>
        <w:pStyle w:val="Heading1"/>
      </w:pPr>
      <w:r>
        <w:t>Conclusions</w:t>
      </w:r>
    </w:p>
    <w:p w:rsidR="000B4938" w:rsidRDefault="001A0AC8">
      <w:pPr>
        <w:pStyle w:val="BodyText"/>
        <w:rPr>
          <w:bCs/>
          <w:color w:val="000000"/>
        </w:rPr>
      </w:pPr>
      <w:r>
        <w:t>U</w:t>
      </w:r>
      <w:r w:rsidR="000B4938">
        <w:t xml:space="preserve">sing supercritical methanol technique </w:t>
      </w:r>
      <w:r>
        <w:t xml:space="preserve">has been </w:t>
      </w:r>
      <w:r w:rsidR="005B17BB">
        <w:t>proved to be</w:t>
      </w:r>
      <w:r>
        <w:t xml:space="preserve"> an efficient technique for biodiesel production</w:t>
      </w:r>
      <w:r w:rsidR="000B4938">
        <w:t xml:space="preserve"> from high acidity feedstock in single step reaction. </w:t>
      </w:r>
      <w:r w:rsidR="00AB23CF">
        <w:t xml:space="preserve">Both esterification and transesterifications reactions have been achieved in parallel through the reaction time. </w:t>
      </w:r>
      <w:r w:rsidR="005B17BB">
        <w:t>T</w:t>
      </w:r>
      <w:r>
        <w:rPr>
          <w:bCs/>
          <w:color w:val="000000"/>
        </w:rPr>
        <w:t xml:space="preserve">he optimum biodiesel yield has been </w:t>
      </w:r>
      <w:r w:rsidR="005B17BB">
        <w:rPr>
          <w:bCs/>
          <w:color w:val="000000"/>
        </w:rPr>
        <w:t>found</w:t>
      </w:r>
      <w:r>
        <w:rPr>
          <w:bCs/>
          <w:color w:val="000000"/>
        </w:rPr>
        <w:t xml:space="preserve"> to be 98</w:t>
      </w:r>
      <w:r w:rsidR="00AB23CF" w:rsidRPr="00AB23CF">
        <w:rPr>
          <w:bCs/>
          <w:color w:val="000000"/>
        </w:rPr>
        <w:t>% at M:O molar</w:t>
      </w:r>
      <w:r w:rsidR="00AB23CF">
        <w:rPr>
          <w:bCs/>
          <w:color w:val="000000"/>
        </w:rPr>
        <w:t xml:space="preserve"> ratio of 25</w:t>
      </w:r>
      <w:r w:rsidR="00AB23CF" w:rsidRPr="00AB23CF">
        <w:rPr>
          <w:bCs/>
          <w:color w:val="000000"/>
        </w:rPr>
        <w:t xml:space="preserve">:1, reaction temperature of </w:t>
      </w:r>
      <w:r w:rsidR="00AB23CF">
        <w:rPr>
          <w:bCs/>
          <w:color w:val="000000"/>
        </w:rPr>
        <w:t>265</w:t>
      </w:r>
      <w:r w:rsidR="00AB23CF" w:rsidRPr="00AB23CF">
        <w:rPr>
          <w:bCs/>
          <w:color w:val="000000"/>
          <w:vertAlign w:val="superscript"/>
        </w:rPr>
        <w:t>o</w:t>
      </w:r>
      <w:r w:rsidR="00AB23CF">
        <w:rPr>
          <w:bCs/>
          <w:color w:val="000000"/>
        </w:rPr>
        <w:t>C and reaction pressure of 110</w:t>
      </w:r>
      <w:r w:rsidR="00AB23CF" w:rsidRPr="00AB23CF">
        <w:rPr>
          <w:bCs/>
          <w:color w:val="000000"/>
        </w:rPr>
        <w:t xml:space="preserve"> bar in </w:t>
      </w:r>
      <w:r w:rsidR="00AB23CF">
        <w:rPr>
          <w:bCs/>
          <w:color w:val="000000"/>
        </w:rPr>
        <w:t>20</w:t>
      </w:r>
      <w:r w:rsidR="00AB23CF" w:rsidRPr="00AB23CF">
        <w:rPr>
          <w:bCs/>
          <w:color w:val="000000"/>
        </w:rPr>
        <w:t xml:space="preserve"> minutes. The optimisation result</w:t>
      </w:r>
      <w:r>
        <w:rPr>
          <w:bCs/>
          <w:color w:val="000000"/>
        </w:rPr>
        <w:t>s</w:t>
      </w:r>
      <w:r w:rsidR="00AB23CF" w:rsidRPr="00AB23CF">
        <w:rPr>
          <w:bCs/>
          <w:color w:val="000000"/>
        </w:rPr>
        <w:t xml:space="preserve"> </w:t>
      </w:r>
      <w:r w:rsidRPr="00AB23CF">
        <w:rPr>
          <w:bCs/>
          <w:color w:val="000000"/>
        </w:rPr>
        <w:t>have</w:t>
      </w:r>
      <w:r w:rsidR="00AB23CF" w:rsidRPr="00AB23CF">
        <w:rPr>
          <w:bCs/>
          <w:color w:val="000000"/>
        </w:rPr>
        <w:t xml:space="preserve"> been validated experimentally resulting in biodiesel</w:t>
      </w:r>
      <w:r w:rsidR="00AB23CF">
        <w:rPr>
          <w:bCs/>
          <w:color w:val="000000"/>
        </w:rPr>
        <w:t xml:space="preserve"> yield of 98.82</w:t>
      </w:r>
      <w:r w:rsidR="00AB23CF" w:rsidRPr="00AB23CF">
        <w:rPr>
          <w:bCs/>
          <w:color w:val="000000"/>
        </w:rPr>
        <w:t xml:space="preserve">%, which shows the adequacy of the predicted optimum conditions </w:t>
      </w:r>
      <w:r w:rsidR="00AB23CF">
        <w:rPr>
          <w:bCs/>
          <w:color w:val="000000"/>
        </w:rPr>
        <w:t>with 0.83</w:t>
      </w:r>
      <w:r w:rsidR="00AB23CF" w:rsidRPr="00AB23CF">
        <w:rPr>
          <w:bCs/>
          <w:color w:val="000000"/>
        </w:rPr>
        <w:t>% relative error from the experimental results.</w:t>
      </w:r>
      <w:r w:rsidR="00AB23CF">
        <w:rPr>
          <w:bCs/>
          <w:color w:val="000000"/>
        </w:rPr>
        <w:t xml:space="preserve"> The main properties of the produced biodiesel have been analysed and compared to the European Biodiesel Standard (EN14214) showing </w:t>
      </w:r>
      <w:r w:rsidR="005B17BB">
        <w:rPr>
          <w:bCs/>
          <w:color w:val="000000"/>
        </w:rPr>
        <w:t xml:space="preserve">excellent </w:t>
      </w:r>
      <w:r w:rsidR="00AB23CF">
        <w:rPr>
          <w:bCs/>
          <w:color w:val="000000"/>
        </w:rPr>
        <w:t xml:space="preserve">agreement with the standards </w:t>
      </w:r>
      <w:r w:rsidR="00AB23CF">
        <w:rPr>
          <w:bCs/>
          <w:color w:val="000000"/>
        </w:rPr>
        <w:lastRenderedPageBreak/>
        <w:t>specified range</w:t>
      </w:r>
      <w:r w:rsidR="005B17BB">
        <w:rPr>
          <w:bCs/>
          <w:color w:val="000000"/>
        </w:rPr>
        <w:t>,</w:t>
      </w:r>
      <w:r w:rsidR="00AB23CF">
        <w:rPr>
          <w:bCs/>
          <w:color w:val="000000"/>
        </w:rPr>
        <w:t xml:space="preserve"> which insure the quality of the produced biodiesel.</w:t>
      </w:r>
    </w:p>
    <w:p w:rsidR="00AB23CF" w:rsidRDefault="00AB23CF">
      <w:pPr>
        <w:pStyle w:val="BodyText"/>
        <w:rPr>
          <w:b/>
          <w:bCs/>
        </w:rPr>
      </w:pPr>
    </w:p>
    <w:p w:rsidR="009D7D9E" w:rsidRPr="00294159" w:rsidRDefault="009D7D9E">
      <w:pPr>
        <w:pStyle w:val="BodyText"/>
        <w:rPr>
          <w:b/>
          <w:bCs/>
        </w:rPr>
      </w:pPr>
      <w:r w:rsidRPr="00294159">
        <w:rPr>
          <w:b/>
          <w:bCs/>
        </w:rPr>
        <w:t>ACKNOWLEDGEMENTS</w:t>
      </w:r>
    </w:p>
    <w:p w:rsidR="005C1697" w:rsidRPr="005C1697" w:rsidRDefault="005C1697" w:rsidP="005C1697">
      <w:pPr>
        <w:pStyle w:val="TAMainText"/>
        <w:spacing w:line="240" w:lineRule="auto"/>
        <w:ind w:firstLine="0"/>
        <w:contextualSpacing/>
        <w:rPr>
          <w:rFonts w:ascii="Times New Roman" w:hAnsi="Times New Roman"/>
          <w:bCs/>
          <w:color w:val="000000"/>
        </w:rPr>
      </w:pPr>
      <w:r w:rsidRPr="005C1697">
        <w:rPr>
          <w:rFonts w:ascii="Times New Roman" w:hAnsi="Times New Roman"/>
          <w:bCs/>
          <w:color w:val="000000"/>
        </w:rPr>
        <w:t>The authors acknowledge The British University in Egypt (BUE) and London South Bank University (LSBU) for funding this research.</w:t>
      </w:r>
    </w:p>
    <w:p w:rsidR="009D7D9E" w:rsidRPr="00294159" w:rsidRDefault="009D7D9E">
      <w:pPr>
        <w:pStyle w:val="BodyText"/>
      </w:pPr>
    </w:p>
    <w:p w:rsidR="009D7D9E" w:rsidRDefault="009D7D9E">
      <w:pPr>
        <w:pStyle w:val="BodyText"/>
        <w:rPr>
          <w:b/>
          <w:bCs/>
        </w:rPr>
      </w:pPr>
      <w:r w:rsidRPr="00294159">
        <w:rPr>
          <w:b/>
          <w:bCs/>
        </w:rPr>
        <w:t>REFERENCES</w:t>
      </w:r>
    </w:p>
    <w:p w:rsidR="00D6178C" w:rsidRPr="00D6178C" w:rsidRDefault="001253F1" w:rsidP="00D6178C">
      <w:pPr>
        <w:widowControl w:val="0"/>
        <w:autoSpaceDE w:val="0"/>
        <w:autoSpaceDN w:val="0"/>
        <w:adjustRightInd w:val="0"/>
        <w:ind w:left="640" w:hanging="640"/>
        <w:rPr>
          <w:noProof/>
        </w:rPr>
      </w:pPr>
      <w:r>
        <w:rPr>
          <w:b/>
          <w:bCs/>
        </w:rPr>
        <w:fldChar w:fldCharType="begin" w:fldLock="1"/>
      </w:r>
      <w:r w:rsidR="00B84876">
        <w:rPr>
          <w:b/>
          <w:bCs/>
        </w:rPr>
        <w:instrText xml:space="preserve">ADDIN Mendeley Bibliography CSL_BIBLIOGRAPHY </w:instrText>
      </w:r>
      <w:r>
        <w:rPr>
          <w:b/>
          <w:bCs/>
        </w:rPr>
        <w:fldChar w:fldCharType="separate"/>
      </w:r>
      <w:r w:rsidR="00D6178C" w:rsidRPr="00D6178C">
        <w:rPr>
          <w:noProof/>
        </w:rPr>
        <w:t>[1]</w:t>
      </w:r>
      <w:r w:rsidR="00D6178C" w:rsidRPr="00D6178C">
        <w:rPr>
          <w:noProof/>
        </w:rPr>
        <w:tab/>
        <w:t xml:space="preserve">S. Z. Abidin, K. F. Haigh, and B. Saha, “Esterification of free fatty acids in used cooking oil using ion-exchange resins as catalysts: An efficient pretreatment method for biodiesel feedstock,” </w:t>
      </w:r>
      <w:r w:rsidR="00D6178C" w:rsidRPr="00D6178C">
        <w:rPr>
          <w:i/>
          <w:iCs/>
          <w:noProof/>
        </w:rPr>
        <w:t>Ind. Eng. Chem. Res.</w:t>
      </w:r>
      <w:r w:rsidR="00D6178C" w:rsidRPr="00D6178C">
        <w:rPr>
          <w:noProof/>
        </w:rPr>
        <w:t>, vol. 51, no. 45, pp. 14653–14664, 2012.</w:t>
      </w:r>
    </w:p>
    <w:p w:rsidR="00D6178C" w:rsidRPr="00D6178C" w:rsidRDefault="00D6178C" w:rsidP="00D6178C">
      <w:pPr>
        <w:widowControl w:val="0"/>
        <w:autoSpaceDE w:val="0"/>
        <w:autoSpaceDN w:val="0"/>
        <w:adjustRightInd w:val="0"/>
        <w:ind w:left="640" w:hanging="640"/>
        <w:rPr>
          <w:noProof/>
        </w:rPr>
      </w:pPr>
      <w:r w:rsidRPr="00D6178C">
        <w:rPr>
          <w:noProof/>
        </w:rPr>
        <w:t>[2]</w:t>
      </w:r>
      <w:r w:rsidRPr="00D6178C">
        <w:rPr>
          <w:noProof/>
        </w:rPr>
        <w:tab/>
        <w:t xml:space="preserve">J. Van Gerpen, “Biodiesel processing and production,” </w:t>
      </w:r>
      <w:r w:rsidRPr="00D6178C">
        <w:rPr>
          <w:i/>
          <w:iCs/>
          <w:noProof/>
        </w:rPr>
        <w:t>Fuel Process. Technol.</w:t>
      </w:r>
      <w:r w:rsidRPr="00D6178C">
        <w:rPr>
          <w:noProof/>
        </w:rPr>
        <w:t>, vol. 86, no. 10, pp. 1097–1107, 2005.</w:t>
      </w:r>
    </w:p>
    <w:p w:rsidR="00D6178C" w:rsidRPr="00D6178C" w:rsidRDefault="00D6178C" w:rsidP="00D6178C">
      <w:pPr>
        <w:widowControl w:val="0"/>
        <w:autoSpaceDE w:val="0"/>
        <w:autoSpaceDN w:val="0"/>
        <w:adjustRightInd w:val="0"/>
        <w:ind w:left="640" w:hanging="640"/>
        <w:rPr>
          <w:noProof/>
        </w:rPr>
      </w:pPr>
      <w:r w:rsidRPr="00D6178C">
        <w:rPr>
          <w:noProof/>
        </w:rPr>
        <w:t>[3]</w:t>
      </w:r>
      <w:r w:rsidRPr="00D6178C">
        <w:rPr>
          <w:noProof/>
        </w:rPr>
        <w:tab/>
        <w:t xml:space="preserve">L. K. Ong, A. Kurniawan, A. C. Suwandi, C. X. Lin, X. S. Zhao, and S. Ismadji, “Transesterification of leather tanning waste to biodiesel at supercritical condition: Kinetics and thermodynamics studies,” </w:t>
      </w:r>
      <w:r w:rsidRPr="00D6178C">
        <w:rPr>
          <w:i/>
          <w:iCs/>
          <w:noProof/>
        </w:rPr>
        <w:t>J. Supercrit. Fluids</w:t>
      </w:r>
      <w:r w:rsidRPr="00D6178C">
        <w:rPr>
          <w:noProof/>
        </w:rPr>
        <w:t>, vol. 75, pp. 11–20, 2013.</w:t>
      </w:r>
    </w:p>
    <w:p w:rsidR="00D6178C" w:rsidRPr="00D6178C" w:rsidRDefault="00D6178C" w:rsidP="00D6178C">
      <w:pPr>
        <w:widowControl w:val="0"/>
        <w:autoSpaceDE w:val="0"/>
        <w:autoSpaceDN w:val="0"/>
        <w:adjustRightInd w:val="0"/>
        <w:ind w:left="640" w:hanging="640"/>
        <w:rPr>
          <w:noProof/>
        </w:rPr>
      </w:pPr>
      <w:r w:rsidRPr="00D6178C">
        <w:rPr>
          <w:noProof/>
        </w:rPr>
        <w:t>[4]</w:t>
      </w:r>
      <w:r w:rsidRPr="00D6178C">
        <w:rPr>
          <w:noProof/>
        </w:rPr>
        <w:tab/>
        <w:t xml:space="preserve">M. Hajjari, M. Tabatabaei, M. Aghbashlo, and H. Ghanavati, “A review on the prospects of sustainable biodiesel production: A global scenario with an emphasis on waste-oil biodiesel utilization,” </w:t>
      </w:r>
      <w:r w:rsidRPr="00D6178C">
        <w:rPr>
          <w:i/>
          <w:iCs/>
          <w:noProof/>
        </w:rPr>
        <w:t>Renew. Sustain. Energy Rev.</w:t>
      </w:r>
      <w:r w:rsidRPr="00D6178C">
        <w:rPr>
          <w:noProof/>
        </w:rPr>
        <w:t>, vol. 72, no. November 2016, pp. 445–464, 2017.</w:t>
      </w:r>
    </w:p>
    <w:p w:rsidR="00D6178C" w:rsidRPr="00D6178C" w:rsidRDefault="00D6178C" w:rsidP="00D6178C">
      <w:pPr>
        <w:widowControl w:val="0"/>
        <w:autoSpaceDE w:val="0"/>
        <w:autoSpaceDN w:val="0"/>
        <w:adjustRightInd w:val="0"/>
        <w:ind w:left="640" w:hanging="640"/>
        <w:rPr>
          <w:noProof/>
        </w:rPr>
      </w:pPr>
      <w:r w:rsidRPr="00D6178C">
        <w:rPr>
          <w:noProof/>
        </w:rPr>
        <w:t>[5]</w:t>
      </w:r>
      <w:r w:rsidRPr="00D6178C">
        <w:rPr>
          <w:noProof/>
        </w:rPr>
        <w:tab/>
        <w:t xml:space="preserve">S. Semwal, A. K. Arora, R. P. Badoni, and D. K. Tuli, “Biodiesel production using heterogeneous catalysts,” </w:t>
      </w:r>
      <w:r w:rsidRPr="00D6178C">
        <w:rPr>
          <w:i/>
          <w:iCs/>
          <w:noProof/>
        </w:rPr>
        <w:t>Bioresour. Technol.</w:t>
      </w:r>
      <w:r w:rsidRPr="00D6178C">
        <w:rPr>
          <w:noProof/>
        </w:rPr>
        <w:t>, vol. 102, no. 3, pp. 2151–2161, 2011.</w:t>
      </w:r>
    </w:p>
    <w:p w:rsidR="00D6178C" w:rsidRPr="00D6178C" w:rsidRDefault="00D6178C" w:rsidP="00D6178C">
      <w:pPr>
        <w:widowControl w:val="0"/>
        <w:autoSpaceDE w:val="0"/>
        <w:autoSpaceDN w:val="0"/>
        <w:adjustRightInd w:val="0"/>
        <w:ind w:left="640" w:hanging="640"/>
        <w:rPr>
          <w:noProof/>
        </w:rPr>
      </w:pPr>
      <w:r w:rsidRPr="00D6178C">
        <w:rPr>
          <w:noProof/>
        </w:rPr>
        <w:t>[6]</w:t>
      </w:r>
      <w:r w:rsidRPr="00D6178C">
        <w:rPr>
          <w:noProof/>
        </w:rPr>
        <w:tab/>
        <w:t xml:space="preserve">S. M. Ghoreishi and P. Moein, “Biodiesel synthesis from waste vegetable oil via transesterification reaction in supercritical methanol,” </w:t>
      </w:r>
      <w:r w:rsidRPr="00D6178C">
        <w:rPr>
          <w:i/>
          <w:iCs/>
          <w:noProof/>
        </w:rPr>
        <w:t>J. Supercrit. Fluids</w:t>
      </w:r>
      <w:r w:rsidRPr="00D6178C">
        <w:rPr>
          <w:noProof/>
        </w:rPr>
        <w:t>, vol. 76, pp. 24–31, 2013.</w:t>
      </w:r>
    </w:p>
    <w:p w:rsidR="00D6178C" w:rsidRPr="00D6178C" w:rsidRDefault="00D6178C" w:rsidP="00D6178C">
      <w:pPr>
        <w:widowControl w:val="0"/>
        <w:autoSpaceDE w:val="0"/>
        <w:autoSpaceDN w:val="0"/>
        <w:adjustRightInd w:val="0"/>
        <w:ind w:left="640" w:hanging="640"/>
        <w:rPr>
          <w:noProof/>
        </w:rPr>
      </w:pPr>
      <w:r w:rsidRPr="00D6178C">
        <w:rPr>
          <w:noProof/>
        </w:rPr>
        <w:t>[7]</w:t>
      </w:r>
      <w:r w:rsidRPr="00D6178C">
        <w:rPr>
          <w:noProof/>
        </w:rPr>
        <w:tab/>
        <w:t xml:space="preserve">H. Han, W. Cao, and J. Zhang, “Preparation of biodiesel from soybean oil using supercritical methanol and CO2 as co-solvent,” </w:t>
      </w:r>
      <w:r w:rsidRPr="00D6178C">
        <w:rPr>
          <w:i/>
          <w:iCs/>
          <w:noProof/>
        </w:rPr>
        <w:t>Process Biochem.</w:t>
      </w:r>
      <w:r w:rsidRPr="00D6178C">
        <w:rPr>
          <w:noProof/>
        </w:rPr>
        <w:t>, vol. 40, no. 9, pp. 3148–3151, 2005.</w:t>
      </w:r>
    </w:p>
    <w:p w:rsidR="00B84876" w:rsidRPr="00294159" w:rsidRDefault="001253F1">
      <w:pPr>
        <w:pStyle w:val="BodyText"/>
        <w:rPr>
          <w:b/>
          <w:bCs/>
        </w:rPr>
      </w:pPr>
      <w:r>
        <w:rPr>
          <w:b/>
          <w:bCs/>
        </w:rPr>
        <w:fldChar w:fldCharType="end"/>
      </w:r>
    </w:p>
    <w:p w:rsidR="005C1697" w:rsidRPr="00294159" w:rsidRDefault="005C1697" w:rsidP="005C1697">
      <w:pPr>
        <w:pStyle w:val="BodyText"/>
        <w:rPr>
          <w:b/>
          <w:bCs/>
          <w:sz w:val="26"/>
          <w:szCs w:val="26"/>
        </w:rPr>
      </w:pPr>
    </w:p>
    <w:p w:rsidR="00A84A98" w:rsidRPr="00294159" w:rsidRDefault="00A84A98">
      <w:pPr>
        <w:pStyle w:val="BodyText"/>
        <w:rPr>
          <w:b/>
          <w:bCs/>
          <w:sz w:val="26"/>
          <w:szCs w:val="26"/>
        </w:rPr>
      </w:pPr>
      <w:r w:rsidRPr="00294159">
        <w:rPr>
          <w:b/>
          <w:bCs/>
          <w:sz w:val="26"/>
          <w:szCs w:val="26"/>
        </w:rPr>
        <w:t xml:space="preserve"> </w:t>
      </w:r>
    </w:p>
    <w:sectPr w:rsidR="00A84A98" w:rsidRPr="00294159" w:rsidSect="00524695">
      <w:type w:val="continuous"/>
      <w:pgSz w:w="11906" w:h="16838" w:code="9"/>
      <w:pgMar w:top="851" w:right="851" w:bottom="1134" w:left="1134" w:header="561" w:footer="561"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18" w:rsidRDefault="007C3F18">
      <w:r>
        <w:separator/>
      </w:r>
    </w:p>
  </w:endnote>
  <w:endnote w:type="continuationSeparator" w:id="0">
    <w:p w:rsidR="007C3F18" w:rsidRDefault="007C3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18" w:rsidRDefault="007C3F18">
      <w:r>
        <w:separator/>
      </w:r>
    </w:p>
  </w:footnote>
  <w:footnote w:type="continuationSeparator" w:id="0">
    <w:p w:rsidR="007C3F18" w:rsidRDefault="007C3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9E" w:rsidRDefault="009D7D9E" w:rsidP="009C6D5D">
    <w:pPr>
      <w:pStyle w:val="Header"/>
      <w:jc w:val="right"/>
      <w:rPr>
        <w:i/>
        <w:iCs/>
        <w:lang w:val="en-IE"/>
      </w:rPr>
    </w:pPr>
    <w:r>
      <w:rPr>
        <w:i/>
        <w:iCs/>
        <w:lang w:val="en-IE"/>
      </w:rPr>
      <w:t xml:space="preserve">Proceedings of </w:t>
    </w:r>
    <w:r w:rsidR="00D70D4C">
      <w:rPr>
        <w:i/>
        <w:iCs/>
        <w:lang w:val="en-IE"/>
      </w:rPr>
      <w:t>SEEP</w:t>
    </w:r>
    <w:r>
      <w:rPr>
        <w:i/>
        <w:iCs/>
        <w:lang w:val="en-IE"/>
      </w:rPr>
      <w:t>20</w:t>
    </w:r>
    <w:r w:rsidR="00835413">
      <w:rPr>
        <w:i/>
        <w:iCs/>
        <w:lang w:val="en-IE"/>
      </w:rPr>
      <w:t>1</w:t>
    </w:r>
    <w:r w:rsidR="00AC4398">
      <w:rPr>
        <w:i/>
        <w:iCs/>
        <w:lang w:val="en-IE"/>
      </w:rPr>
      <w:t>7</w:t>
    </w:r>
    <w:r>
      <w:rPr>
        <w:i/>
        <w:iCs/>
        <w:lang w:val="en-IE"/>
      </w:rPr>
      <w:t xml:space="preserve">, </w:t>
    </w:r>
    <w:r w:rsidR="00242AE1">
      <w:rPr>
        <w:i/>
        <w:iCs/>
        <w:lang w:val="en-IE"/>
      </w:rPr>
      <w:t>27</w:t>
    </w:r>
    <w:r>
      <w:rPr>
        <w:i/>
        <w:iCs/>
        <w:lang w:val="en-IE"/>
      </w:rPr>
      <w:t>-</w:t>
    </w:r>
    <w:r w:rsidR="00242AE1">
      <w:rPr>
        <w:i/>
        <w:iCs/>
        <w:lang w:val="en-IE"/>
      </w:rPr>
      <w:t>30</w:t>
    </w:r>
    <w:r>
      <w:rPr>
        <w:i/>
        <w:iCs/>
        <w:lang w:val="en-IE"/>
      </w:rPr>
      <w:t xml:space="preserve"> </w:t>
    </w:r>
    <w:r w:rsidR="00242AE1">
      <w:rPr>
        <w:i/>
        <w:iCs/>
        <w:lang w:val="en-IE"/>
      </w:rPr>
      <w:t>June</w:t>
    </w:r>
    <w:r>
      <w:rPr>
        <w:i/>
        <w:iCs/>
        <w:lang w:val="en-IE"/>
      </w:rPr>
      <w:t xml:space="preserve"> 20</w:t>
    </w:r>
    <w:r w:rsidR="00835413">
      <w:rPr>
        <w:i/>
        <w:iCs/>
        <w:lang w:val="en-IE"/>
      </w:rPr>
      <w:t>1</w:t>
    </w:r>
    <w:r w:rsidR="00242AE1">
      <w:rPr>
        <w:i/>
        <w:iCs/>
        <w:lang w:val="en-IE"/>
      </w:rPr>
      <w:t>7</w:t>
    </w:r>
    <w:r>
      <w:rPr>
        <w:i/>
        <w:iCs/>
        <w:lang w:val="en-IE"/>
      </w:rPr>
      <w:t xml:space="preserve">, </w:t>
    </w:r>
    <w:r w:rsidR="00242AE1">
      <w:rPr>
        <w:i/>
        <w:iCs/>
        <w:lang w:val="en-IE"/>
      </w:rPr>
      <w:t>Bled, Slovenia</w:t>
    </w:r>
  </w:p>
  <w:p w:rsidR="00524695" w:rsidRPr="00524695" w:rsidRDefault="00524695" w:rsidP="009C6D5D">
    <w:pPr>
      <w:pStyle w:val="Header"/>
      <w:jc w:val="right"/>
      <w:rPr>
        <w:i/>
        <w:iCs/>
        <w:sz w:val="18"/>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6EC1"/>
    <w:multiLevelType w:val="hybridMultilevel"/>
    <w:tmpl w:val="68ECC146"/>
    <w:lvl w:ilvl="0" w:tplc="D0D6509E">
      <w:start w:val="1"/>
      <w:numFmt w:val="decimal"/>
      <w:lvlText w:val="%1."/>
      <w:lvlJc w:val="left"/>
      <w:pPr>
        <w:tabs>
          <w:tab w:val="num" w:pos="7560"/>
        </w:tabs>
        <w:ind w:left="7200" w:firstLine="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
    <w:nsid w:val="5E4A7FA5"/>
    <w:multiLevelType w:val="hybridMultilevel"/>
    <w:tmpl w:val="5858C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9C3F11"/>
    <w:multiLevelType w:val="hybridMultilevel"/>
    <w:tmpl w:val="1DD49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7322E"/>
    <w:multiLevelType w:val="multilevel"/>
    <w:tmpl w:val="09AAF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D9E"/>
    <w:rsid w:val="0000179F"/>
    <w:rsid w:val="00065367"/>
    <w:rsid w:val="00096C9B"/>
    <w:rsid w:val="00097625"/>
    <w:rsid w:val="000A3248"/>
    <w:rsid w:val="000B4938"/>
    <w:rsid w:val="000C2637"/>
    <w:rsid w:val="000D5B7A"/>
    <w:rsid w:val="000D6B86"/>
    <w:rsid w:val="001253F1"/>
    <w:rsid w:val="00126CBB"/>
    <w:rsid w:val="00130C08"/>
    <w:rsid w:val="0014599E"/>
    <w:rsid w:val="001979C6"/>
    <w:rsid w:val="001A0AC8"/>
    <w:rsid w:val="001C3411"/>
    <w:rsid w:val="001D563F"/>
    <w:rsid w:val="001E029D"/>
    <w:rsid w:val="001E5B3F"/>
    <w:rsid w:val="001E6A7F"/>
    <w:rsid w:val="001E7B96"/>
    <w:rsid w:val="0021428A"/>
    <w:rsid w:val="00224499"/>
    <w:rsid w:val="00231ABC"/>
    <w:rsid w:val="002408CA"/>
    <w:rsid w:val="00242AE1"/>
    <w:rsid w:val="00252E6A"/>
    <w:rsid w:val="00253443"/>
    <w:rsid w:val="00271B70"/>
    <w:rsid w:val="002747C7"/>
    <w:rsid w:val="00294159"/>
    <w:rsid w:val="002972D5"/>
    <w:rsid w:val="002B2535"/>
    <w:rsid w:val="002D34BB"/>
    <w:rsid w:val="002D481D"/>
    <w:rsid w:val="003124DC"/>
    <w:rsid w:val="0032732D"/>
    <w:rsid w:val="00344F30"/>
    <w:rsid w:val="003913DC"/>
    <w:rsid w:val="00391840"/>
    <w:rsid w:val="003B64C9"/>
    <w:rsid w:val="003B7F8D"/>
    <w:rsid w:val="003D372E"/>
    <w:rsid w:val="003E370A"/>
    <w:rsid w:val="003F0BB9"/>
    <w:rsid w:val="003F6C4B"/>
    <w:rsid w:val="003F71CA"/>
    <w:rsid w:val="00433EF5"/>
    <w:rsid w:val="00446A49"/>
    <w:rsid w:val="00465D4E"/>
    <w:rsid w:val="004C44B5"/>
    <w:rsid w:val="004D416E"/>
    <w:rsid w:val="004D4C8F"/>
    <w:rsid w:val="004E45EB"/>
    <w:rsid w:val="00511797"/>
    <w:rsid w:val="00522319"/>
    <w:rsid w:val="00524695"/>
    <w:rsid w:val="005867D3"/>
    <w:rsid w:val="00593344"/>
    <w:rsid w:val="005B17BB"/>
    <w:rsid w:val="005C1697"/>
    <w:rsid w:val="005D10CA"/>
    <w:rsid w:val="005E05E0"/>
    <w:rsid w:val="005E5F36"/>
    <w:rsid w:val="005E6945"/>
    <w:rsid w:val="005F6B39"/>
    <w:rsid w:val="0062193B"/>
    <w:rsid w:val="00627ACC"/>
    <w:rsid w:val="00641E32"/>
    <w:rsid w:val="006554BA"/>
    <w:rsid w:val="00676601"/>
    <w:rsid w:val="006804A6"/>
    <w:rsid w:val="0068228F"/>
    <w:rsid w:val="006850D2"/>
    <w:rsid w:val="00691EDF"/>
    <w:rsid w:val="00696658"/>
    <w:rsid w:val="00697EB2"/>
    <w:rsid w:val="006C07CA"/>
    <w:rsid w:val="006D5918"/>
    <w:rsid w:val="00717617"/>
    <w:rsid w:val="00776282"/>
    <w:rsid w:val="00783BD8"/>
    <w:rsid w:val="007B77CE"/>
    <w:rsid w:val="007C3F18"/>
    <w:rsid w:val="007D057D"/>
    <w:rsid w:val="007D6F2D"/>
    <w:rsid w:val="00833C6C"/>
    <w:rsid w:val="00835413"/>
    <w:rsid w:val="00880ECC"/>
    <w:rsid w:val="00890860"/>
    <w:rsid w:val="00896986"/>
    <w:rsid w:val="008E6804"/>
    <w:rsid w:val="00901701"/>
    <w:rsid w:val="00911180"/>
    <w:rsid w:val="0092548B"/>
    <w:rsid w:val="00932B35"/>
    <w:rsid w:val="00933200"/>
    <w:rsid w:val="00935623"/>
    <w:rsid w:val="00946128"/>
    <w:rsid w:val="009503EF"/>
    <w:rsid w:val="009C6D5D"/>
    <w:rsid w:val="009D656A"/>
    <w:rsid w:val="009D7D9E"/>
    <w:rsid w:val="00A707B8"/>
    <w:rsid w:val="00A71452"/>
    <w:rsid w:val="00A73FF1"/>
    <w:rsid w:val="00A84A98"/>
    <w:rsid w:val="00A94FD6"/>
    <w:rsid w:val="00A95E0A"/>
    <w:rsid w:val="00AA2A7A"/>
    <w:rsid w:val="00AA6457"/>
    <w:rsid w:val="00AA6743"/>
    <w:rsid w:val="00AB23CF"/>
    <w:rsid w:val="00AC4398"/>
    <w:rsid w:val="00B07358"/>
    <w:rsid w:val="00B44CE9"/>
    <w:rsid w:val="00B55093"/>
    <w:rsid w:val="00B765A9"/>
    <w:rsid w:val="00B84876"/>
    <w:rsid w:val="00B86470"/>
    <w:rsid w:val="00BF118B"/>
    <w:rsid w:val="00BF18A1"/>
    <w:rsid w:val="00C17366"/>
    <w:rsid w:val="00C3641C"/>
    <w:rsid w:val="00C50A16"/>
    <w:rsid w:val="00CB2652"/>
    <w:rsid w:val="00CB3EE0"/>
    <w:rsid w:val="00CB64C6"/>
    <w:rsid w:val="00D20BF4"/>
    <w:rsid w:val="00D27910"/>
    <w:rsid w:val="00D329B2"/>
    <w:rsid w:val="00D3308F"/>
    <w:rsid w:val="00D43F11"/>
    <w:rsid w:val="00D6178C"/>
    <w:rsid w:val="00D705FF"/>
    <w:rsid w:val="00D70D4C"/>
    <w:rsid w:val="00D7275C"/>
    <w:rsid w:val="00D81ADF"/>
    <w:rsid w:val="00D820EB"/>
    <w:rsid w:val="00D82379"/>
    <w:rsid w:val="00D84BE1"/>
    <w:rsid w:val="00D92DB5"/>
    <w:rsid w:val="00DC1B5F"/>
    <w:rsid w:val="00DD3424"/>
    <w:rsid w:val="00DF1A95"/>
    <w:rsid w:val="00E230F6"/>
    <w:rsid w:val="00E45E39"/>
    <w:rsid w:val="00E50F1F"/>
    <w:rsid w:val="00EA6D99"/>
    <w:rsid w:val="00F3463E"/>
    <w:rsid w:val="00F42F33"/>
    <w:rsid w:val="00F55573"/>
    <w:rsid w:val="00F66641"/>
    <w:rsid w:val="00FA6CDC"/>
    <w:rsid w:val="00FA6DB7"/>
    <w:rsid w:val="00FE3F8F"/>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5"/>
    <w:rPr>
      <w:sz w:val="24"/>
      <w:szCs w:val="24"/>
      <w:lang w:eastAsia="en-US"/>
    </w:rPr>
  </w:style>
  <w:style w:type="paragraph" w:styleId="Heading1">
    <w:name w:val="heading 1"/>
    <w:basedOn w:val="Normal"/>
    <w:next w:val="BodyText"/>
    <w:link w:val="Heading1Char"/>
    <w:qFormat/>
    <w:rsid w:val="001253F1"/>
    <w:pPr>
      <w:keepNext/>
      <w:numPr>
        <w:numId w:val="1"/>
      </w:numPr>
      <w:tabs>
        <w:tab w:val="right" w:pos="8640"/>
      </w:tabs>
      <w:spacing w:before="120"/>
      <w:outlineLvl w:val="0"/>
    </w:pPr>
    <w:rPr>
      <w:rFonts w:ascii="Arial" w:hAnsi="Arial"/>
      <w:b/>
      <w:caps/>
      <w:szCs w:val="20"/>
    </w:rPr>
  </w:style>
  <w:style w:type="paragraph" w:styleId="Heading2">
    <w:name w:val="heading 2"/>
    <w:basedOn w:val="Normal"/>
    <w:next w:val="BodyText"/>
    <w:link w:val="Heading2Char"/>
    <w:qFormat/>
    <w:rsid w:val="001253F1"/>
    <w:pPr>
      <w:keepNext/>
      <w:numPr>
        <w:ilvl w:val="1"/>
        <w:numId w:val="1"/>
      </w:numPr>
      <w:tabs>
        <w:tab w:val="clear" w:pos="360"/>
        <w:tab w:val="right" w:pos="431"/>
        <w:tab w:val="right" w:pos="8640"/>
      </w:tabs>
      <w:spacing w:before="120"/>
      <w:outlineLvl w:val="1"/>
    </w:pPr>
    <w:rPr>
      <w:rFonts w:ascii="Arial" w:hAnsi="Arial"/>
      <w:b/>
      <w:kern w:val="28"/>
      <w:szCs w:val="20"/>
    </w:rPr>
  </w:style>
  <w:style w:type="paragraph" w:styleId="Heading3">
    <w:name w:val="heading 3"/>
    <w:basedOn w:val="Normal"/>
    <w:next w:val="BodyText"/>
    <w:qFormat/>
    <w:rsid w:val="001253F1"/>
    <w:pPr>
      <w:keepNext/>
      <w:tabs>
        <w:tab w:val="left" w:pos="567"/>
        <w:tab w:val="right" w:pos="8640"/>
      </w:tabs>
      <w:spacing w:before="120"/>
      <w:outlineLvl w:val="2"/>
    </w:pPr>
    <w:rPr>
      <w:rFonts w:ascii="Arial" w:hAnsi="Arial"/>
      <w:i/>
      <w:kern w:val="28"/>
      <w:szCs w:val="20"/>
      <w:u w:color="000000"/>
    </w:rPr>
  </w:style>
  <w:style w:type="paragraph" w:styleId="Heading4">
    <w:name w:val="heading 4"/>
    <w:basedOn w:val="Normal"/>
    <w:next w:val="BodyText"/>
    <w:qFormat/>
    <w:rsid w:val="001253F1"/>
    <w:pPr>
      <w:keepNext/>
      <w:numPr>
        <w:ilvl w:val="3"/>
        <w:numId w:val="1"/>
      </w:numPr>
      <w:tabs>
        <w:tab w:val="right" w:pos="8640"/>
      </w:tabs>
      <w:spacing w:line="360" w:lineRule="auto"/>
      <w:outlineLvl w:val="3"/>
    </w:pPr>
    <w:rPr>
      <w:rFonts w:ascii="Garamond" w:hAnsi="Garamond"/>
      <w:i/>
      <w:kern w:val="28"/>
      <w:szCs w:val="20"/>
    </w:rPr>
  </w:style>
  <w:style w:type="paragraph" w:styleId="Heading5">
    <w:name w:val="heading 5"/>
    <w:basedOn w:val="Normal"/>
    <w:next w:val="Normal"/>
    <w:qFormat/>
    <w:rsid w:val="001253F1"/>
    <w:pPr>
      <w:numPr>
        <w:ilvl w:val="4"/>
        <w:numId w:val="1"/>
      </w:numPr>
      <w:spacing w:before="240" w:after="60"/>
      <w:outlineLvl w:val="4"/>
    </w:pPr>
    <w:rPr>
      <w:b/>
      <w:bCs/>
      <w:i/>
      <w:iCs/>
      <w:sz w:val="26"/>
      <w:szCs w:val="26"/>
    </w:rPr>
  </w:style>
  <w:style w:type="paragraph" w:styleId="Heading6">
    <w:name w:val="heading 6"/>
    <w:basedOn w:val="Normal"/>
    <w:next w:val="Normal"/>
    <w:qFormat/>
    <w:rsid w:val="001253F1"/>
    <w:pPr>
      <w:numPr>
        <w:ilvl w:val="5"/>
        <w:numId w:val="1"/>
      </w:numPr>
      <w:spacing w:before="240" w:after="60"/>
      <w:outlineLvl w:val="5"/>
    </w:pPr>
    <w:rPr>
      <w:b/>
      <w:bCs/>
      <w:sz w:val="22"/>
      <w:szCs w:val="22"/>
    </w:rPr>
  </w:style>
  <w:style w:type="paragraph" w:styleId="Heading7">
    <w:name w:val="heading 7"/>
    <w:basedOn w:val="Normal"/>
    <w:next w:val="Normal"/>
    <w:qFormat/>
    <w:rsid w:val="001253F1"/>
    <w:pPr>
      <w:numPr>
        <w:ilvl w:val="6"/>
        <w:numId w:val="1"/>
      </w:numPr>
      <w:spacing w:before="240" w:after="60"/>
      <w:outlineLvl w:val="6"/>
    </w:pPr>
  </w:style>
  <w:style w:type="paragraph" w:styleId="Heading8">
    <w:name w:val="heading 8"/>
    <w:basedOn w:val="Normal"/>
    <w:next w:val="Normal"/>
    <w:qFormat/>
    <w:rsid w:val="001253F1"/>
    <w:pPr>
      <w:numPr>
        <w:ilvl w:val="7"/>
        <w:numId w:val="1"/>
      </w:numPr>
      <w:spacing w:before="240" w:after="60"/>
      <w:outlineLvl w:val="7"/>
    </w:pPr>
    <w:rPr>
      <w:i/>
      <w:iCs/>
    </w:rPr>
  </w:style>
  <w:style w:type="paragraph" w:styleId="Heading9">
    <w:name w:val="heading 9"/>
    <w:basedOn w:val="Normal"/>
    <w:next w:val="Normal"/>
    <w:qFormat/>
    <w:rsid w:val="001253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BodyText"/>
    <w:next w:val="BodyText"/>
    <w:rsid w:val="001253F1"/>
    <w:pPr>
      <w:tabs>
        <w:tab w:val="right" w:pos="8640"/>
      </w:tabs>
      <w:jc w:val="center"/>
    </w:pPr>
    <w:rPr>
      <w:rFonts w:ascii="Arial" w:hAnsi="Arial"/>
      <w:b/>
      <w:szCs w:val="20"/>
    </w:rPr>
  </w:style>
  <w:style w:type="paragraph" w:styleId="BodyText">
    <w:name w:val="Body Text"/>
    <w:basedOn w:val="Normal"/>
    <w:link w:val="BodyTextChar"/>
    <w:rsid w:val="001253F1"/>
    <w:pPr>
      <w:jc w:val="both"/>
    </w:pPr>
  </w:style>
  <w:style w:type="paragraph" w:styleId="Caption">
    <w:name w:val="caption"/>
    <w:basedOn w:val="Normal"/>
    <w:next w:val="BodyText"/>
    <w:qFormat/>
    <w:rsid w:val="001253F1"/>
    <w:pPr>
      <w:tabs>
        <w:tab w:val="right" w:pos="8640"/>
      </w:tabs>
      <w:spacing w:after="560"/>
      <w:ind w:left="1920" w:right="1920"/>
      <w:jc w:val="both"/>
    </w:pPr>
    <w:rPr>
      <w:rFonts w:ascii="Garamond" w:hAnsi="Garamond"/>
      <w:sz w:val="18"/>
      <w:szCs w:val="20"/>
    </w:rPr>
  </w:style>
  <w:style w:type="paragraph" w:customStyle="1" w:styleId="ChapterLabel">
    <w:name w:val="Chapter Label"/>
    <w:basedOn w:val="Normal"/>
    <w:next w:val="Normal"/>
    <w:rsid w:val="001253F1"/>
    <w:pPr>
      <w:keepNext/>
      <w:pageBreakBefore/>
      <w:tabs>
        <w:tab w:val="right" w:pos="8640"/>
      </w:tabs>
      <w:spacing w:after="560"/>
      <w:jc w:val="center"/>
    </w:pPr>
    <w:rPr>
      <w:rFonts w:ascii="Garamond" w:hAnsi="Garamond"/>
      <w:i/>
      <w:spacing w:val="70"/>
      <w:sz w:val="22"/>
      <w:szCs w:val="20"/>
    </w:rPr>
  </w:style>
  <w:style w:type="paragraph" w:customStyle="1" w:styleId="ChapterTitle">
    <w:name w:val="Chapter Title"/>
    <w:basedOn w:val="Normal"/>
    <w:next w:val="Normal"/>
    <w:rsid w:val="001253F1"/>
    <w:pPr>
      <w:keepNext/>
      <w:keepLines/>
      <w:tabs>
        <w:tab w:val="right" w:pos="8640"/>
      </w:tabs>
      <w:spacing w:before="560" w:after="560"/>
      <w:jc w:val="center"/>
    </w:pPr>
    <w:rPr>
      <w:rFonts w:ascii="Garamond" w:hAnsi="Garamond"/>
      <w:caps/>
      <w:spacing w:val="2"/>
      <w:kern w:val="28"/>
      <w:szCs w:val="20"/>
    </w:rPr>
  </w:style>
  <w:style w:type="character" w:styleId="PageNumber">
    <w:name w:val="page number"/>
    <w:rsid w:val="001253F1"/>
  </w:style>
  <w:style w:type="paragraph" w:customStyle="1" w:styleId="Picture">
    <w:name w:val="Picture"/>
    <w:basedOn w:val="BodyText"/>
    <w:next w:val="Caption"/>
    <w:rsid w:val="001253F1"/>
    <w:pPr>
      <w:keepNext/>
      <w:tabs>
        <w:tab w:val="right" w:pos="8640"/>
      </w:tabs>
      <w:spacing w:after="280"/>
      <w:jc w:val="center"/>
    </w:pPr>
    <w:rPr>
      <w:rFonts w:ascii="Garamond" w:hAnsi="Garamond"/>
      <w:spacing w:val="-2"/>
      <w:szCs w:val="20"/>
    </w:rPr>
  </w:style>
  <w:style w:type="paragraph" w:styleId="TableofFigures">
    <w:name w:val="table of figures"/>
    <w:basedOn w:val="Normal"/>
    <w:semiHidden/>
    <w:rsid w:val="001253F1"/>
    <w:pPr>
      <w:tabs>
        <w:tab w:val="right" w:leader="dot" w:pos="8640"/>
      </w:tabs>
      <w:ind w:left="720" w:hanging="720"/>
      <w:jc w:val="both"/>
    </w:pPr>
    <w:rPr>
      <w:rFonts w:ascii="Garamond" w:hAnsi="Garamond"/>
      <w:spacing w:val="-2"/>
      <w:szCs w:val="20"/>
    </w:rPr>
  </w:style>
  <w:style w:type="paragraph" w:styleId="Title">
    <w:name w:val="Title"/>
    <w:basedOn w:val="Normal"/>
    <w:next w:val="Subtitle"/>
    <w:qFormat/>
    <w:rsid w:val="001253F1"/>
    <w:pPr>
      <w:keepNext/>
      <w:keepLines/>
      <w:tabs>
        <w:tab w:val="right" w:pos="8640"/>
      </w:tabs>
      <w:spacing w:after="280"/>
      <w:ind w:left="1920" w:right="1920"/>
      <w:jc w:val="center"/>
    </w:pPr>
    <w:rPr>
      <w:rFonts w:ascii="Garamond" w:hAnsi="Garamond"/>
      <w:caps/>
      <w:spacing w:val="-2"/>
      <w:kern w:val="28"/>
      <w:szCs w:val="20"/>
    </w:rPr>
  </w:style>
  <w:style w:type="paragraph" w:styleId="Subtitle">
    <w:name w:val="Subtitle"/>
    <w:basedOn w:val="Normal"/>
    <w:qFormat/>
    <w:rsid w:val="001253F1"/>
    <w:pPr>
      <w:spacing w:after="60"/>
      <w:jc w:val="center"/>
      <w:outlineLvl w:val="1"/>
    </w:pPr>
    <w:rPr>
      <w:rFonts w:ascii="Arial" w:hAnsi="Arial" w:cs="Arial"/>
    </w:rPr>
  </w:style>
  <w:style w:type="paragraph" w:customStyle="1" w:styleId="TitleCover">
    <w:name w:val="Title Cover"/>
    <w:basedOn w:val="Normal"/>
    <w:next w:val="Normal"/>
    <w:rsid w:val="001253F1"/>
    <w:pPr>
      <w:keepNext/>
      <w:keepLines/>
      <w:tabs>
        <w:tab w:val="right" w:pos="8640"/>
      </w:tabs>
      <w:spacing w:before="780" w:after="420"/>
      <w:ind w:left="1920" w:right="1920"/>
      <w:jc w:val="center"/>
    </w:pPr>
    <w:rPr>
      <w:rFonts w:ascii="Garamond" w:hAnsi="Garamond"/>
      <w:caps/>
      <w:spacing w:val="5"/>
      <w:kern w:val="28"/>
      <w:szCs w:val="20"/>
    </w:rPr>
  </w:style>
  <w:style w:type="paragraph" w:customStyle="1" w:styleId="Equation">
    <w:name w:val="Equation"/>
    <w:basedOn w:val="Normal"/>
    <w:next w:val="BodyText"/>
    <w:autoRedefine/>
    <w:rsid w:val="001253F1"/>
    <w:pPr>
      <w:tabs>
        <w:tab w:val="right" w:pos="4423"/>
      </w:tabs>
      <w:jc w:val="center"/>
    </w:pPr>
    <w:rPr>
      <w:position w:val="-6"/>
    </w:rPr>
  </w:style>
  <w:style w:type="paragraph" w:customStyle="1" w:styleId="Table">
    <w:name w:val="Table"/>
    <w:basedOn w:val="BodyText"/>
    <w:next w:val="Caption"/>
    <w:rsid w:val="001253F1"/>
    <w:pPr>
      <w:spacing w:before="240" w:line="360" w:lineRule="auto"/>
      <w:jc w:val="center"/>
    </w:pPr>
    <w:rPr>
      <w:rFonts w:ascii="Arial" w:hAnsi="Arial"/>
      <w:spacing w:val="10"/>
    </w:rPr>
  </w:style>
  <w:style w:type="paragraph" w:styleId="Header">
    <w:name w:val="header"/>
    <w:basedOn w:val="Normal"/>
    <w:rsid w:val="001253F1"/>
    <w:pPr>
      <w:tabs>
        <w:tab w:val="center" w:pos="4153"/>
        <w:tab w:val="right" w:pos="8306"/>
      </w:tabs>
    </w:pPr>
  </w:style>
  <w:style w:type="paragraph" w:customStyle="1" w:styleId="PaperTitle">
    <w:name w:val="Paper Title"/>
    <w:basedOn w:val="ChapterTitle"/>
    <w:rsid w:val="001253F1"/>
    <w:pPr>
      <w:spacing w:before="240" w:after="120"/>
    </w:pPr>
    <w:rPr>
      <w:rFonts w:ascii="Arial" w:hAnsi="Arial"/>
      <w:b/>
      <w:spacing w:val="10"/>
      <w:sz w:val="28"/>
      <w:lang w:val="en-IE"/>
    </w:rPr>
  </w:style>
  <w:style w:type="paragraph" w:customStyle="1" w:styleId="Affiliation">
    <w:name w:val="Affiliation"/>
    <w:basedOn w:val="BodyText"/>
    <w:rsid w:val="001253F1"/>
    <w:pPr>
      <w:jc w:val="center"/>
    </w:pPr>
  </w:style>
  <w:style w:type="paragraph" w:styleId="Footer">
    <w:name w:val="footer"/>
    <w:basedOn w:val="Normal"/>
    <w:rsid w:val="001253F1"/>
    <w:pPr>
      <w:tabs>
        <w:tab w:val="center" w:pos="4153"/>
        <w:tab w:val="right" w:pos="8306"/>
      </w:tabs>
    </w:pPr>
  </w:style>
  <w:style w:type="character" w:styleId="Hyperlink">
    <w:name w:val="Hyperlink"/>
    <w:rsid w:val="001253F1"/>
    <w:rPr>
      <w:color w:val="0000FF"/>
      <w:u w:val="single"/>
    </w:rPr>
  </w:style>
  <w:style w:type="paragraph" w:customStyle="1" w:styleId="Keyword">
    <w:name w:val="Keyword"/>
    <w:basedOn w:val="BodyText"/>
    <w:next w:val="Heading2"/>
    <w:rsid w:val="001253F1"/>
    <w:pPr>
      <w:spacing w:before="120"/>
      <w:jc w:val="left"/>
    </w:pPr>
    <w:rPr>
      <w:iCs/>
    </w:rPr>
  </w:style>
  <w:style w:type="paragraph" w:customStyle="1" w:styleId="Abstract">
    <w:name w:val="Abstract"/>
    <w:basedOn w:val="Heading1"/>
    <w:next w:val="BodyText"/>
    <w:rsid w:val="001253F1"/>
    <w:pPr>
      <w:numPr>
        <w:numId w:val="0"/>
      </w:numPr>
      <w:jc w:val="center"/>
    </w:pPr>
  </w:style>
  <w:style w:type="paragraph" w:customStyle="1" w:styleId="TableHeading">
    <w:name w:val="Table Heading"/>
    <w:basedOn w:val="BodyText"/>
    <w:rsid w:val="001253F1"/>
    <w:pPr>
      <w:spacing w:before="120" w:after="120"/>
      <w:jc w:val="center"/>
    </w:pPr>
    <w:rPr>
      <w:rFonts w:ascii="Arial" w:hAnsi="Arial"/>
    </w:rPr>
  </w:style>
  <w:style w:type="paragraph" w:customStyle="1" w:styleId="FigureHeading">
    <w:name w:val="Figure Heading"/>
    <w:basedOn w:val="BodyText"/>
    <w:rsid w:val="001253F1"/>
    <w:pPr>
      <w:spacing w:before="120" w:after="120"/>
      <w:jc w:val="center"/>
    </w:pPr>
    <w:rPr>
      <w:rFonts w:ascii="Arial" w:hAnsi="Arial"/>
    </w:rPr>
  </w:style>
  <w:style w:type="paragraph" w:styleId="E-mailSignature">
    <w:name w:val="E-mail Signature"/>
    <w:basedOn w:val="Normal"/>
    <w:rsid w:val="001253F1"/>
  </w:style>
  <w:style w:type="paragraph" w:styleId="NormalWeb">
    <w:name w:val="Normal (Web)"/>
    <w:basedOn w:val="Normal"/>
    <w:uiPriority w:val="99"/>
    <w:semiHidden/>
    <w:unhideWhenUsed/>
    <w:rsid w:val="009C6D5D"/>
    <w:pPr>
      <w:spacing w:before="100" w:beforeAutospacing="1" w:after="100" w:afterAutospacing="1"/>
    </w:pPr>
    <w:rPr>
      <w:lang w:val="en-IE" w:eastAsia="en-IE"/>
    </w:rPr>
  </w:style>
  <w:style w:type="character" w:customStyle="1" w:styleId="Heading2Char">
    <w:name w:val="Heading 2 Char"/>
    <w:link w:val="Heading2"/>
    <w:rsid w:val="00F42F33"/>
    <w:rPr>
      <w:rFonts w:ascii="Arial" w:hAnsi="Arial"/>
      <w:b/>
      <w:kern w:val="28"/>
      <w:sz w:val="24"/>
      <w:lang w:val="en-GB" w:eastAsia="en-US"/>
    </w:rPr>
  </w:style>
  <w:style w:type="character" w:customStyle="1" w:styleId="BodyTextChar">
    <w:name w:val="Body Text Char"/>
    <w:link w:val="BodyText"/>
    <w:rsid w:val="00F42F33"/>
    <w:rPr>
      <w:sz w:val="24"/>
      <w:szCs w:val="24"/>
      <w:lang w:val="en-GB" w:eastAsia="en-US"/>
    </w:rPr>
  </w:style>
  <w:style w:type="paragraph" w:styleId="Bibliography">
    <w:name w:val="Bibliography"/>
    <w:basedOn w:val="Normal"/>
    <w:next w:val="Normal"/>
    <w:uiPriority w:val="37"/>
    <w:unhideWhenUsed/>
    <w:rsid w:val="002D34BB"/>
    <w:pPr>
      <w:tabs>
        <w:tab w:val="left" w:pos="384"/>
      </w:tabs>
      <w:ind w:left="384" w:hanging="384"/>
    </w:pPr>
  </w:style>
  <w:style w:type="paragraph" w:styleId="FootnoteText">
    <w:name w:val="footnote text"/>
    <w:basedOn w:val="Normal"/>
    <w:link w:val="FootnoteTextChar"/>
    <w:uiPriority w:val="99"/>
    <w:semiHidden/>
    <w:unhideWhenUsed/>
    <w:rsid w:val="005E5F36"/>
    <w:rPr>
      <w:sz w:val="20"/>
      <w:szCs w:val="20"/>
    </w:rPr>
  </w:style>
  <w:style w:type="character" w:customStyle="1" w:styleId="FootnoteTextChar">
    <w:name w:val="Footnote Text Char"/>
    <w:link w:val="FootnoteText"/>
    <w:uiPriority w:val="99"/>
    <w:semiHidden/>
    <w:rsid w:val="005E5F36"/>
    <w:rPr>
      <w:lang w:val="en-GB" w:eastAsia="en-US"/>
    </w:rPr>
  </w:style>
  <w:style w:type="character" w:styleId="FootnoteReference">
    <w:name w:val="footnote reference"/>
    <w:uiPriority w:val="99"/>
    <w:semiHidden/>
    <w:unhideWhenUsed/>
    <w:rsid w:val="005E5F36"/>
    <w:rPr>
      <w:vertAlign w:val="superscript"/>
    </w:rPr>
  </w:style>
  <w:style w:type="character" w:styleId="FollowedHyperlink">
    <w:name w:val="FollowedHyperlink"/>
    <w:uiPriority w:val="99"/>
    <w:semiHidden/>
    <w:unhideWhenUsed/>
    <w:rsid w:val="00A84A98"/>
    <w:rPr>
      <w:color w:val="954F72"/>
      <w:u w:val="single"/>
    </w:rPr>
  </w:style>
  <w:style w:type="paragraph" w:styleId="BalloonText">
    <w:name w:val="Balloon Text"/>
    <w:basedOn w:val="Normal"/>
    <w:link w:val="BalloonTextChar"/>
    <w:uiPriority w:val="99"/>
    <w:semiHidden/>
    <w:unhideWhenUsed/>
    <w:rsid w:val="00524695"/>
    <w:rPr>
      <w:rFonts w:ascii="Segoe UI" w:hAnsi="Segoe UI" w:cs="Segoe UI"/>
      <w:sz w:val="18"/>
      <w:szCs w:val="18"/>
    </w:rPr>
  </w:style>
  <w:style w:type="character" w:customStyle="1" w:styleId="BalloonTextChar">
    <w:name w:val="Balloon Text Char"/>
    <w:link w:val="BalloonText"/>
    <w:uiPriority w:val="99"/>
    <w:semiHidden/>
    <w:rsid w:val="00524695"/>
    <w:rPr>
      <w:rFonts w:ascii="Segoe UI" w:hAnsi="Segoe UI" w:cs="Segoe UI"/>
      <w:sz w:val="18"/>
      <w:szCs w:val="18"/>
      <w:lang w:val="en-GB" w:eastAsia="en-US"/>
    </w:rPr>
  </w:style>
  <w:style w:type="character" w:customStyle="1" w:styleId="TAMainTextChar">
    <w:name w:val="TA_Main_Text Char"/>
    <w:link w:val="TAMainText"/>
    <w:locked/>
    <w:rsid w:val="00B07358"/>
    <w:rPr>
      <w:rFonts w:ascii="Times" w:hAnsi="Times"/>
      <w:sz w:val="24"/>
    </w:rPr>
  </w:style>
  <w:style w:type="paragraph" w:customStyle="1" w:styleId="TAMainText">
    <w:name w:val="TA_Main_Text"/>
    <w:basedOn w:val="Normal"/>
    <w:link w:val="TAMainTextChar"/>
    <w:rsid w:val="00B07358"/>
    <w:pPr>
      <w:spacing w:line="480" w:lineRule="auto"/>
      <w:ind w:firstLine="202"/>
      <w:jc w:val="both"/>
    </w:pPr>
    <w:rPr>
      <w:rFonts w:ascii="Times" w:hAnsi="Times"/>
      <w:szCs w:val="20"/>
      <w:lang w:eastAsia="en-GB"/>
    </w:rPr>
  </w:style>
  <w:style w:type="table" w:styleId="TableGrid">
    <w:name w:val="Table Grid"/>
    <w:basedOn w:val="TableNormal"/>
    <w:uiPriority w:val="59"/>
    <w:rsid w:val="002972D5"/>
    <w:rPr>
      <w:rFonts w:ascii="New York" w:hAnsi="New York"/>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B4938"/>
    <w:rPr>
      <w:rFonts w:ascii="Arial" w:hAnsi="Arial"/>
      <w:b/>
      <w:caps/>
      <w:sz w:val="24"/>
      <w:lang w:eastAsia="en-US"/>
    </w:rPr>
  </w:style>
</w:styles>
</file>

<file path=word/webSettings.xml><?xml version="1.0" encoding="utf-8"?>
<w:webSettings xmlns:r="http://schemas.openxmlformats.org/officeDocument/2006/relationships" xmlns:w="http://schemas.openxmlformats.org/wordprocessingml/2006/main">
  <w:divs>
    <w:div w:id="174073692">
      <w:bodyDiv w:val="1"/>
      <w:marLeft w:val="0"/>
      <w:marRight w:val="0"/>
      <w:marTop w:val="0"/>
      <w:marBottom w:val="0"/>
      <w:divBdr>
        <w:top w:val="none" w:sz="0" w:space="0" w:color="auto"/>
        <w:left w:val="none" w:sz="0" w:space="0" w:color="auto"/>
        <w:bottom w:val="none" w:sz="0" w:space="0" w:color="auto"/>
        <w:right w:val="none" w:sz="0" w:space="0" w:color="auto"/>
      </w:divBdr>
    </w:div>
    <w:div w:id="462430464">
      <w:bodyDiv w:val="1"/>
      <w:marLeft w:val="0"/>
      <w:marRight w:val="0"/>
      <w:marTop w:val="0"/>
      <w:marBottom w:val="0"/>
      <w:divBdr>
        <w:top w:val="none" w:sz="0" w:space="0" w:color="auto"/>
        <w:left w:val="none" w:sz="0" w:space="0" w:color="auto"/>
        <w:bottom w:val="none" w:sz="0" w:space="0" w:color="auto"/>
        <w:right w:val="none" w:sz="0" w:space="0" w:color="auto"/>
      </w:divBdr>
    </w:div>
    <w:div w:id="956108091">
      <w:bodyDiv w:val="1"/>
      <w:marLeft w:val="0"/>
      <w:marRight w:val="0"/>
      <w:marTop w:val="0"/>
      <w:marBottom w:val="0"/>
      <w:divBdr>
        <w:top w:val="none" w:sz="0" w:space="0" w:color="auto"/>
        <w:left w:val="none" w:sz="0" w:space="0" w:color="auto"/>
        <w:bottom w:val="none" w:sz="0" w:space="0" w:color="auto"/>
        <w:right w:val="none" w:sz="0" w:space="0" w:color="auto"/>
      </w:divBdr>
    </w:div>
    <w:div w:id="1037705127">
      <w:bodyDiv w:val="1"/>
      <w:marLeft w:val="0"/>
      <w:marRight w:val="0"/>
      <w:marTop w:val="0"/>
      <w:marBottom w:val="0"/>
      <w:divBdr>
        <w:top w:val="none" w:sz="0" w:space="0" w:color="auto"/>
        <w:left w:val="none" w:sz="0" w:space="0" w:color="auto"/>
        <w:bottom w:val="none" w:sz="0" w:space="0" w:color="auto"/>
        <w:right w:val="none" w:sz="0" w:space="0" w:color="auto"/>
      </w:divBdr>
    </w:div>
    <w:div w:id="1280408758">
      <w:bodyDiv w:val="1"/>
      <w:marLeft w:val="0"/>
      <w:marRight w:val="0"/>
      <w:marTop w:val="0"/>
      <w:marBottom w:val="0"/>
      <w:divBdr>
        <w:top w:val="none" w:sz="0" w:space="0" w:color="auto"/>
        <w:left w:val="none" w:sz="0" w:space="0" w:color="auto"/>
        <w:bottom w:val="none" w:sz="0" w:space="0" w:color="auto"/>
        <w:right w:val="none" w:sz="0" w:space="0" w:color="auto"/>
      </w:divBdr>
    </w:div>
    <w:div w:id="1518931152">
      <w:bodyDiv w:val="1"/>
      <w:marLeft w:val="0"/>
      <w:marRight w:val="0"/>
      <w:marTop w:val="0"/>
      <w:marBottom w:val="0"/>
      <w:divBdr>
        <w:top w:val="none" w:sz="0" w:space="0" w:color="auto"/>
        <w:left w:val="none" w:sz="0" w:space="0" w:color="auto"/>
        <w:bottom w:val="none" w:sz="0" w:space="0" w:color="auto"/>
        <w:right w:val="none" w:sz="0" w:space="0" w:color="auto"/>
      </w:divBdr>
    </w:div>
    <w:div w:id="1549564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CFCD-3F5D-442D-829A-AAE4970D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2992</Words>
  <Characters>37567</Characters>
  <Application>Microsoft Office Word</Application>
  <DocSecurity>0</DocSecurity>
  <Lines>313</Lines>
  <Paragraphs>80</Paragraphs>
  <ScaleCrop>false</ScaleCrop>
  <HeadingPairs>
    <vt:vector size="2" baseType="variant">
      <vt:variant>
        <vt:lpstr>Title</vt:lpstr>
      </vt:variant>
      <vt:variant>
        <vt:i4>1</vt:i4>
      </vt:variant>
    </vt:vector>
  </HeadingPairs>
  <TitlesOfParts>
    <vt:vector size="1" baseType="lpstr">
      <vt:lpstr>GUIDELINES FOR THE PREPARATION OF MANUSCRIPT FOR AMPT2003</vt:lpstr>
    </vt:vector>
  </TitlesOfParts>
  <Company>DCU</Company>
  <LinksUpToDate>false</LinksUpToDate>
  <CharactersWithSpaces>40479</CharactersWithSpaces>
  <SharedDoc>false</SharedDoc>
  <HLinks>
    <vt:vector size="6" baseType="variant">
      <vt:variant>
        <vt:i4>3866749</vt:i4>
      </vt:variant>
      <vt:variant>
        <vt:i4>12</vt:i4>
      </vt:variant>
      <vt:variant>
        <vt:i4>0</vt:i4>
      </vt:variant>
      <vt:variant>
        <vt:i4>5</vt:i4>
      </vt:variant>
      <vt:variant>
        <vt:lpwstr>http://seep2017members.fkkt.um.si/user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MANUSCRIPT FOR AMPT2003</dc:title>
  <dc:subject/>
  <dc:creator>PadmanaR</dc:creator>
  <cp:keywords/>
  <cp:lastModifiedBy>Omar.Azayem</cp:lastModifiedBy>
  <cp:revision>5</cp:revision>
  <cp:lastPrinted>2017-02-09T14:26:00Z</cp:lastPrinted>
  <dcterms:created xsi:type="dcterms:W3CDTF">2017-04-11T09:54:00Z</dcterms:created>
  <dcterms:modified xsi:type="dcterms:W3CDTF">2017-04-11T10:31:00Z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id="rAF5UxLN"/&gt;&lt;style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acca180e-8023-31f9-a446-bb79efda3fca</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http://www.zotero.org/styles/bioresource-technology</vt:lpwstr>
  </property>
  <property fmtid="{D5CDD505-2E9C-101B-9397-08002B2CF9AE}" pid="14" name="Mendeley Recent Style Name 3_1">
    <vt:lpwstr>Bioresource Technology</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http://www.zotero.org/styles/renewable-energy</vt:lpwstr>
  </property>
  <property fmtid="{D5CDD505-2E9C-101B-9397-08002B2CF9AE}" pid="26" name="Mendeley Recent Style Name 9_1">
    <vt:lpwstr>Renewable Energy</vt:lpwstr>
  </property>
</Properties>
</file>