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8560" w14:textId="77777777" w:rsidR="00A370FF" w:rsidRPr="00E32DAC" w:rsidRDefault="002E2A64" w:rsidP="00834DA1">
      <w:pPr>
        <w:pStyle w:val="eceee-BodyText"/>
        <w:jc w:val="center"/>
      </w:pPr>
      <w:r>
        <w:t>5-301-17 Gillich</w:t>
      </w:r>
    </w:p>
    <w:p w14:paraId="5A7C9BCD" w14:textId="77777777" w:rsidR="00A370FF" w:rsidRPr="008B62C6" w:rsidRDefault="00A370FF" w:rsidP="00834DA1">
      <w:pPr>
        <w:pStyle w:val="eceee-BodyText"/>
      </w:pPr>
    </w:p>
    <w:p w14:paraId="7971DED6" w14:textId="77777777" w:rsidR="00A370FF" w:rsidRDefault="002E2A64" w:rsidP="002E2A64">
      <w:pPr>
        <w:pStyle w:val="Title"/>
      </w:pPr>
      <w:r w:rsidRPr="00BF5E1B">
        <w:t>A smarter way to electrify heat</w:t>
      </w:r>
      <w:r>
        <w:t xml:space="preserve"> –</w:t>
      </w:r>
      <w:r w:rsidRPr="00BF5E1B">
        <w:t xml:space="preserve"> The Balanced Energy Network approach to demand side response</w:t>
      </w:r>
      <w:r>
        <w:t xml:space="preserve"> in the UK</w:t>
      </w:r>
    </w:p>
    <w:p w14:paraId="207EB001" w14:textId="77777777" w:rsidR="00A370FF" w:rsidRPr="001C3231" w:rsidRDefault="00A370FF" w:rsidP="00717ECB">
      <w:pPr>
        <w:pStyle w:val="eceee-Author"/>
      </w:pPr>
      <w:r>
        <w:t>Authors</w:t>
      </w:r>
      <w:r w:rsidR="002E2A64">
        <w:t>:</w:t>
      </w:r>
      <w:r w:rsidR="002E2A64" w:rsidRPr="002E2A64">
        <w:t xml:space="preserve"> </w:t>
      </w:r>
      <w:r w:rsidR="002E2A64">
        <w:t>Aaron Gillich</w:t>
      </w:r>
      <w:r w:rsidR="002E2A64" w:rsidRPr="002E2A64">
        <w:rPr>
          <w:vertAlign w:val="superscript"/>
        </w:rPr>
        <w:t>1</w:t>
      </w:r>
      <w:r w:rsidR="002E2A64">
        <w:t>,</w:t>
      </w:r>
      <w:r w:rsidR="002E2A64" w:rsidRPr="003051AC">
        <w:t xml:space="preserve"> </w:t>
      </w:r>
      <w:r w:rsidR="002E2A64">
        <w:t>Csaba Zagoni</w:t>
      </w:r>
      <w:r w:rsidR="002E2A64" w:rsidRPr="002E2A64">
        <w:rPr>
          <w:vertAlign w:val="superscript"/>
        </w:rPr>
        <w:t>2</w:t>
      </w:r>
      <w:r w:rsidR="002E2A64">
        <w:t>, Andy Ford</w:t>
      </w:r>
      <w:r w:rsidR="002E2A64" w:rsidRPr="002E2A64">
        <w:rPr>
          <w:vertAlign w:val="superscript"/>
        </w:rPr>
        <w:t>1</w:t>
      </w:r>
      <w:r w:rsidR="002E2A64">
        <w:t>, Graham Oakes</w:t>
      </w:r>
      <w:r w:rsidR="002E2A64" w:rsidRPr="002E2A64">
        <w:rPr>
          <w:vertAlign w:val="superscript"/>
        </w:rPr>
        <w:t>2</w:t>
      </w:r>
      <w:r w:rsidR="001C3231">
        <w:t>, Mark Hewitt</w:t>
      </w:r>
      <w:r w:rsidR="001C3231" w:rsidRPr="001C3231">
        <w:rPr>
          <w:vertAlign w:val="superscript"/>
        </w:rPr>
        <w:t>3</w:t>
      </w:r>
    </w:p>
    <w:p w14:paraId="3732DE5F" w14:textId="77777777" w:rsidR="002E2A64" w:rsidRDefault="002E2A64" w:rsidP="00717ECB">
      <w:pPr>
        <w:pStyle w:val="eceee-Author"/>
      </w:pPr>
      <w:r w:rsidRPr="002E2A64">
        <w:t xml:space="preserve">1 </w:t>
      </w:r>
      <w:r>
        <w:t>London South Bank University, 103 Borough Road, London, SE1 0AA</w:t>
      </w:r>
    </w:p>
    <w:p w14:paraId="3589AB58" w14:textId="77777777" w:rsidR="002E2A64" w:rsidRDefault="002E2A64" w:rsidP="00717ECB">
      <w:pPr>
        <w:pStyle w:val="eceee-Author"/>
      </w:pPr>
      <w:r>
        <w:t>2 Upside Energy, 1 Fore St, London, EC2Y 9DT</w:t>
      </w:r>
    </w:p>
    <w:p w14:paraId="7D7F17B8" w14:textId="77777777" w:rsidR="001C3231" w:rsidRDefault="001C3231" w:rsidP="001C3231">
      <w:pPr>
        <w:pStyle w:val="eceee-Author"/>
      </w:pPr>
      <w:r>
        <w:t>3 ICAX, 33 Greenwood Place, London NW5 1LB</w:t>
      </w:r>
    </w:p>
    <w:p w14:paraId="0FBDFC5C" w14:textId="77777777" w:rsidR="00A370FF" w:rsidRPr="00307870" w:rsidRDefault="00A370FF" w:rsidP="00307870">
      <w:pPr>
        <w:pStyle w:val="eceee-Heading1"/>
      </w:pPr>
      <w:r w:rsidRPr="00307870">
        <w:t>Abstract</w:t>
      </w:r>
    </w:p>
    <w:p w14:paraId="06871B7C" w14:textId="77777777" w:rsidR="002E2A64" w:rsidRPr="00BF5E1B" w:rsidRDefault="002E2A64" w:rsidP="00307870">
      <w:pPr>
        <w:pStyle w:val="eceee-BodyText"/>
      </w:pPr>
      <w:r w:rsidRPr="00BF5E1B">
        <w:t xml:space="preserve">The Climate Change Committee states that the UK’s 2050 carbon targets are unachievable without a near complete decarbonisation of the heating sector.  With heating at </w:t>
      </w:r>
      <w:r w:rsidR="00460EE5">
        <w:t>nearly</w:t>
      </w:r>
      <w:r w:rsidRPr="00BF5E1B">
        <w:t xml:space="preserve"> half the UK’s energy use this represents a staggering challenge for the buil</w:t>
      </w:r>
      <w:r w:rsidR="00D40EA2">
        <w:t>t</w:t>
      </w:r>
      <w:r w:rsidRPr="00BF5E1B">
        <w:t xml:space="preserve"> environment; particularly the ageing existing stock.  Any path to low carbon heating requires considerable electrification of heat, and meeting the electric demand through a greener grid.  </w:t>
      </w:r>
    </w:p>
    <w:p w14:paraId="08361128" w14:textId="77777777" w:rsidR="002E2A64" w:rsidRPr="00BF5E1B" w:rsidRDefault="002E2A64" w:rsidP="00307870">
      <w:pPr>
        <w:pStyle w:val="eceee-BodyText"/>
      </w:pPr>
      <w:r w:rsidRPr="00BF5E1B">
        <w:t xml:space="preserve">This paper presents early results from a Balanced Energy Network (BEN) demonstration project at London South Bank University that offers a novel approach to </w:t>
      </w:r>
      <w:r w:rsidR="00A25969">
        <w:t>electrifying heat</w:t>
      </w:r>
      <w:r w:rsidRPr="00BF5E1B">
        <w:t xml:space="preserve">. </w:t>
      </w:r>
    </w:p>
    <w:p w14:paraId="1D3CEC59" w14:textId="77777777" w:rsidR="00AA66D4" w:rsidRDefault="002E2A64" w:rsidP="007A11A1">
      <w:pPr>
        <w:pStyle w:val="eceee-BodyText"/>
      </w:pPr>
      <w:r w:rsidRPr="00BF5E1B">
        <w:t xml:space="preserve">BEN is a </w:t>
      </w:r>
      <w:r w:rsidR="000A1E13">
        <w:t xml:space="preserve">heat pump driven </w:t>
      </w:r>
      <w:r w:rsidRPr="00BF5E1B">
        <w:t xml:space="preserve">network that uses </w:t>
      </w:r>
      <w:r w:rsidR="001C3231">
        <w:t>a low temperature heat network</w:t>
      </w:r>
      <w:r w:rsidRPr="00BF5E1B">
        <w:t xml:space="preserve"> to link buildings together</w:t>
      </w:r>
      <w:r w:rsidR="000A1E13">
        <w:t xml:space="preserve">, and </w:t>
      </w:r>
      <w:r w:rsidRPr="00BF5E1B">
        <w:t xml:space="preserve">makes use of demand side response to communicate with the national grid and use electricity at optimal times.  This essentially turns the heat pumps and the buildings themselves into distributed storage systems that provide a low cost balancing service for the national grid.  </w:t>
      </w:r>
    </w:p>
    <w:p w14:paraId="4543CA61" w14:textId="77777777" w:rsidR="000A1E13" w:rsidRDefault="002E2A64" w:rsidP="000A1E13">
      <w:pPr>
        <w:pStyle w:val="eceee-BodyText"/>
      </w:pPr>
      <w:r w:rsidRPr="00BF5E1B">
        <w:t xml:space="preserve">This paper </w:t>
      </w:r>
      <w:r w:rsidR="000A1E13">
        <w:t>is presented in two main parts: 1) A description of the two buildings in the L</w:t>
      </w:r>
      <w:r w:rsidR="00AA66D4">
        <w:t>SB</w:t>
      </w:r>
      <w:r w:rsidR="000A1E13">
        <w:t>U campus where two heat pumps are installed in parallel to the existing gas boilers.</w:t>
      </w:r>
      <w:r w:rsidR="00AA66D4">
        <w:t xml:space="preserve"> And 2) </w:t>
      </w:r>
      <w:r w:rsidR="000A1E13">
        <w:t>Calculating/simulating the potential revenue of utilising the DSR potential from the heat pumps</w:t>
      </w:r>
      <w:r w:rsidR="00DB6EDD">
        <w:t xml:space="preserve"> at a constant COP</w:t>
      </w:r>
      <w:r w:rsidR="000A1E13">
        <w:t xml:space="preserve"> and the heat storage (a hot water storage tank) in three different flexibility markets: FFR, STOR and UoS. </w:t>
      </w:r>
      <w:r w:rsidR="000A1E13" w:rsidRPr="00BF5E1B">
        <w:t>The implications of expanding BEN networks will be explored in the context of increased capacity for demand side response as a load shifting tool across the UK</w:t>
      </w:r>
      <w:r w:rsidR="000A1E13">
        <w:t>.</w:t>
      </w:r>
    </w:p>
    <w:p w14:paraId="54B7BFFB" w14:textId="77777777" w:rsidR="00A370FF" w:rsidRPr="00AC2A39" w:rsidRDefault="00A370FF" w:rsidP="00EB7F55">
      <w:pPr>
        <w:pStyle w:val="eceee-Heading1"/>
      </w:pPr>
      <w:r>
        <w:t>Introduction</w:t>
      </w:r>
    </w:p>
    <w:p w14:paraId="284CEABC" w14:textId="77777777" w:rsidR="002E2A64" w:rsidRPr="00BF5E1B" w:rsidRDefault="002E2A64" w:rsidP="00307870">
      <w:pPr>
        <w:pStyle w:val="eceee-BodyText"/>
      </w:pPr>
      <w:r w:rsidRPr="00867492">
        <w:t xml:space="preserve">The UK faces a considerable challenge in addressing the trilemma of a low cost, low carbon, </w:t>
      </w:r>
      <w:r w:rsidR="00F54DC6">
        <w:t xml:space="preserve">and </w:t>
      </w:r>
      <w:r w:rsidRPr="00867492">
        <w:t xml:space="preserve">secure energy system by 2050.  </w:t>
      </w:r>
      <w:r w:rsidRPr="00BF5E1B">
        <w:t xml:space="preserve">The Committee </w:t>
      </w:r>
      <w:r>
        <w:t xml:space="preserve">on </w:t>
      </w:r>
      <w:r w:rsidRPr="00BF5E1B">
        <w:t>Climate Change states that the UK’s 2050 carbon targets are unachievable without a near complete decarbonisation of the heating sector</w:t>
      </w:r>
      <w:r w:rsidRPr="00444578">
        <w:t xml:space="preserve"> </w:t>
      </w:r>
      <w:r w:rsidR="00460EE5" w:rsidRPr="00460EE5">
        <w:rPr>
          <w:noProof/>
        </w:rPr>
        <w:t>(CCC, 2016)</w:t>
      </w:r>
      <w:r w:rsidRPr="00BF5E1B">
        <w:t xml:space="preserve">.  With heating at </w:t>
      </w:r>
      <w:r>
        <w:t>40</w:t>
      </w:r>
      <w:r w:rsidR="00F54DC6">
        <w:t xml:space="preserve"> </w:t>
      </w:r>
      <w:r>
        <w:t>%</w:t>
      </w:r>
      <w:r w:rsidRPr="00BF5E1B">
        <w:t xml:space="preserve"> the UK’s energy use </w:t>
      </w:r>
      <w:r w:rsidRPr="00444578">
        <w:rPr>
          <w:noProof/>
        </w:rPr>
        <w:t>(CCC, 2016)</w:t>
      </w:r>
      <w:r w:rsidR="00F54DC6">
        <w:rPr>
          <w:noProof/>
        </w:rPr>
        <w:t>,</w:t>
      </w:r>
      <w:r>
        <w:t xml:space="preserve"> </w:t>
      </w:r>
      <w:r w:rsidRPr="00BF5E1B">
        <w:t>this represents a staggering challenge for the buil</w:t>
      </w:r>
      <w:r w:rsidR="001C3231">
        <w:t>t</w:t>
      </w:r>
      <w:r w:rsidRPr="00BF5E1B">
        <w:t xml:space="preserve"> environment.  Any path to low carbon heating requires considerable electrification of heat, and then meeting the electric demand through a greener grid.  </w:t>
      </w:r>
    </w:p>
    <w:p w14:paraId="29D5ED03" w14:textId="77777777" w:rsidR="002E2A64" w:rsidRDefault="002E2A64" w:rsidP="00307870">
      <w:pPr>
        <w:pStyle w:val="eceee-BodyText"/>
      </w:pPr>
      <w:r>
        <w:t xml:space="preserve">This paper addresses </w:t>
      </w:r>
      <w:r w:rsidR="00A25969">
        <w:t>this problem</w:t>
      </w:r>
      <w:r>
        <w:t xml:space="preserve"> </w:t>
      </w:r>
      <w:r w:rsidR="00867492">
        <w:t>using</w:t>
      </w:r>
      <w:r>
        <w:t xml:space="preserve"> the Balanced Energy Network (BEN) </w:t>
      </w:r>
      <w:r w:rsidR="00867492">
        <w:t xml:space="preserve">case study </w:t>
      </w:r>
      <w:r>
        <w:t xml:space="preserve">demonstration project at London South Bank University. </w:t>
      </w:r>
      <w:r w:rsidR="00460EE5">
        <w:t>The</w:t>
      </w:r>
      <w:r>
        <w:t xml:space="preserve"> BEN </w:t>
      </w:r>
      <w:r w:rsidR="00460EE5">
        <w:t xml:space="preserve">project is </w:t>
      </w:r>
      <w:r w:rsidR="00893BD2" w:rsidRPr="00361E05">
        <w:t>electrifying</w:t>
      </w:r>
      <w:r w:rsidR="00893BD2">
        <w:t xml:space="preserve"> heat by </w:t>
      </w:r>
      <w:r w:rsidR="00460EE5">
        <w:t xml:space="preserve">retrofitting </w:t>
      </w:r>
      <w:r>
        <w:t xml:space="preserve">heat pumps to two buildings using the existing heat distribution system.  It also makes use of distributed storage and demand side response </w:t>
      </w:r>
      <w:r w:rsidR="00867492">
        <w:t xml:space="preserve">(DSR) </w:t>
      </w:r>
      <w:r>
        <w:t>to operate the heat pumps at optimal times.</w:t>
      </w:r>
      <w:r w:rsidR="00893BD2">
        <w:t xml:space="preserve">  This paper summarises the case study and early modelling results showing how the system can reduce heating costs by providing a balancing service to National Grid and making use of DSR revenue streams.</w:t>
      </w:r>
    </w:p>
    <w:p w14:paraId="0EF26735" w14:textId="77777777" w:rsidR="00452646" w:rsidRDefault="00DB6EDD" w:rsidP="00452646">
      <w:pPr>
        <w:pStyle w:val="eceee-BodyText"/>
      </w:pPr>
      <w:r>
        <w:t>A study of 176 DSR sites found that only a small minority engaged in load shifting and demand turn-down, while the majority of demand response was provided by stand-by generators</w:t>
      </w:r>
      <w:r>
        <w:rPr>
          <w:noProof/>
        </w:rPr>
        <w:t xml:space="preserve"> </w:t>
      </w:r>
      <w:r w:rsidRPr="0012344E">
        <w:rPr>
          <w:noProof/>
        </w:rPr>
        <w:t>(Grunewald &amp; Torriti, 2013)</w:t>
      </w:r>
      <w:r>
        <w:t>. Exploiting the full potential of DSR as a grid balancing resource requires better understanding of the operating characteristics of demand side storage devices.  The BEN case study and the present paper are a step towards addressing this gap by presenting early modelling results testing the capacity for BEN to capture DSR revenue</w:t>
      </w:r>
      <w:r w:rsidR="00452646">
        <w:t xml:space="preserve"> assuming a constant COP. Throughout this study, </w:t>
      </w:r>
      <w:r w:rsidR="00452646" w:rsidRPr="00B571CD">
        <w:t xml:space="preserve">Capacity Market revenues, changes in </w:t>
      </w:r>
      <w:r w:rsidR="00AE7B65">
        <w:t>Renewable Heat Incentive</w:t>
      </w:r>
      <w:r w:rsidR="00AE7B65" w:rsidRPr="00B571CD">
        <w:t xml:space="preserve"> </w:t>
      </w:r>
      <w:r w:rsidR="00452646" w:rsidRPr="00B571CD">
        <w:t>income and energy costs are not included</w:t>
      </w:r>
      <w:r w:rsidR="00452646">
        <w:t>.  The service costs for the DSR aggregator are also excluded.</w:t>
      </w:r>
    </w:p>
    <w:p w14:paraId="046E0AF0" w14:textId="77777777" w:rsidR="00861A18" w:rsidRDefault="00893BD2" w:rsidP="00307870">
      <w:pPr>
        <w:pStyle w:val="eceee-BodyText"/>
      </w:pPr>
      <w:r>
        <w:t xml:space="preserve">The structure of the paper is as follows.  </w:t>
      </w:r>
      <w:r w:rsidR="002E2A64">
        <w:t>First</w:t>
      </w:r>
      <w:r w:rsidR="007D22D4">
        <w:t>,</w:t>
      </w:r>
      <w:r w:rsidR="002E2A64">
        <w:t xml:space="preserve"> a literature review of the issue of carbon-free heat will outline the scale of the challenge and the role for both heat networks and heat pumps</w:t>
      </w:r>
      <w:r w:rsidR="007D22D4">
        <w:t xml:space="preserve">, followed by a description of the </w:t>
      </w:r>
      <w:r w:rsidR="00867492">
        <w:t xml:space="preserve">DSR revenue streams </w:t>
      </w:r>
      <w:r w:rsidR="007D22D4">
        <w:t xml:space="preserve">investigated, which are </w:t>
      </w:r>
      <w:r w:rsidR="00867492">
        <w:t xml:space="preserve">Firm Frequency Response (FFR), Short Term Operational Reserve </w:t>
      </w:r>
      <w:r w:rsidR="00867492">
        <w:lastRenderedPageBreak/>
        <w:t>(STOR), and network Use of Service (UoS).</w:t>
      </w:r>
      <w:r w:rsidR="00AA66D4">
        <w:t xml:space="preserve">  The</w:t>
      </w:r>
      <w:r w:rsidR="002E2A64">
        <w:t xml:space="preserve"> BEN case study </w:t>
      </w:r>
      <w:r w:rsidR="00AA66D4">
        <w:t xml:space="preserve">is described </w:t>
      </w:r>
      <w:r w:rsidR="002E2A64">
        <w:t>in detail</w:t>
      </w:r>
      <w:r w:rsidR="007D22D4">
        <w:t>, before t</w:t>
      </w:r>
      <w:r w:rsidR="00AA66D4">
        <w:t>he</w:t>
      </w:r>
      <w:r w:rsidR="00867492">
        <w:t xml:space="preserve"> method section outline</w:t>
      </w:r>
      <w:r w:rsidR="00AA66D4">
        <w:t>s</w:t>
      </w:r>
      <w:r w:rsidR="00867492">
        <w:t xml:space="preserve"> </w:t>
      </w:r>
      <w:r w:rsidR="00AA66D4">
        <w:t>the assumptions used in the DSR model of the BEN system.  T</w:t>
      </w:r>
      <w:r w:rsidR="00867492">
        <w:t>he</w:t>
      </w:r>
      <w:r w:rsidR="007D22D4">
        <w:t xml:space="preserve"> results section presents the</w:t>
      </w:r>
      <w:r w:rsidR="00867492">
        <w:t xml:space="preserve"> </w:t>
      </w:r>
      <w:r w:rsidR="00481FCF">
        <w:t>potential revenue streams through FFR, STOR, and UoS services.</w:t>
      </w:r>
      <w:r w:rsidR="00AA66D4">
        <w:t xml:space="preserve">  </w:t>
      </w:r>
      <w:r w:rsidR="002E2A64">
        <w:t xml:space="preserve">Finally, the </w:t>
      </w:r>
      <w:r w:rsidR="00481FCF">
        <w:t xml:space="preserve">options and limitations in stacking different DSR revenue streams </w:t>
      </w:r>
      <w:r w:rsidR="007D22D4">
        <w:t>are discussed</w:t>
      </w:r>
      <w:r w:rsidR="00481FCF">
        <w:t>, and the paper closes with a</w:t>
      </w:r>
      <w:r w:rsidR="007D22D4">
        <w:t>n</w:t>
      </w:r>
      <w:r w:rsidR="00481FCF">
        <w:t xml:space="preserve"> </w:t>
      </w:r>
      <w:r w:rsidR="007D22D4">
        <w:t xml:space="preserve">assessment </w:t>
      </w:r>
      <w:r w:rsidR="00481FCF">
        <w:t xml:space="preserve">of the </w:t>
      </w:r>
      <w:r w:rsidR="002E2A64">
        <w:t xml:space="preserve">long term implications for BEN style systems </w:t>
      </w:r>
      <w:r w:rsidR="00481FCF">
        <w:t>to both electrify heat more efficiently, and also expand the available resources that can be exploited for DSR balancing services.</w:t>
      </w:r>
    </w:p>
    <w:p w14:paraId="0CA652E3" w14:textId="77777777" w:rsidR="002E2A64" w:rsidRDefault="002276EE" w:rsidP="00307870">
      <w:pPr>
        <w:pStyle w:val="eceee-Heading1"/>
      </w:pPr>
      <w:r>
        <w:t>Background</w:t>
      </w:r>
    </w:p>
    <w:p w14:paraId="63C67CB2" w14:textId="77777777" w:rsidR="002E2A64" w:rsidRDefault="002E2A64" w:rsidP="00307870">
      <w:pPr>
        <w:pStyle w:val="eceee-Heading2"/>
      </w:pPr>
      <w:r>
        <w:t>Carbon-free heat</w:t>
      </w:r>
      <w:r w:rsidR="0083050A">
        <w:t xml:space="preserve"> and flexibility </w:t>
      </w:r>
    </w:p>
    <w:p w14:paraId="50AA9546" w14:textId="77777777" w:rsidR="002276EE" w:rsidRDefault="001264E3" w:rsidP="001264E3">
      <w:pPr>
        <w:pStyle w:val="eceee-BodyText"/>
        <w:rPr>
          <w:noProof/>
        </w:rPr>
      </w:pPr>
      <w:r>
        <w:t>This section briefly explore</w:t>
      </w:r>
      <w:r w:rsidR="000450F7">
        <w:t>s</w:t>
      </w:r>
      <w:r>
        <w:t xml:space="preserve"> </w:t>
      </w:r>
      <w:r w:rsidR="00F54DC6">
        <w:t xml:space="preserve">options for decarbonising the UK heating system. </w:t>
      </w:r>
      <w:r w:rsidR="00924E9F">
        <w:t xml:space="preserve"> </w:t>
      </w:r>
      <w:r w:rsidR="00CC4F84">
        <w:t xml:space="preserve">Studies considering pathways to decarbonising heat commonly include ambitious targets for reductions in demand through </w:t>
      </w:r>
      <w:r w:rsidR="00CC4F84" w:rsidRPr="00743A89">
        <w:t>energy efficiency</w:t>
      </w:r>
      <w:r w:rsidR="00CC4F84">
        <w:t xml:space="preserve"> (e.g. 20-30% by 2030 in </w:t>
      </w:r>
      <w:r w:rsidR="00CC4F84" w:rsidRPr="00924E9F">
        <w:rPr>
          <w:noProof/>
        </w:rPr>
        <w:t xml:space="preserve">MacLean, et al., </w:t>
      </w:r>
      <w:r w:rsidR="00CC4F84">
        <w:rPr>
          <w:noProof/>
        </w:rPr>
        <w:t>(</w:t>
      </w:r>
      <w:r w:rsidR="00CC4F84" w:rsidRPr="00924E9F">
        <w:rPr>
          <w:noProof/>
        </w:rPr>
        <w:t>2016)</w:t>
      </w:r>
      <w:r w:rsidR="00CC4F84">
        <w:rPr>
          <w:noProof/>
        </w:rPr>
        <w:t xml:space="preserve">)  The role of retrofits in </w:t>
      </w:r>
      <w:r w:rsidR="006E0BE4">
        <w:rPr>
          <w:noProof/>
        </w:rPr>
        <w:t>reducing demand for</w:t>
      </w:r>
      <w:r w:rsidR="00CC4F84">
        <w:rPr>
          <w:noProof/>
        </w:rPr>
        <w:t xml:space="preserve"> carbon</w:t>
      </w:r>
      <w:r w:rsidR="006E0BE4">
        <w:rPr>
          <w:noProof/>
        </w:rPr>
        <w:t>-</w:t>
      </w:r>
      <w:r w:rsidR="00CC4F84">
        <w:rPr>
          <w:noProof/>
        </w:rPr>
        <w:t xml:space="preserve">free heat is uncontroversial, but outside the scope of this paper.  </w:t>
      </w:r>
    </w:p>
    <w:p w14:paraId="3B2D8BC0" w14:textId="77777777" w:rsidR="002276EE" w:rsidRDefault="00CC4F84" w:rsidP="001264E3">
      <w:pPr>
        <w:pStyle w:val="eceee-BodyText"/>
        <w:rPr>
          <w:noProof/>
        </w:rPr>
      </w:pPr>
      <w:r>
        <w:rPr>
          <w:noProof/>
        </w:rPr>
        <w:t xml:space="preserve">In terms of the </w:t>
      </w:r>
      <w:r w:rsidRPr="00BA41FC">
        <w:rPr>
          <w:noProof/>
        </w:rPr>
        <w:t>provision of carbon-free heat</w:t>
      </w:r>
      <w:r>
        <w:rPr>
          <w:noProof/>
        </w:rPr>
        <w:t>, there are</w:t>
      </w:r>
      <w:r w:rsidR="00481FCF">
        <w:rPr>
          <w:noProof/>
        </w:rPr>
        <w:t xml:space="preserve"> three core options: </w:t>
      </w:r>
      <w:r w:rsidR="002276EE">
        <w:rPr>
          <w:noProof/>
        </w:rPr>
        <w:t xml:space="preserve">1) </w:t>
      </w:r>
      <w:r w:rsidR="00481FCF">
        <w:rPr>
          <w:noProof/>
        </w:rPr>
        <w:t>electrification</w:t>
      </w:r>
      <w:r w:rsidR="002276EE">
        <w:rPr>
          <w:noProof/>
        </w:rPr>
        <w:t>: typically using heat pumps in buildings</w:t>
      </w:r>
      <w:r w:rsidR="00481FCF">
        <w:rPr>
          <w:noProof/>
        </w:rPr>
        <w:t xml:space="preserve">, </w:t>
      </w:r>
      <w:r w:rsidR="002276EE">
        <w:rPr>
          <w:noProof/>
        </w:rPr>
        <w:t xml:space="preserve">2) </w:t>
      </w:r>
      <w:r w:rsidR="00481FCF">
        <w:rPr>
          <w:noProof/>
        </w:rPr>
        <w:t>heat networks</w:t>
      </w:r>
      <w:r w:rsidR="002276EE">
        <w:rPr>
          <w:noProof/>
        </w:rPr>
        <w:t>: district heating with a carbon-free source</w:t>
      </w:r>
      <w:r w:rsidR="00481FCF">
        <w:rPr>
          <w:noProof/>
        </w:rPr>
        <w:t>, and</w:t>
      </w:r>
      <w:r w:rsidR="002276EE">
        <w:rPr>
          <w:noProof/>
        </w:rPr>
        <w:t xml:space="preserve"> 3)</w:t>
      </w:r>
      <w:r w:rsidR="00481FCF">
        <w:rPr>
          <w:noProof/>
        </w:rPr>
        <w:t xml:space="preserve"> repurposed gas grids</w:t>
      </w:r>
      <w:r w:rsidR="002276EE">
        <w:rPr>
          <w:noProof/>
        </w:rPr>
        <w:t>: using existing gas infrastructure with hyrogen or biogas</w:t>
      </w:r>
      <w:r>
        <w:rPr>
          <w:noProof/>
        </w:rPr>
        <w:t xml:space="preserve"> </w:t>
      </w:r>
      <w:r w:rsidR="00D21A16" w:rsidRPr="00D21A16">
        <w:rPr>
          <w:noProof/>
        </w:rPr>
        <w:t>(DECC, 2012)</w:t>
      </w:r>
      <w:r w:rsidRPr="00CC4F84">
        <w:rPr>
          <w:noProof/>
        </w:rPr>
        <w:t>(MacLean, et al., 2016)</w:t>
      </w:r>
      <w:r w:rsidR="00481FCF">
        <w:rPr>
          <w:noProof/>
        </w:rPr>
        <w:t>.</w:t>
      </w:r>
      <w:r w:rsidR="00924E9F">
        <w:rPr>
          <w:noProof/>
        </w:rPr>
        <w:t xml:space="preserve"> </w:t>
      </w:r>
    </w:p>
    <w:p w14:paraId="5D571F1D" w14:textId="77777777" w:rsidR="001264E3" w:rsidRDefault="00CC4F84" w:rsidP="001264E3">
      <w:pPr>
        <w:pStyle w:val="eceee-BodyText"/>
        <w:rPr>
          <w:noProof/>
        </w:rPr>
      </w:pPr>
      <w:r>
        <w:rPr>
          <w:noProof/>
        </w:rPr>
        <w:t>MacLean</w:t>
      </w:r>
      <w:r w:rsidR="001264E3">
        <w:rPr>
          <w:noProof/>
        </w:rPr>
        <w:t xml:space="preserve"> and others emphasise that a combination of strategies will be needed, and in the immediate decade there are low-risk steps </w:t>
      </w:r>
      <w:r w:rsidR="00924E9F">
        <w:rPr>
          <w:noProof/>
        </w:rPr>
        <w:t>that can be taken without precluding</w:t>
      </w:r>
      <w:r w:rsidR="001264E3">
        <w:rPr>
          <w:noProof/>
        </w:rPr>
        <w:t xml:space="preserve"> any future policy paths. One such set of </w:t>
      </w:r>
      <w:r w:rsidR="002276EE">
        <w:rPr>
          <w:noProof/>
        </w:rPr>
        <w:t xml:space="preserve">strategic </w:t>
      </w:r>
      <w:r w:rsidR="001264E3">
        <w:rPr>
          <w:noProof/>
        </w:rPr>
        <w:t xml:space="preserve">options is summarised in Figure 1 by the </w:t>
      </w:r>
      <w:r w:rsidR="001264E3" w:rsidRPr="00444578">
        <w:rPr>
          <w:noProof/>
        </w:rPr>
        <w:t>CCC</w:t>
      </w:r>
      <w:r w:rsidR="001264E3">
        <w:rPr>
          <w:noProof/>
        </w:rPr>
        <w:t xml:space="preserve"> (</w:t>
      </w:r>
      <w:r w:rsidR="001264E3" w:rsidRPr="00444578">
        <w:rPr>
          <w:noProof/>
        </w:rPr>
        <w:t>2016)</w:t>
      </w:r>
      <w:r w:rsidR="001264E3">
        <w:rPr>
          <w:noProof/>
        </w:rPr>
        <w:t xml:space="preserve">. Here the size of each box roughly corresponds to the quantity of carbon emissions savings available through each strategy.  </w:t>
      </w:r>
    </w:p>
    <w:p w14:paraId="7251779F" w14:textId="77777777" w:rsidR="002E2A64" w:rsidRDefault="00B51C07" w:rsidP="002E2A64">
      <w:pPr>
        <w:rPr>
          <w:noProof/>
          <w:lang w:eastAsia="en-GB"/>
        </w:rPr>
      </w:pPr>
      <w:r>
        <w:rPr>
          <w:noProof/>
          <w:lang w:eastAsia="en-GB"/>
        </w:rPr>
        <w:drawing>
          <wp:inline distT="0" distB="0" distL="0" distR="0" wp14:anchorId="1B1C691A" wp14:editId="2BF8CDA8">
            <wp:extent cx="5528945" cy="2998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873" t="9758" r="9570" b="19514"/>
                    <a:stretch>
                      <a:fillRect/>
                    </a:stretch>
                  </pic:blipFill>
                  <pic:spPr bwMode="auto">
                    <a:xfrm>
                      <a:off x="0" y="0"/>
                      <a:ext cx="5528945" cy="2998470"/>
                    </a:xfrm>
                    <a:prstGeom prst="rect">
                      <a:avLst/>
                    </a:prstGeom>
                    <a:noFill/>
                    <a:ln>
                      <a:noFill/>
                    </a:ln>
                  </pic:spPr>
                </pic:pic>
              </a:graphicData>
            </a:graphic>
          </wp:inline>
        </w:drawing>
      </w:r>
    </w:p>
    <w:p w14:paraId="3A66F1AB" w14:textId="77777777" w:rsidR="00307870" w:rsidRDefault="00307870" w:rsidP="00307870">
      <w:pPr>
        <w:pStyle w:val="eceee-Figurecaption"/>
      </w:pPr>
      <w:r>
        <w:rPr>
          <w:noProof/>
          <w:lang w:eastAsia="en-GB"/>
        </w:rPr>
        <w:t xml:space="preserve">Figure 1: </w:t>
      </w:r>
      <w:r w:rsidR="002276EE">
        <w:rPr>
          <w:noProof/>
          <w:lang w:eastAsia="en-GB"/>
        </w:rPr>
        <w:t>Strategic options for decarbonising heat</w:t>
      </w:r>
      <w:r w:rsidR="00481FCF">
        <w:rPr>
          <w:noProof/>
          <w:lang w:val="en-GB" w:eastAsia="en-GB"/>
        </w:rPr>
        <w:t xml:space="preserve"> </w:t>
      </w:r>
      <w:r w:rsidR="00481FCF" w:rsidRPr="00481FCF">
        <w:rPr>
          <w:noProof/>
          <w:lang w:val="en-GB" w:eastAsia="en-GB"/>
        </w:rPr>
        <w:t>(CCC, 2016)</w:t>
      </w:r>
      <w:r w:rsidR="00481FCF">
        <w:rPr>
          <w:noProof/>
          <w:lang w:eastAsia="en-GB"/>
        </w:rPr>
        <w:t>.</w:t>
      </w:r>
    </w:p>
    <w:p w14:paraId="1A51FDF9" w14:textId="77777777" w:rsidR="00266457" w:rsidRDefault="00CC4F84" w:rsidP="00307870">
      <w:pPr>
        <w:pStyle w:val="eceee-BodyText"/>
      </w:pPr>
      <w:r>
        <w:t>Even if all properties currently on the gas grid are served with carbon</w:t>
      </w:r>
      <w:r w:rsidR="006E0BE4">
        <w:t>-</w:t>
      </w:r>
      <w:r>
        <w:t>free gas, any path to carbon-free heat requires</w:t>
      </w:r>
      <w:r w:rsidR="002E2A64">
        <w:t xml:space="preserve"> the </w:t>
      </w:r>
      <w:r>
        <w:t xml:space="preserve">extensive rollout of heat pumps.  </w:t>
      </w:r>
      <w:r w:rsidR="007F3FFF">
        <w:t xml:space="preserve">The details of each scenario differ, but there is an uncontroversial consensus that electrification of heat in buildings, facilitated primarily by heat pumps, is a critical component of decarbonising heat and meeting the 2050 target </w:t>
      </w:r>
      <w:r w:rsidR="007F3FFF" w:rsidRPr="007F3FFF">
        <w:rPr>
          <w:noProof/>
        </w:rPr>
        <w:t>(National Grid, 2012)</w:t>
      </w:r>
      <w:r w:rsidR="007F3FFF">
        <w:t>.</w:t>
      </w:r>
      <w:r w:rsidR="006E0BE4">
        <w:t xml:space="preserve">  </w:t>
      </w:r>
      <w:r w:rsidR="00D21A16">
        <w:t xml:space="preserve">There are </w:t>
      </w:r>
      <w:r w:rsidR="008D4936">
        <w:t>approximatel</w:t>
      </w:r>
      <w:r w:rsidR="00D21A16">
        <w:t>y 20,000 heat pumps installed each year in the UK compared to 1.6 million gas fired boilers.  CCC</w:t>
      </w:r>
      <w:r w:rsidR="00BA41FC">
        <w:t>’s</w:t>
      </w:r>
      <w:r w:rsidR="00D21A16">
        <w:t xml:space="preserve"> ‘core decarbonisation’ scenarios call for over 600,000 heat pumps by 2020, increasing to 2.6 million by 2025, and over 7 million by 2030</w:t>
      </w:r>
      <w:r w:rsidR="00572DDC">
        <w:rPr>
          <w:noProof/>
        </w:rPr>
        <w:t xml:space="preserve"> </w:t>
      </w:r>
      <w:r w:rsidR="00572DDC" w:rsidRPr="00572DDC">
        <w:rPr>
          <w:noProof/>
        </w:rPr>
        <w:t>(ElementEnergy, 2014)</w:t>
      </w:r>
      <w:r w:rsidR="00572DDC">
        <w:t>.</w:t>
      </w:r>
    </w:p>
    <w:p w14:paraId="5688EC8F" w14:textId="77777777" w:rsidR="00E16FF7" w:rsidRDefault="00572DDC" w:rsidP="00307870">
      <w:pPr>
        <w:pStyle w:val="eceee-BodyText"/>
      </w:pPr>
      <w:r>
        <w:t xml:space="preserve">Heat networks have the potential to increase </w:t>
      </w:r>
      <w:r w:rsidR="001D2CCC">
        <w:t xml:space="preserve">heating </w:t>
      </w:r>
      <w:r>
        <w:t xml:space="preserve">efficiency but face considerable barriers in deployment </w:t>
      </w:r>
      <w:r w:rsidR="001D2CCC">
        <w:rPr>
          <w:noProof/>
        </w:rPr>
        <w:t>(</w:t>
      </w:r>
      <w:r w:rsidR="001D2CCC" w:rsidRPr="001D2CCC">
        <w:rPr>
          <w:noProof/>
        </w:rPr>
        <w:t>DECC, 2013)</w:t>
      </w:r>
      <w:r>
        <w:t>.</w:t>
      </w:r>
      <w:r w:rsidR="001D2CCC">
        <w:t xml:space="preserve">  </w:t>
      </w:r>
      <w:r w:rsidR="0083050A">
        <w:t>As the</w:t>
      </w:r>
      <w:r w:rsidR="001D2CCC">
        <w:t xml:space="preserve"> grid decarbonises </w:t>
      </w:r>
      <w:r w:rsidR="0083050A">
        <w:t xml:space="preserve">heat pump driven networks </w:t>
      </w:r>
      <w:r w:rsidR="001D2CCC">
        <w:t xml:space="preserve">will become increasingly appealing </w:t>
      </w:r>
      <w:r w:rsidR="0083050A">
        <w:t>compared to gas driven CHP</w:t>
      </w:r>
      <w:r w:rsidR="001D2CCC">
        <w:rPr>
          <w:noProof/>
        </w:rPr>
        <w:t xml:space="preserve"> </w:t>
      </w:r>
      <w:r w:rsidR="001D2CCC" w:rsidRPr="001D2CCC">
        <w:rPr>
          <w:noProof/>
        </w:rPr>
        <w:t>(DECC, 2016)</w:t>
      </w:r>
      <w:r w:rsidR="001D2CCC">
        <w:rPr>
          <w:noProof/>
        </w:rPr>
        <w:t xml:space="preserve">.  </w:t>
      </w:r>
      <w:r w:rsidR="0083050A">
        <w:rPr>
          <w:noProof/>
        </w:rPr>
        <w:t>The electricity demands of heat networks and standalone heat pumps</w:t>
      </w:r>
      <w:r w:rsidR="007F3FFF">
        <w:t xml:space="preserve"> will add substantially to peak generation and network requirements during extremely cold winter events</w:t>
      </w:r>
      <w:r w:rsidR="007F3FFF">
        <w:rPr>
          <w:noProof/>
        </w:rPr>
        <w:t xml:space="preserve"> </w:t>
      </w:r>
      <w:r w:rsidR="007F3FFF" w:rsidRPr="007F3FFF">
        <w:rPr>
          <w:noProof/>
        </w:rPr>
        <w:t>(National Grid, 2012)</w:t>
      </w:r>
      <w:r w:rsidR="007F3FFF">
        <w:t>.</w:t>
      </w:r>
      <w:r w:rsidR="00E16FF7">
        <w:t xml:space="preserve">  The flexibility to shift these peak loads will be a critical aspect of future energy systems.</w:t>
      </w:r>
    </w:p>
    <w:p w14:paraId="5DE7FF24" w14:textId="77777777" w:rsidR="0012344E" w:rsidRDefault="00977841" w:rsidP="005C4317">
      <w:pPr>
        <w:pStyle w:val="eceee-BodyText"/>
      </w:pPr>
      <w:r w:rsidRPr="00E16FF7">
        <w:t xml:space="preserve">Traditional power grids </w:t>
      </w:r>
      <w:r w:rsidR="00C80649" w:rsidRPr="00E16FF7">
        <w:t>are</w:t>
      </w:r>
      <w:r w:rsidRPr="00E16FF7">
        <w:t xml:space="preserve"> evolving to include distributed renewables generation, distributed storage, utility scale renewables, utility scale storage, and is also converting from radial networks to mesh networks.  There is </w:t>
      </w:r>
      <w:r w:rsidRPr="00E16FF7">
        <w:lastRenderedPageBreak/>
        <w:t>also a layer of communication networks that enable more intelligent control of these distributed resources</w:t>
      </w:r>
      <w:r w:rsidR="00E16FF7">
        <w:t xml:space="preserve"> </w:t>
      </w:r>
      <w:r w:rsidR="00E16FF7" w:rsidRPr="00E16FF7">
        <w:rPr>
          <w:noProof/>
        </w:rPr>
        <w:t>(Gelazanskas &amp; Gamag, 2014)</w:t>
      </w:r>
      <w:r w:rsidR="00C80649">
        <w:rPr>
          <w:noProof/>
        </w:rPr>
        <w:t xml:space="preserve">. </w:t>
      </w:r>
      <w:r w:rsidR="00E16FF7" w:rsidRPr="00E16FF7">
        <w:t>All of these concepts drive a greater potential for flexibility</w:t>
      </w:r>
      <w:r w:rsidR="00D84962">
        <w:t>.</w:t>
      </w:r>
      <w:r w:rsidR="00E16FF7" w:rsidRPr="00E16FF7">
        <w:t xml:space="preserve"> </w:t>
      </w:r>
      <w:r w:rsidR="005C4317">
        <w:t>The availability of suitable thermal and electrical storage is the backbone of any strategy to increase system flexibility</w:t>
      </w:r>
      <w:r w:rsidR="0083050A">
        <w:t xml:space="preserve">.  </w:t>
      </w:r>
      <w:r w:rsidR="00E16FF7" w:rsidRPr="00E16FF7">
        <w:t xml:space="preserve">Demand side measures currently represent a small but growing facet of the </w:t>
      </w:r>
      <w:r w:rsidR="0083050A">
        <w:t>flexibility potential</w:t>
      </w:r>
      <w:r w:rsidR="00E16FF7" w:rsidRPr="00E16FF7">
        <w:t>.</w:t>
      </w:r>
      <w:r w:rsidR="003C1191">
        <w:t xml:space="preserve">  </w:t>
      </w:r>
    </w:p>
    <w:p w14:paraId="2833F613" w14:textId="77777777" w:rsidR="002E2A64" w:rsidRDefault="002E2A64" w:rsidP="002E2A64">
      <w:pPr>
        <w:pStyle w:val="Heading2"/>
      </w:pPr>
      <w:r>
        <w:t>Demand side response</w:t>
      </w:r>
      <w:r w:rsidR="0005674E">
        <w:t xml:space="preserve"> services</w:t>
      </w:r>
    </w:p>
    <w:p w14:paraId="6C740340" w14:textId="77777777" w:rsidR="002E2A64" w:rsidRDefault="002E2A64" w:rsidP="00307870">
      <w:pPr>
        <w:pStyle w:val="eceee-BodyText"/>
      </w:pPr>
      <w:r>
        <w:t xml:space="preserve">There is a clear need for greater flexibility in the electricity system in order to balance increasing demand with the increasingly intermittent supply.  </w:t>
      </w:r>
      <w:r w:rsidR="00B87842">
        <w:t>T</w:t>
      </w:r>
      <w:r>
        <w:t xml:space="preserve">here is a growing interest in Demand Side Response (DSR) solutions that allow shifting of electricity demand in real-time in response to changing price signals. Many demand side loads are too small to be individually significant, and so the DSR market is largely driven by aggregators that coordinate demand response from individual customers.  </w:t>
      </w:r>
    </w:p>
    <w:p w14:paraId="39ADB1FA" w14:textId="77777777" w:rsidR="002E2A64" w:rsidRDefault="002E2A64" w:rsidP="00307870">
      <w:pPr>
        <w:pStyle w:val="eceee-BodyText"/>
      </w:pPr>
      <w:r>
        <w:t>Ofgem notes that there is an incomplete picture in quantifying volumes of DSR</w:t>
      </w:r>
      <w:r w:rsidR="002634FF">
        <w:t>,</w:t>
      </w:r>
      <w:r>
        <w:t xml:space="preserve"> but estimates </w:t>
      </w:r>
      <w:r w:rsidR="00FB7B2F">
        <w:t>that there was</w:t>
      </w:r>
      <w:r w:rsidR="002634FF">
        <w:t xml:space="preserve"> </w:t>
      </w:r>
      <w:r>
        <w:t>1.3-1.6 GW of DSR capacity in 2015/2016</w:t>
      </w:r>
      <w:r w:rsidRPr="00665BED">
        <w:t xml:space="preserve"> </w:t>
      </w:r>
      <w:r w:rsidRPr="00665BED">
        <w:rPr>
          <w:noProof/>
        </w:rPr>
        <w:t>(Ofgem, 2016)</w:t>
      </w:r>
      <w:r>
        <w:t>.  A breakdown of four common DSR revenue streams and their high end estimate is given in Table 1.  Note that a number of other revenue streams have been introduced which are small in scale or for which data is not yet available</w:t>
      </w:r>
      <w:r>
        <w:rPr>
          <w:noProof/>
        </w:rPr>
        <w:t xml:space="preserve"> </w:t>
      </w:r>
      <w:r w:rsidRPr="00F5452E">
        <w:rPr>
          <w:noProof/>
        </w:rPr>
        <w:t>(Power Responsive, 2016)</w:t>
      </w:r>
      <w:r>
        <w:t>.</w:t>
      </w:r>
    </w:p>
    <w:p w14:paraId="579183E2" w14:textId="77777777" w:rsidR="002E2A64" w:rsidRDefault="002E2A64" w:rsidP="00307870">
      <w:pPr>
        <w:pStyle w:val="eceee-Tableheading"/>
      </w:pPr>
      <w:r>
        <w:t xml:space="preserve">Table 1: Estimated Levels of Contracted DSR in the UK 2015/2016 </w:t>
      </w:r>
      <w:r w:rsidRPr="00665BED">
        <w:rPr>
          <w:noProof/>
        </w:rPr>
        <w:t>(Ofgem, 2016)</w:t>
      </w:r>
    </w:p>
    <w:tbl>
      <w:tblPr>
        <w:tblW w:w="8804"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3984"/>
        <w:gridCol w:w="4160"/>
        <w:gridCol w:w="660"/>
      </w:tblGrid>
      <w:tr w:rsidR="002E2A64" w:rsidRPr="005C522D" w14:paraId="2E239DBD" w14:textId="77777777" w:rsidTr="00065F1F">
        <w:trPr>
          <w:trHeight w:val="285"/>
        </w:trPr>
        <w:tc>
          <w:tcPr>
            <w:tcW w:w="3984" w:type="dxa"/>
            <w:shd w:val="clear" w:color="auto" w:fill="auto"/>
            <w:noWrap/>
            <w:vAlign w:val="center"/>
            <w:hideMark/>
          </w:tcPr>
          <w:p w14:paraId="047D5A8F" w14:textId="77777777" w:rsidR="002E2A64" w:rsidRPr="00C80649" w:rsidRDefault="002E2A64" w:rsidP="00307870">
            <w:pPr>
              <w:pStyle w:val="eceee-Tabletext"/>
              <w:rPr>
                <w:b/>
                <w:lang w:eastAsia="en-GB"/>
              </w:rPr>
            </w:pPr>
            <w:r w:rsidRPr="00C80649">
              <w:rPr>
                <w:b/>
                <w:lang w:eastAsia="en-GB"/>
              </w:rPr>
              <w:t>Demand Side Response Revenue Streams</w:t>
            </w:r>
          </w:p>
        </w:tc>
        <w:tc>
          <w:tcPr>
            <w:tcW w:w="4160" w:type="dxa"/>
            <w:vAlign w:val="center"/>
          </w:tcPr>
          <w:p w14:paraId="5807D12D" w14:textId="77777777" w:rsidR="002E2A64" w:rsidRPr="00C80649" w:rsidRDefault="002E2A64" w:rsidP="00307870">
            <w:pPr>
              <w:pStyle w:val="eceee-Tabletext"/>
              <w:rPr>
                <w:b/>
                <w:lang w:eastAsia="en-GB"/>
              </w:rPr>
            </w:pPr>
            <w:r w:rsidRPr="00C80649">
              <w:rPr>
                <w:b/>
                <w:lang w:eastAsia="en-GB"/>
              </w:rPr>
              <w:t>Definition</w:t>
            </w:r>
          </w:p>
        </w:tc>
        <w:tc>
          <w:tcPr>
            <w:tcW w:w="660" w:type="dxa"/>
            <w:shd w:val="clear" w:color="auto" w:fill="auto"/>
            <w:noWrap/>
            <w:vAlign w:val="center"/>
            <w:hideMark/>
          </w:tcPr>
          <w:p w14:paraId="3EF09226" w14:textId="77777777" w:rsidR="002E2A64" w:rsidRPr="00C80649" w:rsidRDefault="002E2A64" w:rsidP="00307870">
            <w:pPr>
              <w:pStyle w:val="eceee-Tabletext"/>
              <w:rPr>
                <w:b/>
                <w:lang w:eastAsia="en-GB"/>
              </w:rPr>
            </w:pPr>
            <w:r w:rsidRPr="00C80649">
              <w:rPr>
                <w:b/>
                <w:lang w:eastAsia="en-GB"/>
              </w:rPr>
              <w:t>MW</w:t>
            </w:r>
          </w:p>
        </w:tc>
      </w:tr>
      <w:tr w:rsidR="002E2A64" w:rsidRPr="005C522D" w14:paraId="6791B941" w14:textId="77777777" w:rsidTr="00C80649">
        <w:trPr>
          <w:trHeight w:val="285"/>
        </w:trPr>
        <w:tc>
          <w:tcPr>
            <w:tcW w:w="3984" w:type="dxa"/>
            <w:tcBorders>
              <w:bottom w:val="nil"/>
            </w:tcBorders>
            <w:shd w:val="clear" w:color="auto" w:fill="auto"/>
            <w:noWrap/>
            <w:vAlign w:val="center"/>
            <w:hideMark/>
          </w:tcPr>
          <w:p w14:paraId="27671EA6" w14:textId="77777777" w:rsidR="002E2A64" w:rsidRPr="005C522D" w:rsidRDefault="002E2A64" w:rsidP="00307870">
            <w:pPr>
              <w:pStyle w:val="eceee-Tabletext"/>
              <w:rPr>
                <w:lang w:eastAsia="en-GB"/>
              </w:rPr>
            </w:pPr>
            <w:r w:rsidRPr="005C522D">
              <w:rPr>
                <w:lang w:eastAsia="en-GB"/>
              </w:rPr>
              <w:t>Firm Frequency Response (FFR)</w:t>
            </w:r>
            <w:r>
              <w:rPr>
                <w:lang w:eastAsia="en-GB"/>
              </w:rPr>
              <w:t xml:space="preserve"> </w:t>
            </w:r>
          </w:p>
        </w:tc>
        <w:tc>
          <w:tcPr>
            <w:tcW w:w="4160" w:type="dxa"/>
            <w:tcBorders>
              <w:bottom w:val="nil"/>
            </w:tcBorders>
            <w:vAlign w:val="center"/>
          </w:tcPr>
          <w:p w14:paraId="3A0F889E" w14:textId="77777777" w:rsidR="002E2A64" w:rsidRPr="005C522D" w:rsidRDefault="002E2A64" w:rsidP="00307870">
            <w:pPr>
              <w:pStyle w:val="eceee-Tabletext"/>
              <w:rPr>
                <w:lang w:eastAsia="en-GB"/>
              </w:rPr>
            </w:pPr>
            <w:r>
              <w:rPr>
                <w:lang w:eastAsia="en-GB"/>
              </w:rPr>
              <w:t>Keeping grid frequency at 50 ± 0.3 Hz</w:t>
            </w:r>
          </w:p>
        </w:tc>
        <w:tc>
          <w:tcPr>
            <w:tcW w:w="660" w:type="dxa"/>
            <w:tcBorders>
              <w:bottom w:val="nil"/>
            </w:tcBorders>
            <w:shd w:val="clear" w:color="auto" w:fill="auto"/>
            <w:noWrap/>
            <w:vAlign w:val="center"/>
            <w:hideMark/>
          </w:tcPr>
          <w:p w14:paraId="00F8E5BA" w14:textId="77777777" w:rsidR="002E2A64" w:rsidRPr="005C522D" w:rsidRDefault="002E2A64" w:rsidP="00307870">
            <w:pPr>
              <w:pStyle w:val="eceee-Tabletext"/>
              <w:rPr>
                <w:lang w:eastAsia="en-GB"/>
              </w:rPr>
            </w:pPr>
            <w:r w:rsidRPr="005C522D">
              <w:rPr>
                <w:lang w:eastAsia="en-GB"/>
              </w:rPr>
              <w:t>25</w:t>
            </w:r>
          </w:p>
        </w:tc>
      </w:tr>
      <w:tr w:rsidR="002E2A64" w:rsidRPr="005C522D" w14:paraId="295254A2" w14:textId="77777777" w:rsidTr="00C80649">
        <w:trPr>
          <w:trHeight w:val="285"/>
        </w:trPr>
        <w:tc>
          <w:tcPr>
            <w:tcW w:w="3984" w:type="dxa"/>
            <w:tcBorders>
              <w:top w:val="nil"/>
              <w:bottom w:val="nil"/>
            </w:tcBorders>
            <w:shd w:val="clear" w:color="auto" w:fill="auto"/>
            <w:noWrap/>
            <w:vAlign w:val="center"/>
            <w:hideMark/>
          </w:tcPr>
          <w:p w14:paraId="5C7CE4A7" w14:textId="77777777" w:rsidR="002E2A64" w:rsidRPr="005C522D" w:rsidRDefault="002E2A64" w:rsidP="00307870">
            <w:pPr>
              <w:pStyle w:val="eceee-Tabletext"/>
              <w:rPr>
                <w:lang w:eastAsia="en-GB"/>
              </w:rPr>
            </w:pPr>
            <w:r w:rsidRPr="005C522D">
              <w:rPr>
                <w:lang w:eastAsia="en-GB"/>
              </w:rPr>
              <w:t>Demand Side Balancing Reserve (DSBR)</w:t>
            </w:r>
          </w:p>
        </w:tc>
        <w:tc>
          <w:tcPr>
            <w:tcW w:w="4160" w:type="dxa"/>
            <w:tcBorders>
              <w:top w:val="nil"/>
              <w:bottom w:val="nil"/>
            </w:tcBorders>
            <w:vAlign w:val="center"/>
          </w:tcPr>
          <w:p w14:paraId="3E5CD181" w14:textId="77777777" w:rsidR="002E2A64" w:rsidRPr="005C522D" w:rsidRDefault="002E2A64" w:rsidP="00307870">
            <w:pPr>
              <w:pStyle w:val="eceee-Tabletext"/>
              <w:rPr>
                <w:lang w:eastAsia="en-GB"/>
              </w:rPr>
            </w:pPr>
            <w:r>
              <w:rPr>
                <w:lang w:eastAsia="en-GB"/>
              </w:rPr>
              <w:t>Reduce large loads in winter from 4-8pm</w:t>
            </w:r>
          </w:p>
        </w:tc>
        <w:tc>
          <w:tcPr>
            <w:tcW w:w="660" w:type="dxa"/>
            <w:tcBorders>
              <w:top w:val="nil"/>
              <w:bottom w:val="nil"/>
            </w:tcBorders>
            <w:shd w:val="clear" w:color="auto" w:fill="auto"/>
            <w:noWrap/>
            <w:vAlign w:val="center"/>
            <w:hideMark/>
          </w:tcPr>
          <w:p w14:paraId="09DE1EDA" w14:textId="77777777" w:rsidR="002E2A64" w:rsidRPr="005C522D" w:rsidRDefault="002E2A64" w:rsidP="00307870">
            <w:pPr>
              <w:pStyle w:val="eceee-Tabletext"/>
              <w:rPr>
                <w:lang w:eastAsia="en-GB"/>
              </w:rPr>
            </w:pPr>
            <w:r w:rsidRPr="005C522D">
              <w:rPr>
                <w:lang w:eastAsia="en-GB"/>
              </w:rPr>
              <w:t>133</w:t>
            </w:r>
          </w:p>
        </w:tc>
      </w:tr>
      <w:tr w:rsidR="002E2A64" w:rsidRPr="005C522D" w14:paraId="0572C4B8" w14:textId="77777777" w:rsidTr="00C80649">
        <w:trPr>
          <w:trHeight w:val="285"/>
        </w:trPr>
        <w:tc>
          <w:tcPr>
            <w:tcW w:w="3984" w:type="dxa"/>
            <w:tcBorders>
              <w:top w:val="nil"/>
              <w:bottom w:val="nil"/>
            </w:tcBorders>
            <w:shd w:val="clear" w:color="auto" w:fill="auto"/>
            <w:noWrap/>
            <w:vAlign w:val="center"/>
            <w:hideMark/>
          </w:tcPr>
          <w:p w14:paraId="5685909C" w14:textId="77777777" w:rsidR="002E2A64" w:rsidRPr="005C522D" w:rsidRDefault="002E2A64" w:rsidP="00307870">
            <w:pPr>
              <w:pStyle w:val="eceee-Tabletext"/>
              <w:rPr>
                <w:lang w:eastAsia="en-GB"/>
              </w:rPr>
            </w:pPr>
            <w:r w:rsidRPr="005C522D">
              <w:rPr>
                <w:lang w:eastAsia="en-GB"/>
              </w:rPr>
              <w:t>Short Term Operating Reserve (STOR)</w:t>
            </w:r>
          </w:p>
        </w:tc>
        <w:tc>
          <w:tcPr>
            <w:tcW w:w="4160" w:type="dxa"/>
            <w:tcBorders>
              <w:top w:val="nil"/>
              <w:bottom w:val="nil"/>
            </w:tcBorders>
            <w:vAlign w:val="center"/>
          </w:tcPr>
          <w:p w14:paraId="5D098EA1" w14:textId="77777777" w:rsidR="002E2A64" w:rsidRPr="005C522D" w:rsidRDefault="00174838" w:rsidP="00307870">
            <w:pPr>
              <w:pStyle w:val="eceee-Tabletext"/>
              <w:rPr>
                <w:lang w:eastAsia="en-GB"/>
              </w:rPr>
            </w:pPr>
            <w:r>
              <w:rPr>
                <w:lang w:eastAsia="en-GB"/>
              </w:rPr>
              <w:t>When actual demand exceeds anticipated demand</w:t>
            </w:r>
          </w:p>
        </w:tc>
        <w:tc>
          <w:tcPr>
            <w:tcW w:w="660" w:type="dxa"/>
            <w:tcBorders>
              <w:top w:val="nil"/>
              <w:bottom w:val="nil"/>
            </w:tcBorders>
            <w:shd w:val="clear" w:color="auto" w:fill="auto"/>
            <w:noWrap/>
            <w:vAlign w:val="center"/>
            <w:hideMark/>
          </w:tcPr>
          <w:p w14:paraId="52B1AE26" w14:textId="77777777" w:rsidR="002E2A64" w:rsidRPr="005C522D" w:rsidRDefault="002E2A64" w:rsidP="00307870">
            <w:pPr>
              <w:pStyle w:val="eceee-Tabletext"/>
              <w:rPr>
                <w:lang w:eastAsia="en-GB"/>
              </w:rPr>
            </w:pPr>
            <w:r w:rsidRPr="005C522D">
              <w:rPr>
                <w:lang w:eastAsia="en-GB"/>
              </w:rPr>
              <w:t>237</w:t>
            </w:r>
          </w:p>
        </w:tc>
      </w:tr>
      <w:tr w:rsidR="002E2A64" w:rsidRPr="005C522D" w14:paraId="4DD04788" w14:textId="77777777" w:rsidTr="00C80649">
        <w:trPr>
          <w:trHeight w:val="285"/>
        </w:trPr>
        <w:tc>
          <w:tcPr>
            <w:tcW w:w="3984" w:type="dxa"/>
            <w:tcBorders>
              <w:top w:val="nil"/>
            </w:tcBorders>
            <w:shd w:val="clear" w:color="auto" w:fill="auto"/>
            <w:noWrap/>
            <w:vAlign w:val="center"/>
            <w:hideMark/>
          </w:tcPr>
          <w:p w14:paraId="1EF18350" w14:textId="77777777" w:rsidR="002E2A64" w:rsidRPr="005C522D" w:rsidRDefault="002E2A64" w:rsidP="00307870">
            <w:pPr>
              <w:pStyle w:val="eceee-Tabletext"/>
              <w:rPr>
                <w:lang w:eastAsia="en-GB"/>
              </w:rPr>
            </w:pPr>
            <w:r w:rsidRPr="005C522D">
              <w:rPr>
                <w:lang w:eastAsia="en-GB"/>
              </w:rPr>
              <w:t xml:space="preserve">Transmission Network Use of System (TNUoS) </w:t>
            </w:r>
          </w:p>
        </w:tc>
        <w:tc>
          <w:tcPr>
            <w:tcW w:w="4160" w:type="dxa"/>
            <w:tcBorders>
              <w:top w:val="nil"/>
            </w:tcBorders>
            <w:vAlign w:val="center"/>
          </w:tcPr>
          <w:p w14:paraId="32475DF1" w14:textId="77777777" w:rsidR="002E2A64" w:rsidRPr="005C522D" w:rsidRDefault="00174838" w:rsidP="00307870">
            <w:pPr>
              <w:pStyle w:val="eceee-Tabletext"/>
              <w:rPr>
                <w:lang w:eastAsia="en-GB"/>
              </w:rPr>
            </w:pPr>
            <w:r>
              <w:rPr>
                <w:lang w:eastAsia="en-GB"/>
              </w:rPr>
              <w:t>Avoiding peak events (triad)</w:t>
            </w:r>
          </w:p>
        </w:tc>
        <w:tc>
          <w:tcPr>
            <w:tcW w:w="660" w:type="dxa"/>
            <w:tcBorders>
              <w:top w:val="nil"/>
            </w:tcBorders>
            <w:shd w:val="clear" w:color="auto" w:fill="auto"/>
            <w:noWrap/>
            <w:vAlign w:val="center"/>
            <w:hideMark/>
          </w:tcPr>
          <w:p w14:paraId="76EBC422" w14:textId="77777777" w:rsidR="002E2A64" w:rsidRPr="005C522D" w:rsidRDefault="002E2A64" w:rsidP="00307870">
            <w:pPr>
              <w:pStyle w:val="eceee-Tabletext"/>
              <w:rPr>
                <w:lang w:eastAsia="en-GB"/>
              </w:rPr>
            </w:pPr>
            <w:r w:rsidRPr="005C522D">
              <w:rPr>
                <w:lang w:eastAsia="en-GB"/>
              </w:rPr>
              <w:t>1</w:t>
            </w:r>
            <w:r>
              <w:rPr>
                <w:lang w:eastAsia="en-GB"/>
              </w:rPr>
              <w:t>,</w:t>
            </w:r>
            <w:r w:rsidRPr="005C522D">
              <w:rPr>
                <w:lang w:eastAsia="en-GB"/>
              </w:rPr>
              <w:t>200</w:t>
            </w:r>
          </w:p>
        </w:tc>
      </w:tr>
      <w:tr w:rsidR="002E2A64" w:rsidRPr="005C522D" w14:paraId="62D792E7" w14:textId="77777777" w:rsidTr="00065F1F">
        <w:trPr>
          <w:trHeight w:val="285"/>
        </w:trPr>
        <w:tc>
          <w:tcPr>
            <w:tcW w:w="3984" w:type="dxa"/>
            <w:shd w:val="clear" w:color="auto" w:fill="auto"/>
            <w:noWrap/>
            <w:vAlign w:val="center"/>
            <w:hideMark/>
          </w:tcPr>
          <w:p w14:paraId="4A551DEC" w14:textId="77777777" w:rsidR="002E2A64" w:rsidRPr="00C80649" w:rsidRDefault="002E2A64" w:rsidP="00307870">
            <w:pPr>
              <w:pStyle w:val="eceee-Tabletext"/>
              <w:rPr>
                <w:b/>
                <w:lang w:eastAsia="en-GB"/>
              </w:rPr>
            </w:pPr>
            <w:r w:rsidRPr="00C80649">
              <w:rPr>
                <w:b/>
                <w:lang w:eastAsia="en-GB"/>
              </w:rPr>
              <w:t>Total</w:t>
            </w:r>
          </w:p>
        </w:tc>
        <w:tc>
          <w:tcPr>
            <w:tcW w:w="4160" w:type="dxa"/>
            <w:vAlign w:val="center"/>
          </w:tcPr>
          <w:p w14:paraId="3E69C7B1" w14:textId="77777777" w:rsidR="002E2A64" w:rsidRPr="00C80649" w:rsidRDefault="002E2A64" w:rsidP="00307870">
            <w:pPr>
              <w:pStyle w:val="eceee-Tabletext"/>
              <w:rPr>
                <w:b/>
                <w:lang w:eastAsia="en-GB"/>
              </w:rPr>
            </w:pPr>
          </w:p>
        </w:tc>
        <w:tc>
          <w:tcPr>
            <w:tcW w:w="660" w:type="dxa"/>
            <w:shd w:val="clear" w:color="auto" w:fill="auto"/>
            <w:noWrap/>
            <w:vAlign w:val="center"/>
            <w:hideMark/>
          </w:tcPr>
          <w:p w14:paraId="7B1EACC9" w14:textId="77777777" w:rsidR="002E2A64" w:rsidRPr="00C80649" w:rsidRDefault="002E2A64" w:rsidP="00307870">
            <w:pPr>
              <w:pStyle w:val="eceee-Tabletext"/>
              <w:rPr>
                <w:b/>
                <w:lang w:eastAsia="en-GB"/>
              </w:rPr>
            </w:pPr>
            <w:r w:rsidRPr="00C80649">
              <w:rPr>
                <w:b/>
                <w:lang w:eastAsia="en-GB"/>
              </w:rPr>
              <w:t>1,595</w:t>
            </w:r>
          </w:p>
        </w:tc>
      </w:tr>
    </w:tbl>
    <w:p w14:paraId="032B99BD" w14:textId="77777777" w:rsidR="002E2A64" w:rsidRDefault="002E2A64" w:rsidP="002E2A64"/>
    <w:p w14:paraId="3AB597C4" w14:textId="77777777" w:rsidR="002E2A64" w:rsidRDefault="002E2A64" w:rsidP="00307870">
      <w:pPr>
        <w:pStyle w:val="eceee-BodyText"/>
      </w:pPr>
      <w:r>
        <w:t xml:space="preserve">This paper will focus on </w:t>
      </w:r>
      <w:r w:rsidR="00C80649">
        <w:t>Firm Frequency Response (</w:t>
      </w:r>
      <w:r>
        <w:t>FFR</w:t>
      </w:r>
      <w:r w:rsidR="00C80649">
        <w:t>)</w:t>
      </w:r>
      <w:r>
        <w:t xml:space="preserve">, </w:t>
      </w:r>
      <w:r w:rsidR="00C80649">
        <w:t>Short Term Operating Reserve (</w:t>
      </w:r>
      <w:r>
        <w:t>STOR</w:t>
      </w:r>
      <w:r w:rsidR="00C80649">
        <w:t>)</w:t>
      </w:r>
      <w:r>
        <w:t xml:space="preserve"> and </w:t>
      </w:r>
      <w:r w:rsidR="00C80649">
        <w:t xml:space="preserve">Transmission Network Use of System </w:t>
      </w:r>
      <w:r w:rsidR="007D22D4">
        <w:t>(</w:t>
      </w:r>
      <w:r>
        <w:t>TNUoS</w:t>
      </w:r>
      <w:r w:rsidR="007D22D4">
        <w:t>)</w:t>
      </w:r>
      <w:r w:rsidR="006F4616">
        <w:t xml:space="preserve"> and </w:t>
      </w:r>
      <w:r w:rsidR="00C80649">
        <w:t xml:space="preserve">Distribution Network Use of System </w:t>
      </w:r>
      <w:r w:rsidR="007D22D4">
        <w:t>(</w:t>
      </w:r>
      <w:r w:rsidR="00572775">
        <w:t>DNUoS</w:t>
      </w:r>
      <w:r w:rsidR="007D22D4">
        <w:t>)</w:t>
      </w:r>
      <w:r w:rsidR="00572775">
        <w:t xml:space="preserve"> and</w:t>
      </w:r>
      <w:r>
        <w:t xml:space="preserve"> consider each in turn.</w:t>
      </w:r>
    </w:p>
    <w:p w14:paraId="638C0535" w14:textId="77777777" w:rsidR="00861A18" w:rsidRDefault="002E2A64" w:rsidP="00307870">
      <w:pPr>
        <w:pStyle w:val="eceee-BodyText"/>
      </w:pPr>
      <w:r>
        <w:t>FFR comprises low and high frequency response</w:t>
      </w:r>
      <w:r w:rsidR="00C80649">
        <w:t>.  The grid operates at a frequency of 50Hz.  If the frequency deviates from this, then a demand response event can be triggered to compensate. Details of the parameters for this scenario are given in Appendix A</w:t>
      </w:r>
      <w:r>
        <w:t xml:space="preserve">. </w:t>
      </w:r>
    </w:p>
    <w:p w14:paraId="0DB0AC48" w14:textId="77777777" w:rsidR="002E2A64" w:rsidRDefault="002E2A64" w:rsidP="00307870">
      <w:pPr>
        <w:pStyle w:val="eceee-BodyText"/>
      </w:pPr>
      <w:r>
        <w:t xml:space="preserve">While FFR is a relatively small contributor to the total currently contracted DSR services in the UK, it is an expected area of growth and one that is of </w:t>
      </w:r>
      <w:r w:rsidR="009B7B77">
        <w:t xml:space="preserve">research </w:t>
      </w:r>
      <w:r>
        <w:t xml:space="preserve">interest due to its differences from other DSR revenue streams.  It is very short term, requiring a response in the order of seconds, not hours.  Because the grid must always remain at 50 Hz, it has the potential to be contracted for 24 hours per day, this means that not only can it be used in combination with other </w:t>
      </w:r>
      <w:r w:rsidR="009B7B77">
        <w:t>services;</w:t>
      </w:r>
      <w:r>
        <w:t xml:space="preserve"> it offers a complementary DSR service that can operate when other DSR services are typically not available.</w:t>
      </w:r>
    </w:p>
    <w:p w14:paraId="4DCDFA75" w14:textId="77777777" w:rsidR="002E2A64" w:rsidRDefault="002E2A64" w:rsidP="00307870">
      <w:pPr>
        <w:pStyle w:val="eceee-BodyText"/>
      </w:pPr>
      <w:r>
        <w:t>The term STOR is defined as a service for the provision of additional active power from generation or demand reduction</w:t>
      </w:r>
      <w:r>
        <w:rPr>
          <w:noProof/>
        </w:rPr>
        <w:t xml:space="preserve"> </w:t>
      </w:r>
      <w:r w:rsidRPr="006A6B9F">
        <w:rPr>
          <w:noProof/>
        </w:rPr>
        <w:t>(National Grid, 2016)</w:t>
      </w:r>
      <w:r>
        <w:t xml:space="preserve">.  The need for STOR occurs when actual demand on the grid exceeds anticipated demand.  The STOR provider must be able to deliver </w:t>
      </w:r>
      <w:r w:rsidRPr="006A6B9F">
        <w:t xml:space="preserve">1) a minimum of 3MW or more of generation or steady demand reduction; 2) Deliver full MW within 240 minutes or less from receiving instructions from National Grid; 3) Provide full MW for at least 2 hours when instructed; and 4) Be able to deliver at least three times per week (National Grid, 2016). </w:t>
      </w:r>
      <w:r>
        <w:t>Critically, these conditions can be met by aggregating loads from more than one site, or multiple loads within a site.</w:t>
      </w:r>
    </w:p>
    <w:p w14:paraId="720E2C19" w14:textId="77777777" w:rsidR="00AE2D91" w:rsidRDefault="00AE2D91" w:rsidP="00307870">
      <w:pPr>
        <w:pStyle w:val="eceee-BodyText"/>
      </w:pPr>
      <w:r>
        <w:t>There are two types of Use of Service (UoS) charges that can be used to generate DSR revenue.  These are termed Transmission Network Use of Service (TNUoS) and Distribution Network Use of Service (DNUoS).</w:t>
      </w:r>
    </w:p>
    <w:p w14:paraId="24BEB3DE" w14:textId="77777777" w:rsidR="00AE2D91" w:rsidRDefault="002E2A64" w:rsidP="00307870">
      <w:pPr>
        <w:pStyle w:val="eceee-BodyText"/>
      </w:pPr>
      <w:r>
        <w:t xml:space="preserve">National Grid charges </w:t>
      </w:r>
      <w:r w:rsidR="00861A18">
        <w:t xml:space="preserve">electricity suppliers </w:t>
      </w:r>
      <w:r>
        <w:t xml:space="preserve">(and hence, end consumers) for using the transmission network via a process referred to as the </w:t>
      </w:r>
      <w:r w:rsidRPr="00861A18">
        <w:rPr>
          <w:i/>
        </w:rPr>
        <w:t>Triad</w:t>
      </w:r>
      <w:r w:rsidR="00861A18">
        <w:t>.</w:t>
      </w:r>
      <w:r>
        <w:t xml:space="preserve"> TNUoS are currently based on the three separately observed peaks of system demand across the year. These system demand peaks are measured over half hour intervals by National Grid, and typically occur between the months of November and February. The system peaks typically occur during the late afternoon, although recently the variability in system peak demand has become greater as more consumers attempt </w:t>
      </w:r>
      <w:r w:rsidR="00F310AF">
        <w:t>to use triad forecasting to avoid triad periods.  This can have the effect of shifting the Triad to an atypical time</w:t>
      </w:r>
      <w:r>
        <w:t xml:space="preserve">. </w:t>
      </w:r>
      <w:r w:rsidR="00AE2D91">
        <w:rPr>
          <w:rStyle w:val="CommentReference"/>
        </w:rPr>
        <w:commentReference w:id="0"/>
      </w:r>
      <w:r w:rsidR="000A1EA6">
        <w:rPr>
          <w:rStyle w:val="CommentReference"/>
        </w:rPr>
        <w:commentReference w:id="1"/>
      </w:r>
      <w:r w:rsidR="00AE2D91">
        <w:t xml:space="preserve">If a </w:t>
      </w:r>
      <w:r w:rsidR="00B04CCF">
        <w:t>DSR</w:t>
      </w:r>
      <w:r>
        <w:t xml:space="preserve"> provider </w:t>
      </w:r>
      <w:r w:rsidR="00AE2D91">
        <w:t>can be</w:t>
      </w:r>
      <w:r>
        <w:t xml:space="preserve"> active during the three settlement periods nominated as the Triad (only known after the event), then they can reduce their TNUoS charge in-line with the prevailing demand reduction at the time of the Triad. In order to access this benefit, the D</w:t>
      </w:r>
      <w:r w:rsidR="007B3D6D">
        <w:t>S</w:t>
      </w:r>
      <w:r>
        <w:t xml:space="preserve">R provider must partner with an Energy Supplier (or </w:t>
      </w:r>
      <w:r>
        <w:lastRenderedPageBreak/>
        <w:t xml:space="preserve">an entity that has an electricity supply license). The rate of TNUoS charge is location specific and as such based on the transmission demand tariff in the </w:t>
      </w:r>
      <w:r w:rsidR="00861A18">
        <w:t xml:space="preserve">region. </w:t>
      </w:r>
    </w:p>
    <w:p w14:paraId="43071DFF" w14:textId="77777777" w:rsidR="002E2A64" w:rsidRDefault="002E2A64" w:rsidP="00307870">
      <w:pPr>
        <w:pStyle w:val="eceee-BodyText"/>
      </w:pPr>
      <w:r>
        <w:t>D</w:t>
      </w:r>
      <w:r w:rsidR="00E431F1">
        <w:t>N</w:t>
      </w:r>
      <w:r>
        <w:t>UoS charges</w:t>
      </w:r>
      <w:r w:rsidR="00AE2D91">
        <w:t xml:space="preserve"> occur at the level of the local Distribution Network Operator (DNO).  These</w:t>
      </w:r>
      <w:r>
        <w:t xml:space="preserve"> are billed each month based on the customer's maximum half-hour peak power and energy consumption. The observed maximum half- hourly peaks are subject to one of three time-of-use DUoS charges (red, amber, or green), or a single peak rate depending on the voltage level connected. The D</w:t>
      </w:r>
      <w:r w:rsidR="00452646">
        <w:t>NU</w:t>
      </w:r>
      <w:r>
        <w:t xml:space="preserve">oS charge maybe contained within an overall kWh rate, or maybe split out separately to the energy cost. In order to access the benefit, some negotiation maybe required between the provider and the relevant </w:t>
      </w:r>
      <w:r w:rsidR="00AE2D91">
        <w:t>DNO</w:t>
      </w:r>
      <w:r>
        <w:t>. The D</w:t>
      </w:r>
      <w:r w:rsidR="00452646">
        <w:t>N</w:t>
      </w:r>
      <w:r>
        <w:t xml:space="preserve">UoS red-band runs from 4pm to 7pm on winter weekdays. This is the same time as the Triad avoidance scenario will operate. So it should be possible to capture both revenues concurrently.  </w:t>
      </w:r>
    </w:p>
    <w:p w14:paraId="03168B05" w14:textId="77777777" w:rsidR="002E2A64" w:rsidRDefault="00574465" w:rsidP="00452646">
      <w:pPr>
        <w:pStyle w:val="Heading1"/>
      </w:pPr>
      <w:r>
        <w:t>Balanced Energy Network – Case Study</w:t>
      </w:r>
    </w:p>
    <w:p w14:paraId="12DFE7F5" w14:textId="77777777" w:rsidR="00FB5AB5" w:rsidRDefault="009808A0" w:rsidP="00FB5AB5">
      <w:pPr>
        <w:pStyle w:val="eceee-BodyText"/>
      </w:pPr>
      <w:r>
        <w:t>T</w:t>
      </w:r>
      <w:r w:rsidR="002E2A64">
        <w:t>he Balanced Energy Network (BEN)</w:t>
      </w:r>
      <w:r>
        <w:t xml:space="preserve"> is</w:t>
      </w:r>
      <w:r w:rsidR="002E2A64">
        <w:t xml:space="preserve"> a demonstration project at London South Bank University</w:t>
      </w:r>
      <w:r>
        <w:t xml:space="preserve"> that entails using heat pumps to shift peak loads and is</w:t>
      </w:r>
      <w:r w:rsidR="002E2A64">
        <w:t xml:space="preserve"> </w:t>
      </w:r>
      <w:r w:rsidR="00B04CCF">
        <w:t xml:space="preserve">running </w:t>
      </w:r>
      <w:r w:rsidR="002E2A64">
        <w:t xml:space="preserve">from May 2016-May 2018.  </w:t>
      </w:r>
      <w:r w:rsidR="00174838">
        <w:t xml:space="preserve">BEN is a heating, cooling, and electricity network that balances the delivery of these three services in a way that minimise costs and carbon emissions.  </w:t>
      </w:r>
    </w:p>
    <w:p w14:paraId="32D24AC5" w14:textId="77777777" w:rsidR="000617D0" w:rsidRDefault="00174838" w:rsidP="00FB5AB5">
      <w:pPr>
        <w:pStyle w:val="eceee-BodyText"/>
      </w:pPr>
      <w:r>
        <w:t xml:space="preserve">At its core, </w:t>
      </w:r>
      <w:r w:rsidR="002E2A64">
        <w:t>BEN uses a ‘Cold Water Heat Network (CWHN)’</w:t>
      </w:r>
      <w:r w:rsidR="00B04CCF">
        <w:t xml:space="preserve"> </w:t>
      </w:r>
      <w:r w:rsidR="002E2A64" w:rsidRPr="00BF5B81">
        <w:rPr>
          <w:noProof/>
        </w:rPr>
        <w:t>(Gillich, et al., 2016)</w:t>
      </w:r>
      <w:r w:rsidR="002E2A64">
        <w:t xml:space="preserve"> to move and store energy between tw</w:t>
      </w:r>
      <w:r w:rsidR="00FB5AB5">
        <w:t>o buildings on the LSBU campus, as shown in Figure 2.</w:t>
      </w:r>
      <w:r w:rsidR="002E2A64">
        <w:t xml:space="preserve"> </w:t>
      </w:r>
      <w:r w:rsidR="00FB5AB5">
        <w:t>Both the Tower Block and the EJM block are approximately 10,000 m</w:t>
      </w:r>
      <w:r w:rsidR="00FB5AB5" w:rsidRPr="00FB5AB5">
        <w:rPr>
          <w:vertAlign w:val="superscript"/>
        </w:rPr>
        <w:t>2</w:t>
      </w:r>
      <w:r w:rsidR="00FB5AB5">
        <w:t xml:space="preserve"> internal floor area of 1960s era </w:t>
      </w:r>
      <w:r w:rsidR="000617D0">
        <w:t xml:space="preserve">construction.  They are heavyweight concrete structures with a slow thermal response time.  Both serve as offices/classroom buildings, they have no significant cooling loads, and the heating </w:t>
      </w:r>
      <w:r w:rsidR="00B04CCF">
        <w:t xml:space="preserve">requirement </w:t>
      </w:r>
      <w:r w:rsidR="000617D0">
        <w:t xml:space="preserve">is </w:t>
      </w:r>
      <w:r w:rsidR="00B04CCF">
        <w:t xml:space="preserve">currently </w:t>
      </w:r>
      <w:r w:rsidR="000617D0">
        <w:t>served by gas fired boilers operat</w:t>
      </w:r>
      <w:r w:rsidR="00B04CCF">
        <w:t>ing in a cascade.</w:t>
      </w:r>
      <w:r w:rsidR="000617D0">
        <w:t xml:space="preserve">  </w:t>
      </w:r>
    </w:p>
    <w:p w14:paraId="488B2ADA" w14:textId="77777777" w:rsidR="002E2A64" w:rsidRDefault="002E2A64" w:rsidP="002E2A64"/>
    <w:p w14:paraId="1DF7CB62" w14:textId="77777777" w:rsidR="002E2A64" w:rsidRDefault="002E2A64" w:rsidP="002E2A64"/>
    <w:p w14:paraId="46422E71" w14:textId="77777777" w:rsidR="002E2A64" w:rsidRDefault="00B51C07" w:rsidP="002E2A64">
      <w:pPr>
        <w:rPr>
          <w:rFonts w:cs="Calibri"/>
          <w:noProof/>
          <w:sz w:val="28"/>
          <w:lang w:eastAsia="en-GB"/>
        </w:rPr>
      </w:pPr>
      <w:r>
        <w:rPr>
          <w:rFonts w:cs="Calibri"/>
          <w:noProof/>
          <w:sz w:val="28"/>
          <w:lang w:eastAsia="en-GB"/>
        </w:rPr>
        <w:drawing>
          <wp:inline distT="0" distB="0" distL="0" distR="0" wp14:anchorId="02F67D40" wp14:editId="452FC436">
            <wp:extent cx="5210175" cy="3816985"/>
            <wp:effectExtent l="0" t="0" r="9525"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3816985"/>
                    </a:xfrm>
                    <a:prstGeom prst="rect">
                      <a:avLst/>
                    </a:prstGeom>
                    <a:noFill/>
                    <a:ln>
                      <a:noFill/>
                    </a:ln>
                  </pic:spPr>
                </pic:pic>
              </a:graphicData>
            </a:graphic>
          </wp:inline>
        </w:drawing>
      </w:r>
    </w:p>
    <w:p w14:paraId="73FC7599" w14:textId="77777777" w:rsidR="00307870" w:rsidRDefault="00307870" w:rsidP="00307870">
      <w:pPr>
        <w:pStyle w:val="eceee-Figurecaption"/>
      </w:pPr>
      <w:r>
        <w:rPr>
          <w:noProof/>
          <w:lang w:eastAsia="en-GB"/>
        </w:rPr>
        <w:t>Figure</w:t>
      </w:r>
      <w:r w:rsidR="00FB5AB5">
        <w:rPr>
          <w:noProof/>
          <w:lang w:eastAsia="en-GB"/>
        </w:rPr>
        <w:t xml:space="preserve"> </w:t>
      </w:r>
      <w:r>
        <w:rPr>
          <w:noProof/>
          <w:lang w:eastAsia="en-GB"/>
        </w:rPr>
        <w:t xml:space="preserve">2: </w:t>
      </w:r>
      <w:r w:rsidR="00FB5AB5">
        <w:rPr>
          <w:noProof/>
          <w:lang w:eastAsia="en-GB"/>
        </w:rPr>
        <w:t>Layout of Balanced Energy Network linking Tower Block and EJB Block on LSBU campus</w:t>
      </w:r>
      <w:r>
        <w:rPr>
          <w:noProof/>
          <w:lang w:eastAsia="en-GB"/>
        </w:rPr>
        <w:t>.</w:t>
      </w:r>
    </w:p>
    <w:p w14:paraId="3738528A" w14:textId="77777777" w:rsidR="00B04CCF" w:rsidRDefault="00B04CCF" w:rsidP="00B04CCF">
      <w:pPr>
        <w:pStyle w:val="eceee-BodyText"/>
      </w:pPr>
      <w:r>
        <w:t>The BEN project retrofit</w:t>
      </w:r>
      <w:r w:rsidR="00F27725">
        <w:t>s</w:t>
      </w:r>
      <w:r>
        <w:t xml:space="preserve"> a high temperature heat pump in parallel to the existing gas fired boiler system of each building.  This enable</w:t>
      </w:r>
      <w:r w:rsidR="00F27725">
        <w:t>s</w:t>
      </w:r>
      <w:r>
        <w:t xml:space="preserve"> the new electrified heat to be distributed via the existing emitters (coils and radiators) working on a 70/60 degree flow return distribution circuit.  The principle of a BEN style heat sharing network is to reject heat to the network from a place that needs cooling and recover the heat in those needing heating and domestic hot water.  Exploiting asymmetric loads between buildings has the potential to increase the heat pump coefficients of performance (COPs), however, when the buildings share similar loading characteristics, the network requires a method of regulating the temperature of the ground water loop.  In this case, BEN’s </w:t>
      </w:r>
      <w:r w:rsidR="00861A18">
        <w:t xml:space="preserve">heat </w:t>
      </w:r>
      <w:r w:rsidR="00861A18">
        <w:lastRenderedPageBreak/>
        <w:t xml:space="preserve">sharing network </w:t>
      </w:r>
      <w:r>
        <w:t>is linked to two boreholes, which use water from the chalk aquifer beneath London with an average temperature of 13</w:t>
      </w:r>
      <w:r>
        <w:rPr>
          <w:rFonts w:ascii="Calibri" w:hAnsi="Calibri" w:cs="Calibri"/>
        </w:rPr>
        <w:t>⁰</w:t>
      </w:r>
      <w:r>
        <w:t xml:space="preserve">C. </w:t>
      </w:r>
    </w:p>
    <w:p w14:paraId="06C3379A" w14:textId="77777777" w:rsidR="00B04CCF" w:rsidRDefault="00B04CCF" w:rsidP="00B04CCF">
      <w:pPr>
        <w:pStyle w:val="eceee-BodyText"/>
      </w:pPr>
      <w:r>
        <w:t>BEN systems are managed by a cloud based aggregator</w:t>
      </w:r>
      <w:r w:rsidR="00ED6C8F">
        <w:t xml:space="preserve"> </w:t>
      </w:r>
      <w:r>
        <w:t xml:space="preserve">linked to the network system controller, which together deliver ‘Virtual Energy Storage’ or DSR.  The DSR aggregator communicates with hot water tanks specially designed to create a smart storage solution, and </w:t>
      </w:r>
      <w:r w:rsidR="00F27725">
        <w:t xml:space="preserve">a </w:t>
      </w:r>
      <w:r>
        <w:t>controller which interfaces with the existing and new plant.</w:t>
      </w:r>
      <w:r>
        <w:rPr>
          <w:rStyle w:val="apple-converted-space"/>
          <w:rFonts w:ascii="open sans" w:hAnsi="open sans"/>
          <w:color w:val="231F20"/>
        </w:rPr>
        <w:t xml:space="preserve"> Finally, BEN also links with a</w:t>
      </w:r>
      <w:r>
        <w:t xml:space="preserve"> unique fuel cell calciner that creates carbon negative electricity by actively removing CO</w:t>
      </w:r>
      <w:r w:rsidRPr="00B04CCF">
        <w:rPr>
          <w:vertAlign w:val="subscript"/>
        </w:rPr>
        <w:t>2</w:t>
      </w:r>
      <w:r>
        <w:t xml:space="preserve"> from the atmosphere. The demonstration project can also expand to include future buildings and energy technologies.</w:t>
      </w:r>
    </w:p>
    <w:p w14:paraId="0A38BCA8" w14:textId="77777777" w:rsidR="000617D0" w:rsidRDefault="00C5101A" w:rsidP="000617D0">
      <w:pPr>
        <w:pStyle w:val="eceee-BodyText"/>
      </w:pPr>
      <w:r>
        <w:t>T</w:t>
      </w:r>
      <w:r w:rsidR="000617D0">
        <w:t xml:space="preserve">his paper </w:t>
      </w:r>
      <w:r>
        <w:t>focuses</w:t>
      </w:r>
      <w:r w:rsidR="000617D0">
        <w:t xml:space="preserve"> on how the links between</w:t>
      </w:r>
      <w:r>
        <w:t xml:space="preserve"> high temperature</w:t>
      </w:r>
      <w:r w:rsidR="000617D0">
        <w:t xml:space="preserve"> heat pumps</w:t>
      </w:r>
      <w:r>
        <w:t>, the hot water storage,</w:t>
      </w:r>
      <w:r w:rsidR="000617D0">
        <w:t xml:space="preserve"> and </w:t>
      </w:r>
      <w:r>
        <w:t xml:space="preserve">the </w:t>
      </w:r>
      <w:r w:rsidR="000617D0">
        <w:t xml:space="preserve">DSR </w:t>
      </w:r>
      <w:r>
        <w:t xml:space="preserve">aggregator </w:t>
      </w:r>
      <w:r w:rsidR="000617D0">
        <w:t>can electrify heat in a way that minimises costs</w:t>
      </w:r>
      <w:r w:rsidR="00F27725">
        <w:t xml:space="preserve"> and reduce peak load demand</w:t>
      </w:r>
      <w:r w:rsidR="000617D0">
        <w:t>.  The following sections will describe the modelling setups that were used to define this control strategy.</w:t>
      </w:r>
    </w:p>
    <w:p w14:paraId="3DAA24DD" w14:textId="77777777" w:rsidR="002E2A64" w:rsidRDefault="002E2A64" w:rsidP="00307870">
      <w:pPr>
        <w:pStyle w:val="eceee-Heading1"/>
      </w:pPr>
      <w:commentRangeStart w:id="2"/>
      <w:commentRangeStart w:id="3"/>
      <w:r>
        <w:t>Method</w:t>
      </w:r>
      <w:commentRangeEnd w:id="2"/>
      <w:r w:rsidR="008021DF">
        <w:rPr>
          <w:rStyle w:val="CommentReference"/>
          <w:rFonts w:ascii="Times New Roman" w:hAnsi="Times New Roman"/>
          <w:b w:val="0"/>
        </w:rPr>
        <w:commentReference w:id="2"/>
      </w:r>
      <w:commentRangeEnd w:id="3"/>
      <w:r w:rsidR="00274BE9">
        <w:rPr>
          <w:rStyle w:val="CommentReference"/>
          <w:rFonts w:ascii="Times New Roman" w:hAnsi="Times New Roman"/>
          <w:b w:val="0"/>
        </w:rPr>
        <w:commentReference w:id="3"/>
      </w:r>
    </w:p>
    <w:p w14:paraId="43551617" w14:textId="77777777" w:rsidR="00C5101A" w:rsidRDefault="00C5101A" w:rsidP="00307870">
      <w:pPr>
        <w:pStyle w:val="eceee-BodyText"/>
      </w:pPr>
      <w:r>
        <w:t xml:space="preserve">This section </w:t>
      </w:r>
      <w:r w:rsidR="000E561C">
        <w:t xml:space="preserve">explains the </w:t>
      </w:r>
      <w:r w:rsidR="00DB6EDD">
        <w:t>DSR modelling setup for the BEN system</w:t>
      </w:r>
      <w:r>
        <w:t xml:space="preserve">.  Note that the model is deliberately created based upon some generalizable assumptions that will have flexible applications beyond the BEN project.  The flexible modelling setup described in this section will be calibrated in future work into a more specific control strategy. </w:t>
      </w:r>
      <w:r w:rsidR="00125216">
        <w:t>All models were programmed in Octave.</w:t>
      </w:r>
    </w:p>
    <w:p w14:paraId="323D4819" w14:textId="77777777" w:rsidR="002E2A64" w:rsidRDefault="002E2A64" w:rsidP="00307870">
      <w:pPr>
        <w:pStyle w:val="eceee-BodyText"/>
      </w:pPr>
      <w:r>
        <w:t xml:space="preserve">The model considers </w:t>
      </w:r>
      <w:r w:rsidR="00773352">
        <w:t>one type of thermal</w:t>
      </w:r>
      <w:r>
        <w:t xml:space="preserve"> storage in the building</w:t>
      </w:r>
      <w:r w:rsidR="00773352">
        <w:t>,</w:t>
      </w:r>
      <w:r w:rsidR="00CB63AF">
        <w:t xml:space="preserve"> a 10,000 l</w:t>
      </w:r>
      <w:r w:rsidR="00AE7B65">
        <w:t>itre</w:t>
      </w:r>
      <w:r w:rsidR="00CB63AF">
        <w:t xml:space="preserve"> well insulated storage tank for </w:t>
      </w:r>
      <w:r>
        <w:t xml:space="preserve">the service hot water </w:t>
      </w:r>
      <w:r w:rsidR="00843716">
        <w:t>(SHW)</w:t>
      </w:r>
      <w:r w:rsidR="00CB63AF">
        <w:t xml:space="preserve">. The hot water storage can either be served by the heat pump or </w:t>
      </w:r>
      <w:r w:rsidR="0081256C">
        <w:t xml:space="preserve">by </w:t>
      </w:r>
      <w:r>
        <w:t xml:space="preserve">an electric </w:t>
      </w:r>
      <w:r w:rsidR="00F310AF">
        <w:t>immersion</w:t>
      </w:r>
      <w:r>
        <w:t xml:space="preserve"> heater.  </w:t>
      </w:r>
      <w:r w:rsidR="00773352">
        <w:t>T</w:t>
      </w:r>
      <w:r>
        <w:t xml:space="preserve">he model requires a) the total electrical load that is available for providing DSR services, and b) the rate of charge/discharge characteristics of </w:t>
      </w:r>
      <w:r w:rsidR="00CB63AF">
        <w:t xml:space="preserve">the </w:t>
      </w:r>
      <w:r>
        <w:t xml:space="preserve">thermal </w:t>
      </w:r>
      <w:r w:rsidR="00CB63AF">
        <w:t>storage</w:t>
      </w:r>
      <w:r>
        <w:t>.</w:t>
      </w:r>
    </w:p>
    <w:p w14:paraId="7403B574" w14:textId="77777777" w:rsidR="002E2A64" w:rsidRDefault="002E2A64" w:rsidP="00307870">
      <w:pPr>
        <w:pStyle w:val="eceee-BodyText"/>
      </w:pPr>
      <w:r>
        <w:t xml:space="preserve">The initial configuration of the BEN system couples the following components together.  The configuration is assumed to be identical in both the Tower Block and EJM Block test buildings: </w:t>
      </w:r>
    </w:p>
    <w:p w14:paraId="4D552331" w14:textId="77777777" w:rsidR="002E2A64" w:rsidRDefault="002E2A64" w:rsidP="00C5101A">
      <w:pPr>
        <w:pStyle w:val="eceee-Bulletlist"/>
      </w:pPr>
      <w:r>
        <w:t>One x 95</w:t>
      </w:r>
      <w:r w:rsidR="00843716">
        <w:t xml:space="preserve"> </w:t>
      </w:r>
      <w:r>
        <w:t>kW</w:t>
      </w:r>
      <w:r w:rsidR="0081256C">
        <w:t>e (300 kWth)</w:t>
      </w:r>
      <w:r>
        <w:t xml:space="preserve"> Heat Pump</w:t>
      </w:r>
    </w:p>
    <w:p w14:paraId="5633F8F9" w14:textId="77777777" w:rsidR="002E2A64" w:rsidRDefault="002E2A64" w:rsidP="00C5101A">
      <w:pPr>
        <w:pStyle w:val="eceee-Bulletlist"/>
      </w:pPr>
      <w:r>
        <w:t>One x 350</w:t>
      </w:r>
      <w:r w:rsidR="00843716">
        <w:t xml:space="preserve"> </w:t>
      </w:r>
      <w:r>
        <w:t>kWh hot water stor</w:t>
      </w:r>
      <w:r w:rsidR="00CB63AF">
        <w:t>ag</w:t>
      </w:r>
      <w:r>
        <w:t>e with a 95</w:t>
      </w:r>
      <w:r w:rsidR="00843716">
        <w:t xml:space="preserve"> </w:t>
      </w:r>
      <w:r>
        <w:t>kW</w:t>
      </w:r>
      <w:r w:rsidR="00CB63AF">
        <w:t>e</w:t>
      </w:r>
      <w:r>
        <w:t xml:space="preserve"> immersion heater </w:t>
      </w:r>
    </w:p>
    <w:p w14:paraId="22E3510F" w14:textId="77777777" w:rsidR="002E2A64" w:rsidRDefault="002E2A64" w:rsidP="00C5101A">
      <w:pPr>
        <w:pStyle w:val="eceee-Bulletlist"/>
      </w:pPr>
      <w:r>
        <w:t>Four x Gas boilers with a total capacity of 2</w:t>
      </w:r>
      <w:r w:rsidR="00843716">
        <w:t xml:space="preserve"> </w:t>
      </w:r>
      <w:r>
        <w:t>MW</w:t>
      </w:r>
      <w:r w:rsidR="00CB63AF">
        <w:t>th</w:t>
      </w:r>
      <w:r>
        <w:t xml:space="preserve"> </w:t>
      </w:r>
    </w:p>
    <w:p w14:paraId="05A975CF" w14:textId="77777777" w:rsidR="003F79EF" w:rsidRDefault="003F79EF" w:rsidP="005F08C2">
      <w:pPr>
        <w:pStyle w:val="eceee-BodyText"/>
      </w:pPr>
      <w:r w:rsidRPr="00274BE9">
        <w:t>The aim of the early stage calculations presented in this paper was to create a flexible DSR revenue model based on generic assumptions that can inform BEN decision making but also be flexibly applied to other projects outside BEN.  This early stage model will be refined in future work as recorded project data becomes available for the BEN case study buildings.</w:t>
      </w:r>
    </w:p>
    <w:p w14:paraId="51193301" w14:textId="77777777" w:rsidR="00274BE9" w:rsidRDefault="00274BE9" w:rsidP="005F08C2">
      <w:pPr>
        <w:pStyle w:val="eceee-BodyText"/>
      </w:pPr>
      <w:r>
        <w:t>In order to determine how much revenue can be generated for each type of DSR revenue stream, the model needs to know for each hourly interval the amount of ele</w:t>
      </w:r>
      <w:r w:rsidR="008B1A70">
        <w:t>ctricity (heat) that is available</w:t>
      </w:r>
      <w:r>
        <w:t>, and the rate at which that DSR service</w:t>
      </w:r>
      <w:r w:rsidR="008B1A70">
        <w:t xml:space="preserve"> is charged.  The individual calculations for each DSR revenue stream are given in Table 3 (FFR), Table 4 (STOR), and Table 5 (UoS).  </w:t>
      </w:r>
      <w:r w:rsidR="00E276AF">
        <w:t xml:space="preserve">Each DSR revenue service is charged using a slightly </w:t>
      </w:r>
      <w:r w:rsidR="008B1A70">
        <w:t>different methodology, but can generally be expressed as follows:</w:t>
      </w:r>
    </w:p>
    <w:p w14:paraId="4EC69F07" w14:textId="77777777" w:rsidR="00DA6298" w:rsidRDefault="00820197" w:rsidP="00E276AF">
      <w:pPr>
        <w:pStyle w:val="eceee-BodyText"/>
        <w:ind w:firstLine="1304"/>
      </w:pPr>
      <m:oMathPara>
        <m:oMath>
          <m:r>
            <w:rPr>
              <w:rFonts w:ascii="Cambria Math" w:hAnsi="Cambria Math"/>
            </w:rPr>
            <m:t xml:space="preserve">DSR revenue </m:t>
          </m:r>
          <m:d>
            <m:dPr>
              <m:ctrlPr>
                <w:rPr>
                  <w:rFonts w:ascii="Cambria Math" w:hAnsi="Cambria Math"/>
                  <w:i/>
                </w:rPr>
              </m:ctrlPr>
            </m:dPr>
            <m:e>
              <m:r>
                <w:rPr>
                  <w:rFonts w:ascii="Cambria Math" w:hAnsi="Cambria Math"/>
                </w:rPr>
                <m:t>£</m:t>
              </m:r>
            </m:e>
          </m:d>
          <m:r>
            <w:rPr>
              <w:rFonts w:ascii="Cambria Math" w:hAnsi="Cambria Math"/>
            </w:rPr>
            <m:t xml:space="preserve">=Electricity available </m:t>
          </m:r>
          <m:d>
            <m:dPr>
              <m:ctrlPr>
                <w:rPr>
                  <w:rFonts w:ascii="Cambria Math" w:hAnsi="Cambria Math"/>
                  <w:i/>
                </w:rPr>
              </m:ctrlPr>
            </m:dPr>
            <m:e>
              <m:r>
                <w:rPr>
                  <w:rFonts w:ascii="Cambria Math" w:hAnsi="Cambria Math"/>
                </w:rPr>
                <m:t>kWh</m:t>
              </m:r>
            </m:e>
          </m:d>
          <m:r>
            <w:rPr>
              <w:rFonts w:ascii="Cambria Math" w:hAnsi="Cambria Math"/>
            </w:rPr>
            <m:t xml:space="preserve"> ×Rate of DSR service (</m:t>
          </m:r>
          <m:f>
            <m:fPr>
              <m:ctrlPr>
                <w:rPr>
                  <w:rFonts w:ascii="Cambria Math" w:hAnsi="Cambria Math"/>
                  <w:i/>
                </w:rPr>
              </m:ctrlPr>
            </m:fPr>
            <m:num>
              <m:r>
                <w:rPr>
                  <w:rFonts w:ascii="Cambria Math" w:hAnsi="Cambria Math"/>
                </w:rPr>
                <m:t>£</m:t>
              </m:r>
            </m:num>
            <m:den>
              <m:r>
                <w:rPr>
                  <w:rFonts w:ascii="Cambria Math" w:hAnsi="Cambria Math"/>
                </w:rPr>
                <m:t>kWh</m:t>
              </m:r>
            </m:den>
          </m:f>
          <m:r>
            <w:rPr>
              <w:rFonts w:ascii="Cambria Math" w:hAnsi="Cambria Math"/>
            </w:rPr>
            <m:t>)</m:t>
          </m:r>
        </m:oMath>
      </m:oMathPara>
    </w:p>
    <w:p w14:paraId="34CFBE70" w14:textId="77777777" w:rsidR="003F79EF" w:rsidRPr="00274BE9" w:rsidRDefault="008B1A70" w:rsidP="00294844">
      <w:pPr>
        <w:pStyle w:val="eceee-BodyText"/>
      </w:pPr>
      <w:r>
        <w:t xml:space="preserve">The potential DSR revenue for each hour is then summed throughout the year.  In order to carry out this calculation, the model needs the </w:t>
      </w:r>
      <w:r w:rsidR="00E276AF">
        <w:t xml:space="preserve">building </w:t>
      </w:r>
      <w:r>
        <w:t>heating load (and hence the electricity) throughou</w:t>
      </w:r>
      <w:r w:rsidR="00E276AF">
        <w:t xml:space="preserve">t the year.  </w:t>
      </w:r>
      <w:r w:rsidR="00632F6C" w:rsidRPr="00274BE9">
        <w:t>The specif</w:t>
      </w:r>
      <w:r w:rsidR="00632F6C">
        <w:t>ic heat load was found</w:t>
      </w:r>
      <w:r w:rsidR="00632F6C" w:rsidRPr="00274BE9">
        <w:t xml:space="preserve"> using a simplified ‘rule of thumb’ method</w:t>
      </w:r>
      <w:r w:rsidR="00632F6C">
        <w:t xml:space="preserve"> based on </w:t>
      </w:r>
      <w:r w:rsidR="003A508C" w:rsidRPr="00274BE9">
        <w:t>CIBSE Guide A Equation 5.40</w:t>
      </w:r>
      <w:r w:rsidR="00632F6C">
        <w:t xml:space="preserve"> and 5.44</w:t>
      </w:r>
      <w:r>
        <w:rPr>
          <w:noProof/>
        </w:rPr>
        <w:t xml:space="preserve"> </w:t>
      </w:r>
      <w:r w:rsidRPr="008B1A70">
        <w:rPr>
          <w:noProof/>
        </w:rPr>
        <w:t>(CIBSE, 2006)</w:t>
      </w:r>
      <w:r w:rsidR="00632F6C">
        <w:rPr>
          <w:noProof/>
        </w:rPr>
        <w:t>:</w:t>
      </w:r>
    </w:p>
    <w:p w14:paraId="20C9A1EF" w14:textId="77777777" w:rsidR="00820197" w:rsidRDefault="00B63957" w:rsidP="005F08C2">
      <w:pPr>
        <w:pStyle w:val="eceee-BodyText"/>
      </w:pPr>
      <m:oMathPara>
        <m:oMath>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=h ∙(</m:t>
          </m:r>
          <m:sSub>
            <m:sSubPr>
              <m:ctrlPr>
                <w:rPr>
                  <w:rFonts w:ascii="Cambria Math" w:hAnsi="Cambria Math"/>
                  <w:i/>
                </w:rPr>
              </m:ctrlPr>
            </m:sSubPr>
            <m:e>
              <m:r>
                <w:rPr>
                  <w:rFonts w:ascii="Cambria Math" w:hAnsi="Cambria Math"/>
                </w:rPr>
                <m:t>T</m:t>
              </m:r>
            </m:e>
            <m:sub>
              <m:r>
                <w:rPr>
                  <w:rFonts w:ascii="Cambria Math" w:hAnsi="Cambria Math"/>
                </w:rPr>
                <m:t>int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ext</m:t>
              </m:r>
            </m:sub>
          </m:sSub>
          <m:r>
            <w:rPr>
              <w:rFonts w:ascii="Cambria Math" w:hAnsi="Cambria Math"/>
            </w:rPr>
            <m:t>)</m:t>
          </m:r>
        </m:oMath>
      </m:oMathPara>
    </w:p>
    <w:p w14:paraId="72562018" w14:textId="77777777" w:rsidR="00820197" w:rsidRPr="00632F6C" w:rsidRDefault="00B63957" w:rsidP="00E276AF">
      <w:pPr>
        <w:pStyle w:val="eceee-BodyText"/>
        <w:ind w:firstLine="1304"/>
      </w:pPr>
      <m:oMathPara>
        <m:oMath>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t</m:t>
              </m:r>
            </m:sub>
          </m:sSub>
        </m:oMath>
      </m:oMathPara>
    </w:p>
    <w:p w14:paraId="6D1A237D" w14:textId="77777777" w:rsidR="00632F6C" w:rsidRPr="00274BE9" w:rsidRDefault="00900553" w:rsidP="00E276AF">
      <w:pPr>
        <w:pStyle w:val="eceee-BodyText"/>
        <w:ind w:firstLine="1304"/>
      </w:pPr>
      <m:oMathPara>
        <m:oMath>
          <m:r>
            <w:rPr>
              <w:rFonts w:ascii="Cambria Math" w:hAnsi="Cambria Math"/>
            </w:rPr>
            <m:t xml:space="preserve">h= </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i</m:t>
                  </m:r>
                </m:sub>
              </m:sSub>
            </m:num>
            <m:den>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ext</m:t>
                  </m:r>
                </m:sub>
              </m:sSub>
              <m:r>
                <w:rPr>
                  <w:rFonts w:ascii="Cambria Math" w:hAnsi="Cambria Math"/>
                </w:rPr>
                <m:t>)</m:t>
              </m:r>
            </m:den>
          </m:f>
          <m:r>
            <w:rPr>
              <w:rFonts w:ascii="Cambria Math" w:hAnsi="Cambria Math"/>
            </w:rPr>
            <m:t xml:space="preserve"> </m:t>
          </m:r>
        </m:oMath>
      </m:oMathPara>
    </w:p>
    <w:p w14:paraId="1ED06C78" w14:textId="77777777" w:rsidR="00554817" w:rsidRPr="00274BE9" w:rsidRDefault="00554817" w:rsidP="00632F6C">
      <w:pPr>
        <w:pStyle w:val="eceee-BodyText"/>
        <w:ind w:firstLine="1304"/>
      </w:pPr>
      <w:r w:rsidRPr="00274BE9">
        <w:t>Where:</w:t>
      </w:r>
    </w:p>
    <w:p w14:paraId="3CDE0D63" w14:textId="77777777" w:rsidR="00B63957" w:rsidRPr="00B63957" w:rsidRDefault="00B63957" w:rsidP="00B63957">
      <w:pPr>
        <w:pStyle w:val="eceee-BodyText"/>
        <w:ind w:firstLine="1304"/>
      </w:pPr>
      <w:r w:rsidRPr="00B63957">
        <w:t xml:space="preserve">h = </w:t>
      </w:r>
      <w:r>
        <w:t>S</w:t>
      </w:r>
      <w:r w:rsidRPr="00B63957">
        <w:t>pecific heat loss (kW/K)</w:t>
      </w:r>
    </w:p>
    <w:p w14:paraId="2DB467FB" w14:textId="77777777" w:rsidR="00294844" w:rsidRPr="00294844" w:rsidRDefault="00294844" w:rsidP="00632F6C">
      <w:pPr>
        <w:pStyle w:val="eceee-BodyText"/>
        <w:ind w:firstLine="1304"/>
      </w:pPr>
      <w:r>
        <w:rPr>
          <w:rFonts w:ascii="Lucida Bright" w:hAnsi="Lucida Bright"/>
        </w:rPr>
        <w:t>Ø</w:t>
      </w:r>
      <w:r w:rsidRPr="00294844">
        <w:rPr>
          <w:rFonts w:ascii="Lucida Bright" w:hAnsi="Lucida Bright"/>
          <w:vertAlign w:val="subscript"/>
        </w:rPr>
        <w:t>t</w:t>
      </w:r>
      <w:r>
        <w:rPr>
          <w:rFonts w:ascii="Lucida Bright" w:hAnsi="Lucida Bright"/>
        </w:rPr>
        <w:t xml:space="preserve"> = </w:t>
      </w:r>
      <w:r w:rsidRPr="00294844">
        <w:t>Design heat loss</w:t>
      </w:r>
      <w:r w:rsidR="00B63957">
        <w:t xml:space="preserve"> (MW)</w:t>
      </w:r>
      <w:bookmarkStart w:id="4" w:name="_GoBack"/>
      <w:bookmarkEnd w:id="4"/>
    </w:p>
    <w:p w14:paraId="7D05D9ED" w14:textId="77777777" w:rsidR="00554817" w:rsidRPr="00274BE9" w:rsidRDefault="00294844" w:rsidP="00632F6C">
      <w:pPr>
        <w:pStyle w:val="eceee-BodyText"/>
        <w:ind w:firstLine="1304"/>
      </w:pPr>
      <w:r>
        <w:rPr>
          <w:rFonts w:ascii="Lucida Bright" w:hAnsi="Lucida Bright"/>
        </w:rPr>
        <w:t>Ø</w:t>
      </w:r>
      <w:r w:rsidRPr="00294844">
        <w:rPr>
          <w:rFonts w:ascii="Lucida Bright" w:hAnsi="Lucida Bright"/>
          <w:vertAlign w:val="subscript"/>
        </w:rPr>
        <w:t>i</w:t>
      </w:r>
      <w:r>
        <w:rPr>
          <w:rFonts w:ascii="Lucida Bright" w:hAnsi="Lucida Bright"/>
        </w:rPr>
        <w:t xml:space="preserve"> = </w:t>
      </w:r>
      <w:commentRangeStart w:id="5"/>
      <w:r w:rsidR="00554817" w:rsidRPr="00274BE9">
        <w:t>Plant size = 2MW (from</w:t>
      </w:r>
      <w:r w:rsidR="00E276AF">
        <w:t xml:space="preserve"> LSBU</w:t>
      </w:r>
      <w:r w:rsidR="00554817" w:rsidRPr="00274BE9">
        <w:t xml:space="preserve"> estates department)</w:t>
      </w:r>
    </w:p>
    <w:p w14:paraId="64865FD1" w14:textId="77777777" w:rsidR="00554817" w:rsidRPr="00274BE9" w:rsidRDefault="00554817" w:rsidP="00632F6C">
      <w:pPr>
        <w:pStyle w:val="eceee-BodyText"/>
        <w:ind w:firstLine="1304"/>
      </w:pPr>
      <w:r w:rsidRPr="00274BE9">
        <w:t>T</w:t>
      </w:r>
      <w:r w:rsidRPr="00632F6C">
        <w:rPr>
          <w:vertAlign w:val="subscript"/>
        </w:rPr>
        <w:t>int</w:t>
      </w:r>
      <w:r w:rsidR="00632F6C">
        <w:t xml:space="preserve"> </w:t>
      </w:r>
      <w:r w:rsidRPr="00274BE9">
        <w:t>-T</w:t>
      </w:r>
      <w:r w:rsidRPr="00632F6C">
        <w:rPr>
          <w:vertAlign w:val="subscript"/>
        </w:rPr>
        <w:t>ext</w:t>
      </w:r>
      <w:r w:rsidRPr="00274BE9">
        <w:t xml:space="preserve"> = 20</w:t>
      </w:r>
      <w:r w:rsidR="00632F6C">
        <w:rPr>
          <w:rFonts w:ascii="Calibri" w:hAnsi="Calibri" w:cs="Calibri"/>
        </w:rPr>
        <w:t>⁰</w:t>
      </w:r>
      <w:r w:rsidRPr="00274BE9">
        <w:t>C (design criteria)</w:t>
      </w:r>
    </w:p>
    <w:p w14:paraId="1216C58C" w14:textId="77777777" w:rsidR="00554817" w:rsidRPr="00274BE9" w:rsidRDefault="00294844" w:rsidP="00632F6C">
      <w:pPr>
        <w:pStyle w:val="eceee-BodyText"/>
        <w:ind w:firstLine="1304"/>
      </w:pPr>
      <w:r>
        <w:t>F</w:t>
      </w:r>
      <w:r w:rsidRPr="00294844">
        <w:rPr>
          <w:vertAlign w:val="subscript"/>
        </w:rPr>
        <w:t>3</w:t>
      </w:r>
      <w:r>
        <w:t xml:space="preserve"> = </w:t>
      </w:r>
      <w:r w:rsidR="00554817" w:rsidRPr="00274BE9">
        <w:t>Plant uplift factor = 1.25 (to account for intermittent plant operation)</w:t>
      </w:r>
      <w:commentRangeEnd w:id="5"/>
      <w:r w:rsidR="00285751">
        <w:rPr>
          <w:rStyle w:val="CommentReference"/>
        </w:rPr>
        <w:commentReference w:id="5"/>
      </w:r>
    </w:p>
    <w:p w14:paraId="0EA53F90" w14:textId="77777777" w:rsidR="000F3119" w:rsidRPr="00274BE9" w:rsidRDefault="00554817" w:rsidP="000F3119">
      <w:pPr>
        <w:pStyle w:val="eceee-BodyText"/>
      </w:pPr>
      <w:r w:rsidRPr="00274BE9">
        <w:lastRenderedPageBreak/>
        <w:t xml:space="preserve">Solving for the specific heat </w:t>
      </w:r>
      <w:r w:rsidR="000F3119" w:rsidRPr="00274BE9">
        <w:t xml:space="preserve">load gives an assumed value of </w:t>
      </w:r>
      <w:r w:rsidRPr="00274BE9">
        <w:t>80kW/K.  This is a useful method for this type of modelling that allows an assumption to be made about the rate of combined fabric and ventilation heat lo</w:t>
      </w:r>
      <w:r w:rsidR="000F3119" w:rsidRPr="00274BE9">
        <w:t>sses in the building based</w:t>
      </w:r>
      <w:r w:rsidRPr="00274BE9">
        <w:t xml:space="preserve"> on its installed plant characteristics</w:t>
      </w:r>
      <w:r w:rsidR="000F3119" w:rsidRPr="00274BE9">
        <w:t xml:space="preserve"> when little other information is available about the building</w:t>
      </w:r>
      <w:r w:rsidRPr="00274BE9">
        <w:t xml:space="preserve">.  </w:t>
      </w:r>
    </w:p>
    <w:p w14:paraId="74843786" w14:textId="77777777" w:rsidR="000F3119" w:rsidRPr="00274BE9" w:rsidRDefault="000F3119" w:rsidP="000F3119">
      <w:pPr>
        <w:pStyle w:val="eceee-BodyText"/>
      </w:pPr>
      <w:r w:rsidRPr="00274BE9">
        <w:t>Using the specific heat loss rate of 80kW/K, the heating demand at half hourly intervals was calculated using 2014 NASA Merra weather data.</w:t>
      </w:r>
    </w:p>
    <w:p w14:paraId="0F530313" w14:textId="77777777" w:rsidR="000F3119" w:rsidRDefault="000F3119" w:rsidP="000F3119">
      <w:pPr>
        <w:pStyle w:val="eceee-BodyText"/>
      </w:pPr>
      <w:r>
        <w:t xml:space="preserve">The resulting resource that is available for DSR services is thus dependent on the accuracy of the assumed specific heat loss rate.  The sensitivity of the 80kW/K assumption was explored for the 40-120 kW/K range.  The results of this sensitivity analysis are given in the Discussion in Figure </w:t>
      </w:r>
      <w:commentRangeStart w:id="6"/>
      <w:commentRangeStart w:id="7"/>
      <w:r>
        <w:t>7</w:t>
      </w:r>
      <w:commentRangeEnd w:id="6"/>
      <w:r w:rsidR="00E276AF">
        <w:rPr>
          <w:rStyle w:val="CommentReference"/>
        </w:rPr>
        <w:commentReference w:id="6"/>
      </w:r>
      <w:commentRangeEnd w:id="7"/>
      <w:r w:rsidR="00285751">
        <w:rPr>
          <w:rStyle w:val="CommentReference"/>
        </w:rPr>
        <w:commentReference w:id="7"/>
      </w:r>
      <w:commentRangeStart w:id="8"/>
      <w:r>
        <w:t xml:space="preserve">.  </w:t>
      </w:r>
      <w:commentRangeEnd w:id="8"/>
      <w:r>
        <w:rPr>
          <w:rStyle w:val="CommentReference"/>
        </w:rPr>
        <w:commentReference w:id="8"/>
      </w:r>
    </w:p>
    <w:p w14:paraId="7EA998E2" w14:textId="77777777" w:rsidR="002E2A64" w:rsidRPr="005F08C2" w:rsidRDefault="00652E15" w:rsidP="005F08C2">
      <w:pPr>
        <w:pStyle w:val="eceee-BodyText"/>
      </w:pPr>
      <w:r>
        <w:t xml:space="preserve">The SHW demand </w:t>
      </w:r>
      <w:r w:rsidR="008F314C">
        <w:t>is</w:t>
      </w:r>
      <w:r>
        <w:t xml:space="preserve"> assumed to be </w:t>
      </w:r>
      <w:r w:rsidR="005F08C2">
        <w:t xml:space="preserve">2000 litre per day, </w:t>
      </w:r>
      <w:r>
        <w:t>I</w:t>
      </w:r>
      <w:r w:rsidR="005F08C2" w:rsidRPr="005F08C2">
        <w:t>t is assumed that the power required to heat the water is constant during the day</w:t>
      </w:r>
      <w:r>
        <w:t>, and with a ∆T of 50</w:t>
      </w:r>
      <w:r w:rsidRPr="00C5101A">
        <w:t>˚</w:t>
      </w:r>
      <w:r>
        <w:t>C (10</w:t>
      </w:r>
      <w:r w:rsidRPr="00C5101A">
        <w:t>˚</w:t>
      </w:r>
      <w:r>
        <w:t>C mains and 60</w:t>
      </w:r>
      <w:r w:rsidRPr="00C5101A">
        <w:t>˚</w:t>
      </w:r>
      <w:r>
        <w:t>C SHW</w:t>
      </w:r>
      <w:r w:rsidR="00452646">
        <w:t>),</w:t>
      </w:r>
      <w:r w:rsidR="00452646" w:rsidRPr="005F08C2">
        <w:t xml:space="preserve"> this</w:t>
      </w:r>
      <w:r w:rsidR="005F08C2" w:rsidRPr="005F08C2">
        <w:t xml:space="preserve"> comes to 10</w:t>
      </w:r>
      <w:r w:rsidR="00843716">
        <w:t xml:space="preserve"> </w:t>
      </w:r>
      <w:r w:rsidR="005F08C2" w:rsidRPr="005F08C2">
        <w:t>kW</w:t>
      </w:r>
      <w:r>
        <w:t>h/hr</w:t>
      </w:r>
      <w:r w:rsidR="005F08C2" w:rsidRPr="005F08C2">
        <w:t>.  The 10</w:t>
      </w:r>
      <w:r w:rsidR="00843716">
        <w:t xml:space="preserve"> </w:t>
      </w:r>
      <w:r w:rsidR="005F08C2" w:rsidRPr="005F08C2">
        <w:t>kW for SHW includes approximately</w:t>
      </w:r>
      <w:r w:rsidR="00F310AF" w:rsidRPr="005F08C2">
        <w:t xml:space="preserve"> 50</w:t>
      </w:r>
      <w:r w:rsidR="00843716">
        <w:t xml:space="preserve"> </w:t>
      </w:r>
      <w:r w:rsidR="00F310AF" w:rsidRPr="005F08C2">
        <w:t>% assumed system losses (as calorific heat of 2000</w:t>
      </w:r>
      <w:r w:rsidR="005F08C2" w:rsidRPr="005F08C2">
        <w:t xml:space="preserve"> </w:t>
      </w:r>
      <w:r w:rsidR="00452646">
        <w:t>litres</w:t>
      </w:r>
      <w:r w:rsidR="00F310AF" w:rsidRPr="005F08C2">
        <w:t xml:space="preserve"> at 50</w:t>
      </w:r>
      <w:r w:rsidR="005F08C2" w:rsidRPr="005F08C2">
        <w:t>˚</w:t>
      </w:r>
      <w:r w:rsidR="00F310AF" w:rsidRPr="005F08C2">
        <w:t>C would be around 4.8</w:t>
      </w:r>
      <w:r w:rsidR="00843716">
        <w:t xml:space="preserve"> </w:t>
      </w:r>
      <w:r w:rsidR="00F310AF" w:rsidRPr="005F08C2">
        <w:t>kW only)</w:t>
      </w:r>
      <w:r w:rsidR="005F08C2" w:rsidRPr="005F08C2">
        <w:t>.</w:t>
      </w:r>
    </w:p>
    <w:p w14:paraId="4B5B2404" w14:textId="77777777" w:rsidR="002E2A64" w:rsidRDefault="002E2A64" w:rsidP="00307870">
      <w:pPr>
        <w:pStyle w:val="eceee-Tableheading"/>
      </w:pPr>
      <w:r w:rsidRPr="005F08C2">
        <w:t xml:space="preserve">Table </w:t>
      </w:r>
      <w:r w:rsidR="00307870" w:rsidRPr="005F08C2">
        <w:t>2</w:t>
      </w:r>
      <w:r w:rsidRPr="005F08C2">
        <w:t>: Summary of modelled</w:t>
      </w:r>
      <w:r>
        <w:t xml:space="preserve"> heating strategy.</w:t>
      </w:r>
    </w:p>
    <w:tbl>
      <w:tblPr>
        <w:tblW w:w="9242" w:type="dxa"/>
        <w:tblBorders>
          <w:top w:val="single" w:sz="4" w:space="0" w:color="auto"/>
          <w:bottom w:val="single" w:sz="4" w:space="0" w:color="auto"/>
          <w:insideH w:val="single" w:sz="4" w:space="0" w:color="auto"/>
        </w:tblBorders>
        <w:tblLook w:val="04A0" w:firstRow="1" w:lastRow="0" w:firstColumn="1" w:lastColumn="0" w:noHBand="0" w:noVBand="1"/>
      </w:tblPr>
      <w:tblGrid>
        <w:gridCol w:w="1384"/>
        <w:gridCol w:w="1701"/>
        <w:gridCol w:w="992"/>
        <w:gridCol w:w="5165"/>
      </w:tblGrid>
      <w:tr w:rsidR="00A60CD8" w:rsidRPr="0081256C" w14:paraId="4DE2DE21" w14:textId="77777777" w:rsidTr="00125216">
        <w:tc>
          <w:tcPr>
            <w:tcW w:w="1384" w:type="dxa"/>
            <w:shd w:val="clear" w:color="auto" w:fill="auto"/>
          </w:tcPr>
          <w:p w14:paraId="0281887F" w14:textId="77777777" w:rsidR="002E2A64" w:rsidRPr="0081256C" w:rsidRDefault="002E2A64" w:rsidP="0081256C">
            <w:pPr>
              <w:pStyle w:val="eceee-Tabletext"/>
            </w:pPr>
          </w:p>
        </w:tc>
        <w:tc>
          <w:tcPr>
            <w:tcW w:w="1701" w:type="dxa"/>
            <w:shd w:val="clear" w:color="auto" w:fill="auto"/>
          </w:tcPr>
          <w:p w14:paraId="3E5E17D9" w14:textId="77777777" w:rsidR="002E2A64" w:rsidRPr="0081256C" w:rsidRDefault="002E2A64" w:rsidP="0081256C">
            <w:pPr>
              <w:pStyle w:val="eceee-Tabletext"/>
            </w:pPr>
            <w:r w:rsidRPr="0081256C">
              <w:t>Heating</w:t>
            </w:r>
          </w:p>
        </w:tc>
        <w:tc>
          <w:tcPr>
            <w:tcW w:w="992" w:type="dxa"/>
            <w:shd w:val="clear" w:color="auto" w:fill="auto"/>
          </w:tcPr>
          <w:p w14:paraId="3AC5C404" w14:textId="77777777" w:rsidR="002E2A64" w:rsidRPr="0081256C" w:rsidRDefault="002E2A64" w:rsidP="0081256C">
            <w:pPr>
              <w:pStyle w:val="eceee-Tabletext"/>
            </w:pPr>
            <w:r w:rsidRPr="0081256C">
              <w:t>Hot Water</w:t>
            </w:r>
          </w:p>
        </w:tc>
        <w:tc>
          <w:tcPr>
            <w:tcW w:w="5165" w:type="dxa"/>
            <w:shd w:val="clear" w:color="auto" w:fill="auto"/>
          </w:tcPr>
          <w:p w14:paraId="4FFD9250" w14:textId="77777777" w:rsidR="002E2A64" w:rsidRPr="0081256C" w:rsidRDefault="002E2A64" w:rsidP="0081256C">
            <w:pPr>
              <w:pStyle w:val="eceee-Tabletext"/>
            </w:pPr>
            <w:r w:rsidRPr="0081256C">
              <w:t>Notes</w:t>
            </w:r>
          </w:p>
        </w:tc>
      </w:tr>
      <w:tr w:rsidR="00A60CD8" w:rsidRPr="0081256C" w14:paraId="5A2FEB33" w14:textId="77777777" w:rsidTr="00125216">
        <w:tc>
          <w:tcPr>
            <w:tcW w:w="1384" w:type="dxa"/>
            <w:shd w:val="clear" w:color="auto" w:fill="auto"/>
          </w:tcPr>
          <w:p w14:paraId="13707461" w14:textId="77777777" w:rsidR="002E2A64" w:rsidRPr="0081256C" w:rsidRDefault="002E2A64" w:rsidP="0081256C">
            <w:pPr>
              <w:pStyle w:val="eceee-Tabletext"/>
            </w:pPr>
            <w:r w:rsidRPr="0081256C">
              <w:t xml:space="preserve">Summer </w:t>
            </w:r>
          </w:p>
          <w:p w14:paraId="5C2D5F4A" w14:textId="77777777" w:rsidR="002E2A64" w:rsidRPr="0081256C" w:rsidRDefault="002E2A64" w:rsidP="0081256C">
            <w:pPr>
              <w:pStyle w:val="eceee-Tabletext"/>
            </w:pPr>
            <w:r w:rsidRPr="0081256C">
              <w:t xml:space="preserve">(June-August) </w:t>
            </w:r>
          </w:p>
          <w:p w14:paraId="53AD809C" w14:textId="77777777" w:rsidR="002E2A64" w:rsidRPr="0081256C" w:rsidRDefault="002E2A64" w:rsidP="0081256C">
            <w:pPr>
              <w:pStyle w:val="eceee-Tabletext"/>
            </w:pPr>
          </w:p>
        </w:tc>
        <w:tc>
          <w:tcPr>
            <w:tcW w:w="1701" w:type="dxa"/>
            <w:shd w:val="clear" w:color="auto" w:fill="auto"/>
          </w:tcPr>
          <w:p w14:paraId="422BBBA3" w14:textId="77777777" w:rsidR="002E2A64" w:rsidRPr="0081256C" w:rsidRDefault="002E2A64" w:rsidP="0081256C">
            <w:pPr>
              <w:pStyle w:val="eceee-Tabletext"/>
            </w:pPr>
            <w:r w:rsidRPr="0081256C">
              <w:t>Off</w:t>
            </w:r>
          </w:p>
        </w:tc>
        <w:tc>
          <w:tcPr>
            <w:tcW w:w="992" w:type="dxa"/>
            <w:shd w:val="clear" w:color="auto" w:fill="auto"/>
          </w:tcPr>
          <w:p w14:paraId="22CA2353" w14:textId="77777777" w:rsidR="002E2A64" w:rsidRPr="0081256C" w:rsidRDefault="002E2A64" w:rsidP="0081256C">
            <w:pPr>
              <w:pStyle w:val="eceee-Tabletext"/>
            </w:pPr>
            <w:r w:rsidRPr="0081256C">
              <w:t>On</w:t>
            </w:r>
          </w:p>
        </w:tc>
        <w:tc>
          <w:tcPr>
            <w:tcW w:w="5165" w:type="dxa"/>
            <w:shd w:val="clear" w:color="auto" w:fill="auto"/>
          </w:tcPr>
          <w:p w14:paraId="3FB9E917" w14:textId="77777777" w:rsidR="002E2A64" w:rsidRPr="0081256C" w:rsidRDefault="002E2A64" w:rsidP="00125216">
            <w:pPr>
              <w:pStyle w:val="eceee-Tabletext"/>
            </w:pPr>
            <w:r w:rsidRPr="0081256C">
              <w:t xml:space="preserve">Hot water consumption </w:t>
            </w:r>
            <w:r w:rsidR="00125216">
              <w:t>is too</w:t>
            </w:r>
            <w:r w:rsidRPr="0081256C">
              <w:t xml:space="preserve"> low (ca. 120kWh p</w:t>
            </w:r>
            <w:r w:rsidR="00CB63AF">
              <w:t xml:space="preserve">er </w:t>
            </w:r>
            <w:r w:rsidRPr="0081256C">
              <w:t>d</w:t>
            </w:r>
            <w:r w:rsidR="00CB63AF">
              <w:t>ay</w:t>
            </w:r>
            <w:r w:rsidRPr="0081256C">
              <w:t>)</w:t>
            </w:r>
            <w:r w:rsidR="00125216">
              <w:t xml:space="preserve"> to provide a useful DSR service in Summer</w:t>
            </w:r>
            <w:r w:rsidR="00CB63AF">
              <w:t>.</w:t>
            </w:r>
            <w:r w:rsidRPr="0081256C">
              <w:t xml:space="preserve"> </w:t>
            </w:r>
            <w:r w:rsidR="00CB63AF">
              <w:t>H</w:t>
            </w:r>
            <w:r w:rsidRPr="0081256C">
              <w:t>eat</w:t>
            </w:r>
            <w:r w:rsidR="00CB63AF">
              <w:t xml:space="preserve"> </w:t>
            </w:r>
            <w:r w:rsidRPr="0081256C">
              <w:t xml:space="preserve">pump (HP) availability is assumed to be zero. </w:t>
            </w:r>
          </w:p>
        </w:tc>
      </w:tr>
      <w:tr w:rsidR="00A60CD8" w:rsidRPr="0081256C" w14:paraId="76792E76" w14:textId="77777777" w:rsidTr="00125216">
        <w:tc>
          <w:tcPr>
            <w:tcW w:w="1384" w:type="dxa"/>
            <w:shd w:val="clear" w:color="auto" w:fill="auto"/>
          </w:tcPr>
          <w:p w14:paraId="7B5EE72E" w14:textId="77777777" w:rsidR="002E2A64" w:rsidRPr="0081256C" w:rsidRDefault="002E2A64" w:rsidP="0081256C">
            <w:pPr>
              <w:pStyle w:val="eceee-Tabletext"/>
            </w:pPr>
            <w:r w:rsidRPr="0081256C">
              <w:t>Spring / Autumn</w:t>
            </w:r>
          </w:p>
          <w:p w14:paraId="02D7BFE2" w14:textId="77777777" w:rsidR="002E2A64" w:rsidRPr="0081256C" w:rsidRDefault="002E2A64" w:rsidP="0081256C">
            <w:pPr>
              <w:pStyle w:val="eceee-Tabletext"/>
            </w:pPr>
            <w:r w:rsidRPr="0081256C">
              <w:t xml:space="preserve"> (April-May &amp; Sept-Oct)</w:t>
            </w:r>
          </w:p>
          <w:p w14:paraId="29E8F16F" w14:textId="77777777" w:rsidR="002E2A64" w:rsidRPr="0081256C" w:rsidRDefault="002E2A64" w:rsidP="0081256C">
            <w:pPr>
              <w:pStyle w:val="eceee-Tabletext"/>
            </w:pPr>
          </w:p>
        </w:tc>
        <w:tc>
          <w:tcPr>
            <w:tcW w:w="1701" w:type="dxa"/>
            <w:shd w:val="clear" w:color="auto" w:fill="auto"/>
          </w:tcPr>
          <w:p w14:paraId="6882E8DF" w14:textId="77777777" w:rsidR="002E2A64" w:rsidRPr="0081256C" w:rsidRDefault="002E2A64" w:rsidP="0081256C">
            <w:pPr>
              <w:pStyle w:val="eceee-Tabletext"/>
            </w:pPr>
            <w:r w:rsidRPr="0081256C">
              <w:t>Heating is on if the external air temperature falls below 14</w:t>
            </w:r>
            <w:r w:rsidRPr="0081256C">
              <w:rPr>
                <w:rFonts w:ascii="Cambria Math" w:hAnsi="Cambria Math" w:cs="Cambria Math"/>
              </w:rPr>
              <w:t>⁰</w:t>
            </w:r>
            <w:r w:rsidRPr="0081256C">
              <w:t>C</w:t>
            </w:r>
          </w:p>
        </w:tc>
        <w:tc>
          <w:tcPr>
            <w:tcW w:w="992" w:type="dxa"/>
            <w:shd w:val="clear" w:color="auto" w:fill="auto"/>
          </w:tcPr>
          <w:p w14:paraId="012C90AD" w14:textId="77777777" w:rsidR="002E2A64" w:rsidRPr="0081256C" w:rsidRDefault="002E2A64" w:rsidP="0081256C">
            <w:pPr>
              <w:pStyle w:val="eceee-Tabletext"/>
            </w:pPr>
            <w:r w:rsidRPr="0081256C">
              <w:t>On</w:t>
            </w:r>
          </w:p>
        </w:tc>
        <w:tc>
          <w:tcPr>
            <w:tcW w:w="5165" w:type="dxa"/>
            <w:shd w:val="clear" w:color="auto" w:fill="auto"/>
          </w:tcPr>
          <w:p w14:paraId="25B6F246" w14:textId="77777777" w:rsidR="002E2A64" w:rsidRPr="0081256C" w:rsidRDefault="002E2A64" w:rsidP="00125216">
            <w:pPr>
              <w:pStyle w:val="eceee-Tabletext"/>
            </w:pPr>
            <w:r w:rsidRPr="0081256C">
              <w:t xml:space="preserve">The short-term variability of the HP makes it unsuitable to offer a dedicated STOR service, although it would be possible to make use of the intermittent availability within a wider Upside asset portfolio. </w:t>
            </w:r>
            <w:r w:rsidR="00125216">
              <w:t>See details throughout cases below.</w:t>
            </w:r>
          </w:p>
        </w:tc>
      </w:tr>
      <w:tr w:rsidR="00A60CD8" w:rsidRPr="0081256C" w14:paraId="6D757268" w14:textId="77777777" w:rsidTr="00125216">
        <w:tc>
          <w:tcPr>
            <w:tcW w:w="1384" w:type="dxa"/>
            <w:shd w:val="clear" w:color="auto" w:fill="auto"/>
          </w:tcPr>
          <w:p w14:paraId="21F851B4" w14:textId="77777777" w:rsidR="002E2A64" w:rsidRPr="0081256C" w:rsidRDefault="002E2A64" w:rsidP="0081256C">
            <w:pPr>
              <w:pStyle w:val="eceee-Tabletext"/>
            </w:pPr>
            <w:r w:rsidRPr="0081256C">
              <w:t xml:space="preserve">Winter </w:t>
            </w:r>
          </w:p>
          <w:p w14:paraId="4E6326C1" w14:textId="77777777" w:rsidR="002E2A64" w:rsidRPr="0081256C" w:rsidRDefault="002E2A64" w:rsidP="0081256C">
            <w:pPr>
              <w:pStyle w:val="eceee-Tabletext"/>
            </w:pPr>
            <w:r w:rsidRPr="0081256C">
              <w:t>(Nov-March)</w:t>
            </w:r>
          </w:p>
        </w:tc>
        <w:tc>
          <w:tcPr>
            <w:tcW w:w="1701" w:type="dxa"/>
            <w:shd w:val="clear" w:color="auto" w:fill="auto"/>
          </w:tcPr>
          <w:p w14:paraId="4CD29513" w14:textId="77777777" w:rsidR="002E2A64" w:rsidRPr="0081256C" w:rsidRDefault="002E2A64" w:rsidP="0081256C">
            <w:pPr>
              <w:pStyle w:val="eceee-Tabletext"/>
            </w:pPr>
            <w:r w:rsidRPr="0081256C">
              <w:t>Heating always on.</w:t>
            </w:r>
          </w:p>
        </w:tc>
        <w:tc>
          <w:tcPr>
            <w:tcW w:w="992" w:type="dxa"/>
            <w:shd w:val="clear" w:color="auto" w:fill="auto"/>
          </w:tcPr>
          <w:p w14:paraId="45ADE75F" w14:textId="77777777" w:rsidR="002E2A64" w:rsidRPr="0081256C" w:rsidRDefault="002E2A64" w:rsidP="0081256C">
            <w:pPr>
              <w:pStyle w:val="eceee-Tabletext"/>
            </w:pPr>
            <w:r w:rsidRPr="0081256C">
              <w:t>On</w:t>
            </w:r>
          </w:p>
        </w:tc>
        <w:tc>
          <w:tcPr>
            <w:tcW w:w="5165" w:type="dxa"/>
            <w:shd w:val="clear" w:color="auto" w:fill="auto"/>
          </w:tcPr>
          <w:p w14:paraId="3B920FD0" w14:textId="77777777" w:rsidR="002E2A64" w:rsidRPr="0081256C" w:rsidRDefault="002E2A64" w:rsidP="0081256C">
            <w:pPr>
              <w:pStyle w:val="eceee-Tabletext"/>
            </w:pPr>
            <w:r w:rsidRPr="0081256C">
              <w:t>It was assumed that the HP is only available in case there is a heat demand from the building.</w:t>
            </w:r>
          </w:p>
        </w:tc>
      </w:tr>
    </w:tbl>
    <w:p w14:paraId="4DB2E36F" w14:textId="77777777" w:rsidR="002E2A64" w:rsidRDefault="002E2A64" w:rsidP="002E2A64"/>
    <w:p w14:paraId="62CC09A4" w14:textId="77777777" w:rsidR="00881FD8" w:rsidRDefault="00AE7B65" w:rsidP="00881FD8">
      <w:pPr>
        <w:pStyle w:val="eceee-BodyText"/>
      </w:pPr>
      <w:r w:rsidRPr="00296285">
        <w:t xml:space="preserve">BEN is eligible for </w:t>
      </w:r>
      <w:r w:rsidR="00881FD8">
        <w:t>Renewable Heat Incentive (</w:t>
      </w:r>
      <w:r>
        <w:t>RHI</w:t>
      </w:r>
      <w:r w:rsidR="00881FD8">
        <w:t>)</w:t>
      </w:r>
      <w:r>
        <w:t xml:space="preserve"> </w:t>
      </w:r>
      <w:r w:rsidRPr="00296285">
        <w:t>payments</w:t>
      </w:r>
      <w:r w:rsidR="00881FD8">
        <w:t xml:space="preserve">. </w:t>
      </w:r>
      <w:r w:rsidR="00900553">
        <w:t xml:space="preserve"> The RHI pays the end user for every kilowatt hour of renewable heat that they generate.  In order to avoid incentivising higher consumption to keep receiving further payments</w:t>
      </w:r>
      <w:r w:rsidR="004815F4">
        <w:t>, t</w:t>
      </w:r>
      <w:r w:rsidR="00900553">
        <w:t xml:space="preserve">he RHI has divided their payment rates into two ‘Tiers’.  The higher Tier 1 payments are </w:t>
      </w:r>
      <w:r w:rsidR="004815F4">
        <w:t>given a upper threshold</w:t>
      </w:r>
      <w:r w:rsidR="00900553">
        <w:t xml:space="preserve"> based on the installation size, </w:t>
      </w:r>
      <w:r w:rsidR="004815F4">
        <w:t>for any heat that is generated above this threshold,</w:t>
      </w:r>
      <w:r w:rsidR="00900553">
        <w:t xml:space="preserve"> the payment rate drops to the lower Tier 2.  This is designed to avoid incentivising consumption to secure RHI payments.  </w:t>
      </w:r>
      <w:r w:rsidR="00881FD8">
        <w:t>At the time of writing the rates are</w:t>
      </w:r>
      <w:r>
        <w:t xml:space="preserve"> 8.95 p/kWh</w:t>
      </w:r>
      <w:r w:rsidR="00881FD8">
        <w:t xml:space="preserve"> for</w:t>
      </w:r>
      <w:r>
        <w:t xml:space="preserve"> Tier 1 and 2.67p/kWh </w:t>
      </w:r>
      <w:r w:rsidR="00881FD8">
        <w:t xml:space="preserve">for </w:t>
      </w:r>
      <w:r>
        <w:t>Tier 2</w:t>
      </w:r>
      <w:r w:rsidRPr="00296285">
        <w:t>.</w:t>
      </w:r>
      <w:r>
        <w:t xml:space="preserve">  </w:t>
      </w:r>
      <w:r w:rsidR="00881FD8">
        <w:t xml:space="preserve">Throughout this study, </w:t>
      </w:r>
      <w:r w:rsidR="00881FD8" w:rsidRPr="00B571CD">
        <w:t xml:space="preserve">changes in </w:t>
      </w:r>
      <w:commentRangeStart w:id="9"/>
      <w:commentRangeStart w:id="10"/>
      <w:commentRangeStart w:id="11"/>
      <w:r w:rsidR="00881FD8">
        <w:t>RHI</w:t>
      </w:r>
      <w:r w:rsidR="00881FD8" w:rsidRPr="00B571CD">
        <w:t xml:space="preserve"> income </w:t>
      </w:r>
      <w:commentRangeEnd w:id="9"/>
      <w:r w:rsidR="00881FD8">
        <w:rPr>
          <w:rStyle w:val="CommentReference"/>
        </w:rPr>
        <w:commentReference w:id="9"/>
      </w:r>
      <w:commentRangeEnd w:id="10"/>
      <w:r w:rsidR="00BD17E2">
        <w:rPr>
          <w:rStyle w:val="CommentReference"/>
        </w:rPr>
        <w:commentReference w:id="10"/>
      </w:r>
      <w:commentRangeEnd w:id="11"/>
      <w:r w:rsidR="00285751">
        <w:rPr>
          <w:rStyle w:val="CommentReference"/>
        </w:rPr>
        <w:commentReference w:id="11"/>
      </w:r>
      <w:r w:rsidR="00881FD8" w:rsidRPr="00B571CD">
        <w:t>and energy costs are not included</w:t>
      </w:r>
      <w:r w:rsidR="00881FD8">
        <w:t>.  Capacity Market revenues and service costs for the DSR aggregator are also excluded.</w:t>
      </w:r>
    </w:p>
    <w:p w14:paraId="489ABD22" w14:textId="77777777" w:rsidR="00AE7B65" w:rsidRDefault="00AE7B65" w:rsidP="00307870">
      <w:pPr>
        <w:pStyle w:val="eceee-BodyText"/>
      </w:pPr>
    </w:p>
    <w:p w14:paraId="7356920C" w14:textId="77777777" w:rsidR="002E2A64" w:rsidRDefault="002201F1" w:rsidP="00307870">
      <w:pPr>
        <w:pStyle w:val="eceee-Heading1"/>
      </w:pPr>
      <w:r>
        <w:t>Results</w:t>
      </w:r>
    </w:p>
    <w:p w14:paraId="5B2DC840" w14:textId="77777777" w:rsidR="000800D8" w:rsidRPr="000800D8" w:rsidRDefault="000800D8" w:rsidP="000800D8">
      <w:pPr>
        <w:pStyle w:val="eceee-BodyText"/>
      </w:pPr>
      <w:r>
        <w:t>The conditions above were used as the base inputs for the model to test three DSR revenue streams: FFR, STOR, UoS.  This section presents the detailed inputs and results for each of these revenue streams individually, then discusses how they can be used in combination.</w:t>
      </w:r>
    </w:p>
    <w:p w14:paraId="06681CB0" w14:textId="77777777" w:rsidR="002E2A64" w:rsidRDefault="002E2A64" w:rsidP="002E2A64">
      <w:pPr>
        <w:pStyle w:val="Heading2"/>
      </w:pPr>
      <w:r>
        <w:t>FFR</w:t>
      </w:r>
      <w:r w:rsidR="00AC5A06">
        <w:t xml:space="preserve"> – Firm Frequency Response </w:t>
      </w:r>
    </w:p>
    <w:p w14:paraId="632152D1" w14:textId="77777777" w:rsidR="002E2A64" w:rsidRPr="004A1C86" w:rsidRDefault="002E2A64" w:rsidP="004A1C86">
      <w:pPr>
        <w:pStyle w:val="eceee-BodyText"/>
      </w:pPr>
      <w:r w:rsidRPr="004A1C86">
        <w:t>If the heating strategy allows, the heat pump will be fully loaded at all times (95</w:t>
      </w:r>
      <w:r w:rsidR="007D63B3">
        <w:t xml:space="preserve"> </w:t>
      </w:r>
      <w:r w:rsidRPr="004A1C86">
        <w:t xml:space="preserve">kWe) to provide a low FFR response. That is, on a low frequency event, the </w:t>
      </w:r>
      <w:r w:rsidR="004A1C86">
        <w:t xml:space="preserve">heat </w:t>
      </w:r>
      <w:r w:rsidRPr="004A1C86">
        <w:t xml:space="preserve">pump will be switched off for up to 30 minutes.  The heat pump will respond within 10 seconds of an event and the response will last for 30 minutes. This means that the BEN heat network will contract for Primary, Secondary Static FFR.  Before a Low FFR event the HP is operating at its rated output and the </w:t>
      </w:r>
      <w:r w:rsidR="007D63B3">
        <w:t>storage</w:t>
      </w:r>
      <w:r w:rsidR="007D63B3" w:rsidRPr="004A1C86">
        <w:t xml:space="preserve"> </w:t>
      </w:r>
      <w:r w:rsidRPr="004A1C86">
        <w:t>tank is in its normal state of charge (75</w:t>
      </w:r>
      <w:r w:rsidR="004A1C86" w:rsidRPr="004A1C86">
        <w:t>˚</w:t>
      </w:r>
      <w:r w:rsidRPr="004A1C86">
        <w:t xml:space="preserve">C = 150kWh).  When the Low FFR event is initiated, the HP output is reduced to zero and the </w:t>
      </w:r>
      <w:r w:rsidR="007D63B3">
        <w:t>storage</w:t>
      </w:r>
      <w:r w:rsidRPr="004A1C86">
        <w:t xml:space="preserve"> begins to be discharged. The event lasts 30 minutes (from 400 seconds to 2200 seconds in Figure </w:t>
      </w:r>
      <w:r w:rsidR="004A1C86">
        <w:t>3</w:t>
      </w:r>
      <w:r w:rsidRPr="004A1C86">
        <w:t>).</w:t>
      </w:r>
    </w:p>
    <w:p w14:paraId="107315B0" w14:textId="77777777" w:rsidR="002E2A64" w:rsidRPr="004A1C86" w:rsidRDefault="002E2A64" w:rsidP="004A1C86">
      <w:pPr>
        <w:pStyle w:val="eceee-BodyText"/>
      </w:pPr>
      <w:r w:rsidRPr="004A1C86">
        <w:t xml:space="preserve">At the end of the event the </w:t>
      </w:r>
      <w:r w:rsidR="00AE7B65">
        <w:t>storage</w:t>
      </w:r>
      <w:r w:rsidR="00AE7B65" w:rsidRPr="004A1C86">
        <w:t xml:space="preserve"> </w:t>
      </w:r>
      <w:r w:rsidRPr="004A1C86">
        <w:t>tank state of charge is 62</w:t>
      </w:r>
      <w:r w:rsidR="004A1C86" w:rsidRPr="004A1C86">
        <w:t>˚</w:t>
      </w:r>
      <w:r w:rsidRPr="004A1C86">
        <w:t>C (25</w:t>
      </w:r>
      <w:r w:rsidR="007D63B3">
        <w:t xml:space="preserve"> </w:t>
      </w:r>
      <w:r w:rsidRPr="004A1C86">
        <w:t xml:space="preserve">kWh). The HP output is increased to its original state (full rated output) and the </w:t>
      </w:r>
      <w:r w:rsidR="00AE7B65">
        <w:t>storage</w:t>
      </w:r>
      <w:r w:rsidR="00AE7B65" w:rsidRPr="004A1C86">
        <w:t xml:space="preserve"> </w:t>
      </w:r>
      <w:r w:rsidRPr="004A1C86">
        <w:t xml:space="preserve">tank is recharged by an increased output </w:t>
      </w:r>
      <w:r w:rsidR="000800D8">
        <w:t>from</w:t>
      </w:r>
      <w:r w:rsidRPr="004A1C86">
        <w:t xml:space="preserve"> the gas boilers. </w:t>
      </w:r>
    </w:p>
    <w:p w14:paraId="2A13BAC9" w14:textId="77777777" w:rsidR="005F69E0" w:rsidRDefault="002E2A64" w:rsidP="004A1C86">
      <w:pPr>
        <w:pStyle w:val="eceee-BodyText"/>
      </w:pPr>
      <w:r w:rsidRPr="004A1C86">
        <w:t>FFR income is proportional to the power capacity offered per hour (</w:t>
      </w:r>
      <w:r w:rsidR="007D63B3">
        <w:t>£</w:t>
      </w:r>
      <w:r w:rsidRPr="004A1C86">
        <w:t>/MW</w:t>
      </w:r>
      <w:r w:rsidR="007D63B3">
        <w:t>h</w:t>
      </w:r>
      <w:r w:rsidRPr="004A1C86">
        <w:t xml:space="preserve">). The </w:t>
      </w:r>
      <w:r w:rsidR="000800D8">
        <w:t>DSR revenue achievable for this type of event for both</w:t>
      </w:r>
      <w:r w:rsidR="005F69E0">
        <w:t xml:space="preserve"> </w:t>
      </w:r>
      <w:r w:rsidR="000800D8">
        <w:t>day and night-time rates</w:t>
      </w:r>
      <w:r w:rsidR="005F69E0">
        <w:t xml:space="preserve"> are summarised in Table 3.</w:t>
      </w:r>
    </w:p>
    <w:p w14:paraId="51F16D30" w14:textId="77777777" w:rsidR="005F69E0" w:rsidRDefault="005F69E0" w:rsidP="005F69E0">
      <w:pPr>
        <w:pStyle w:val="eceee-Tableheading"/>
      </w:pPr>
      <w:r>
        <w:t>Table 3: Revenue from FFR</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317"/>
        <w:gridCol w:w="2300"/>
        <w:gridCol w:w="1010"/>
        <w:gridCol w:w="1727"/>
        <w:gridCol w:w="928"/>
      </w:tblGrid>
      <w:tr w:rsidR="005F69E0" w:rsidRPr="008576F8" w14:paraId="7D6F1A90" w14:textId="77777777" w:rsidTr="005F69E0">
        <w:trPr>
          <w:trHeight w:val="300"/>
        </w:trPr>
        <w:tc>
          <w:tcPr>
            <w:tcW w:w="1880" w:type="pct"/>
            <w:shd w:val="clear" w:color="auto" w:fill="auto"/>
            <w:noWrap/>
            <w:vAlign w:val="center"/>
            <w:hideMark/>
          </w:tcPr>
          <w:p w14:paraId="35F69ECF" w14:textId="77777777" w:rsidR="005F69E0" w:rsidRPr="008576F8" w:rsidRDefault="005F69E0" w:rsidP="005F69E0">
            <w:pPr>
              <w:pStyle w:val="eceee-Tabletext"/>
              <w:rPr>
                <w:b/>
                <w:lang w:eastAsia="en-GB"/>
              </w:rPr>
            </w:pPr>
            <w:r w:rsidRPr="008576F8">
              <w:rPr>
                <w:b/>
                <w:lang w:eastAsia="en-GB"/>
              </w:rPr>
              <w:lastRenderedPageBreak/>
              <w:t>FFR Period</w:t>
            </w:r>
          </w:p>
        </w:tc>
        <w:tc>
          <w:tcPr>
            <w:tcW w:w="1331" w:type="pct"/>
            <w:shd w:val="clear" w:color="auto" w:fill="auto"/>
            <w:noWrap/>
            <w:vAlign w:val="center"/>
            <w:hideMark/>
          </w:tcPr>
          <w:p w14:paraId="513732E8" w14:textId="77777777" w:rsidR="005F69E0" w:rsidRPr="008576F8" w:rsidRDefault="005F69E0" w:rsidP="005F69E0">
            <w:pPr>
              <w:pStyle w:val="eceee-Tabletext"/>
              <w:jc w:val="right"/>
              <w:rPr>
                <w:b/>
                <w:lang w:eastAsia="en-GB"/>
              </w:rPr>
            </w:pPr>
            <w:r w:rsidRPr="008576F8">
              <w:rPr>
                <w:b/>
                <w:lang w:eastAsia="en-GB"/>
              </w:rPr>
              <w:t>Available Power [kW]</w:t>
            </w:r>
          </w:p>
        </w:tc>
        <w:tc>
          <w:tcPr>
            <w:tcW w:w="636" w:type="pct"/>
            <w:shd w:val="clear" w:color="auto" w:fill="auto"/>
            <w:noWrap/>
            <w:vAlign w:val="center"/>
            <w:hideMark/>
          </w:tcPr>
          <w:p w14:paraId="4DA8C19A" w14:textId="77777777" w:rsidR="005F69E0" w:rsidRPr="008576F8" w:rsidRDefault="005F69E0" w:rsidP="005F69E0">
            <w:pPr>
              <w:pStyle w:val="eceee-Tabletext"/>
              <w:jc w:val="right"/>
              <w:rPr>
                <w:b/>
                <w:lang w:eastAsia="en-GB"/>
              </w:rPr>
            </w:pPr>
            <w:r w:rsidRPr="008576F8">
              <w:rPr>
                <w:b/>
                <w:lang w:eastAsia="en-GB"/>
              </w:rPr>
              <w:t>Hours</w:t>
            </w:r>
          </w:p>
        </w:tc>
        <w:tc>
          <w:tcPr>
            <w:tcW w:w="611" w:type="pct"/>
            <w:shd w:val="clear" w:color="auto" w:fill="auto"/>
            <w:noWrap/>
            <w:vAlign w:val="center"/>
            <w:hideMark/>
          </w:tcPr>
          <w:p w14:paraId="5E180A2F" w14:textId="77777777" w:rsidR="005F69E0" w:rsidRPr="008576F8" w:rsidRDefault="005F69E0" w:rsidP="005F69E0">
            <w:pPr>
              <w:pStyle w:val="eceee-Tabletext"/>
              <w:jc w:val="right"/>
              <w:rPr>
                <w:b/>
                <w:lang w:eastAsia="en-GB"/>
              </w:rPr>
            </w:pPr>
            <w:r w:rsidRPr="008576F8">
              <w:rPr>
                <w:b/>
                <w:lang w:eastAsia="en-GB"/>
              </w:rPr>
              <w:t>FFR Rate [£/MWh/h]</w:t>
            </w:r>
          </w:p>
        </w:tc>
        <w:tc>
          <w:tcPr>
            <w:tcW w:w="542" w:type="pct"/>
            <w:shd w:val="clear" w:color="auto" w:fill="auto"/>
            <w:noWrap/>
            <w:vAlign w:val="center"/>
            <w:hideMark/>
          </w:tcPr>
          <w:p w14:paraId="5B4B93BA" w14:textId="77777777" w:rsidR="005F69E0" w:rsidRPr="008576F8" w:rsidRDefault="005F69E0" w:rsidP="005F69E0">
            <w:pPr>
              <w:pStyle w:val="eceee-Tabletext"/>
              <w:jc w:val="right"/>
              <w:rPr>
                <w:b/>
                <w:lang w:eastAsia="en-GB"/>
              </w:rPr>
            </w:pPr>
            <w:r w:rsidRPr="008576F8">
              <w:rPr>
                <w:b/>
                <w:lang w:eastAsia="en-GB"/>
              </w:rPr>
              <w:t>Revenue</w:t>
            </w:r>
          </w:p>
        </w:tc>
      </w:tr>
      <w:tr w:rsidR="005F69E0" w:rsidRPr="005F69E0" w14:paraId="14C9CA3C" w14:textId="77777777" w:rsidTr="008576F8">
        <w:trPr>
          <w:trHeight w:val="300"/>
        </w:trPr>
        <w:tc>
          <w:tcPr>
            <w:tcW w:w="1880" w:type="pct"/>
            <w:tcBorders>
              <w:bottom w:val="nil"/>
            </w:tcBorders>
            <w:shd w:val="clear" w:color="auto" w:fill="auto"/>
            <w:noWrap/>
            <w:vAlign w:val="center"/>
            <w:hideMark/>
          </w:tcPr>
          <w:p w14:paraId="2A5AF7E8" w14:textId="77777777" w:rsidR="005F69E0" w:rsidRPr="005F69E0" w:rsidRDefault="005F69E0" w:rsidP="005F69E0">
            <w:pPr>
              <w:pStyle w:val="eceee-Tabletext"/>
              <w:rPr>
                <w:lang w:eastAsia="en-GB"/>
              </w:rPr>
            </w:pPr>
            <w:r w:rsidRPr="005F69E0">
              <w:rPr>
                <w:lang w:eastAsia="en-GB"/>
              </w:rPr>
              <w:t>Day (07:00 to 22:59) - Full load</w:t>
            </w:r>
          </w:p>
        </w:tc>
        <w:tc>
          <w:tcPr>
            <w:tcW w:w="1331" w:type="pct"/>
            <w:tcBorders>
              <w:bottom w:val="nil"/>
            </w:tcBorders>
            <w:shd w:val="clear" w:color="auto" w:fill="auto"/>
            <w:noWrap/>
            <w:vAlign w:val="center"/>
            <w:hideMark/>
          </w:tcPr>
          <w:p w14:paraId="7EE540D7" w14:textId="77777777" w:rsidR="005F69E0" w:rsidRPr="005F69E0" w:rsidRDefault="005F69E0" w:rsidP="005F69E0">
            <w:pPr>
              <w:pStyle w:val="eceee-Tabletext"/>
              <w:jc w:val="right"/>
              <w:rPr>
                <w:lang w:eastAsia="en-GB"/>
              </w:rPr>
            </w:pPr>
            <w:r w:rsidRPr="005F69E0">
              <w:rPr>
                <w:lang w:eastAsia="en-GB"/>
              </w:rPr>
              <w:t>95</w:t>
            </w:r>
          </w:p>
        </w:tc>
        <w:tc>
          <w:tcPr>
            <w:tcW w:w="636" w:type="pct"/>
            <w:tcBorders>
              <w:bottom w:val="nil"/>
            </w:tcBorders>
            <w:shd w:val="clear" w:color="auto" w:fill="auto"/>
            <w:noWrap/>
            <w:vAlign w:val="center"/>
            <w:hideMark/>
          </w:tcPr>
          <w:p w14:paraId="3BF575D6" w14:textId="77777777" w:rsidR="005F69E0" w:rsidRPr="005F69E0" w:rsidRDefault="005F69E0" w:rsidP="005F69E0">
            <w:pPr>
              <w:pStyle w:val="eceee-Tabletext"/>
              <w:jc w:val="right"/>
              <w:rPr>
                <w:lang w:eastAsia="en-GB"/>
              </w:rPr>
            </w:pPr>
            <w:r w:rsidRPr="005F69E0">
              <w:rPr>
                <w:lang w:eastAsia="en-GB"/>
              </w:rPr>
              <w:t>3020</w:t>
            </w:r>
          </w:p>
        </w:tc>
        <w:tc>
          <w:tcPr>
            <w:tcW w:w="611" w:type="pct"/>
            <w:tcBorders>
              <w:bottom w:val="nil"/>
            </w:tcBorders>
            <w:shd w:val="clear" w:color="auto" w:fill="auto"/>
            <w:noWrap/>
            <w:vAlign w:val="center"/>
            <w:hideMark/>
          </w:tcPr>
          <w:p w14:paraId="52B664CA" w14:textId="77777777" w:rsidR="005F69E0" w:rsidRPr="005F69E0" w:rsidRDefault="005F69E0" w:rsidP="005F69E0">
            <w:pPr>
              <w:pStyle w:val="eceee-Tabletext"/>
              <w:jc w:val="right"/>
              <w:rPr>
                <w:lang w:eastAsia="en-GB"/>
              </w:rPr>
            </w:pPr>
            <w:r w:rsidRPr="005F69E0">
              <w:rPr>
                <w:lang w:eastAsia="en-GB"/>
              </w:rPr>
              <w:t>6.5</w:t>
            </w:r>
          </w:p>
        </w:tc>
        <w:tc>
          <w:tcPr>
            <w:tcW w:w="542" w:type="pct"/>
            <w:tcBorders>
              <w:bottom w:val="nil"/>
            </w:tcBorders>
            <w:shd w:val="clear" w:color="auto" w:fill="auto"/>
            <w:noWrap/>
            <w:vAlign w:val="center"/>
            <w:hideMark/>
          </w:tcPr>
          <w:p w14:paraId="3A456F40" w14:textId="77777777" w:rsidR="005F69E0" w:rsidRPr="005F69E0" w:rsidRDefault="005F69E0" w:rsidP="005F69E0">
            <w:pPr>
              <w:pStyle w:val="eceee-Tabletext"/>
              <w:jc w:val="right"/>
              <w:rPr>
                <w:lang w:eastAsia="en-GB"/>
              </w:rPr>
            </w:pPr>
            <w:r w:rsidRPr="005F69E0">
              <w:rPr>
                <w:lang w:eastAsia="en-GB"/>
              </w:rPr>
              <w:t>£1,864.85</w:t>
            </w:r>
          </w:p>
        </w:tc>
      </w:tr>
      <w:tr w:rsidR="005F69E0" w:rsidRPr="005F69E0" w14:paraId="43726B28" w14:textId="77777777" w:rsidTr="008576F8">
        <w:trPr>
          <w:trHeight w:val="300"/>
        </w:trPr>
        <w:tc>
          <w:tcPr>
            <w:tcW w:w="1880" w:type="pct"/>
            <w:tcBorders>
              <w:top w:val="nil"/>
              <w:bottom w:val="nil"/>
            </w:tcBorders>
            <w:shd w:val="clear" w:color="auto" w:fill="auto"/>
            <w:noWrap/>
            <w:vAlign w:val="center"/>
            <w:hideMark/>
          </w:tcPr>
          <w:p w14:paraId="1C602D6D" w14:textId="77777777" w:rsidR="005F69E0" w:rsidRPr="005F69E0" w:rsidRDefault="005F69E0" w:rsidP="005F69E0">
            <w:pPr>
              <w:pStyle w:val="eceee-Tabletext"/>
              <w:rPr>
                <w:lang w:eastAsia="en-GB"/>
              </w:rPr>
            </w:pPr>
            <w:r w:rsidRPr="005F69E0">
              <w:rPr>
                <w:lang w:eastAsia="en-GB"/>
              </w:rPr>
              <w:t>Night (23:00 to 06:59) - Full load</w:t>
            </w:r>
          </w:p>
        </w:tc>
        <w:tc>
          <w:tcPr>
            <w:tcW w:w="1331" w:type="pct"/>
            <w:tcBorders>
              <w:top w:val="nil"/>
              <w:bottom w:val="nil"/>
            </w:tcBorders>
            <w:shd w:val="clear" w:color="auto" w:fill="auto"/>
            <w:noWrap/>
            <w:vAlign w:val="center"/>
            <w:hideMark/>
          </w:tcPr>
          <w:p w14:paraId="30BB68F8" w14:textId="77777777" w:rsidR="005F69E0" w:rsidRPr="005F69E0" w:rsidRDefault="005F69E0" w:rsidP="005F69E0">
            <w:pPr>
              <w:pStyle w:val="eceee-Tabletext"/>
              <w:jc w:val="right"/>
              <w:rPr>
                <w:lang w:eastAsia="en-GB"/>
              </w:rPr>
            </w:pPr>
            <w:r w:rsidRPr="005F69E0">
              <w:rPr>
                <w:lang w:eastAsia="en-GB"/>
              </w:rPr>
              <w:t>95</w:t>
            </w:r>
          </w:p>
        </w:tc>
        <w:tc>
          <w:tcPr>
            <w:tcW w:w="636" w:type="pct"/>
            <w:tcBorders>
              <w:top w:val="nil"/>
              <w:bottom w:val="nil"/>
            </w:tcBorders>
            <w:shd w:val="clear" w:color="auto" w:fill="auto"/>
            <w:noWrap/>
            <w:vAlign w:val="center"/>
            <w:hideMark/>
          </w:tcPr>
          <w:p w14:paraId="20B6B8AE" w14:textId="77777777" w:rsidR="005F69E0" w:rsidRPr="005F69E0" w:rsidRDefault="005F69E0" w:rsidP="005F69E0">
            <w:pPr>
              <w:pStyle w:val="eceee-Tabletext"/>
              <w:jc w:val="right"/>
              <w:rPr>
                <w:lang w:eastAsia="en-GB"/>
              </w:rPr>
            </w:pPr>
            <w:r w:rsidRPr="005F69E0">
              <w:rPr>
                <w:lang w:eastAsia="en-GB"/>
              </w:rPr>
              <w:t>1892</w:t>
            </w:r>
          </w:p>
        </w:tc>
        <w:tc>
          <w:tcPr>
            <w:tcW w:w="611" w:type="pct"/>
            <w:tcBorders>
              <w:top w:val="nil"/>
              <w:bottom w:val="nil"/>
            </w:tcBorders>
            <w:shd w:val="clear" w:color="auto" w:fill="auto"/>
            <w:noWrap/>
            <w:vAlign w:val="center"/>
            <w:hideMark/>
          </w:tcPr>
          <w:p w14:paraId="1CD7A2BC" w14:textId="77777777" w:rsidR="005F69E0" w:rsidRPr="005F69E0" w:rsidRDefault="005F69E0" w:rsidP="005F69E0">
            <w:pPr>
              <w:pStyle w:val="eceee-Tabletext"/>
              <w:jc w:val="right"/>
              <w:rPr>
                <w:lang w:eastAsia="en-GB"/>
              </w:rPr>
            </w:pPr>
            <w:r w:rsidRPr="005F69E0">
              <w:rPr>
                <w:lang w:eastAsia="en-GB"/>
              </w:rPr>
              <w:t>4</w:t>
            </w:r>
          </w:p>
        </w:tc>
        <w:tc>
          <w:tcPr>
            <w:tcW w:w="542" w:type="pct"/>
            <w:tcBorders>
              <w:top w:val="nil"/>
              <w:bottom w:val="nil"/>
            </w:tcBorders>
            <w:shd w:val="clear" w:color="auto" w:fill="auto"/>
            <w:noWrap/>
            <w:vAlign w:val="center"/>
            <w:hideMark/>
          </w:tcPr>
          <w:p w14:paraId="178AD0A1" w14:textId="77777777" w:rsidR="005F69E0" w:rsidRPr="005F69E0" w:rsidRDefault="005F69E0" w:rsidP="005F69E0">
            <w:pPr>
              <w:pStyle w:val="eceee-Tabletext"/>
              <w:jc w:val="right"/>
              <w:rPr>
                <w:lang w:eastAsia="en-GB"/>
              </w:rPr>
            </w:pPr>
            <w:r w:rsidRPr="005F69E0">
              <w:rPr>
                <w:lang w:eastAsia="en-GB"/>
              </w:rPr>
              <w:t>£718.96</w:t>
            </w:r>
          </w:p>
        </w:tc>
      </w:tr>
      <w:tr w:rsidR="005F69E0" w:rsidRPr="005F69E0" w14:paraId="200A5669" w14:textId="77777777" w:rsidTr="008576F8">
        <w:trPr>
          <w:trHeight w:val="300"/>
        </w:trPr>
        <w:tc>
          <w:tcPr>
            <w:tcW w:w="1880" w:type="pct"/>
            <w:tcBorders>
              <w:top w:val="nil"/>
              <w:bottom w:val="nil"/>
            </w:tcBorders>
            <w:shd w:val="clear" w:color="auto" w:fill="auto"/>
            <w:noWrap/>
            <w:vAlign w:val="center"/>
            <w:hideMark/>
          </w:tcPr>
          <w:p w14:paraId="1785BFFD" w14:textId="77777777" w:rsidR="005F69E0" w:rsidRPr="005F69E0" w:rsidRDefault="005F69E0" w:rsidP="005F69E0">
            <w:pPr>
              <w:pStyle w:val="eceee-Tabletext"/>
              <w:rPr>
                <w:lang w:eastAsia="en-GB"/>
              </w:rPr>
            </w:pPr>
            <w:r w:rsidRPr="005F69E0">
              <w:rPr>
                <w:lang w:eastAsia="en-GB"/>
              </w:rPr>
              <w:t>Day (07:00 to 22:59) - Part load</w:t>
            </w:r>
          </w:p>
        </w:tc>
        <w:tc>
          <w:tcPr>
            <w:tcW w:w="1331" w:type="pct"/>
            <w:tcBorders>
              <w:top w:val="nil"/>
              <w:bottom w:val="nil"/>
            </w:tcBorders>
            <w:shd w:val="clear" w:color="auto" w:fill="auto"/>
            <w:noWrap/>
            <w:vAlign w:val="center"/>
            <w:hideMark/>
          </w:tcPr>
          <w:p w14:paraId="01231A51" w14:textId="77777777" w:rsidR="005F69E0" w:rsidRPr="005F69E0" w:rsidRDefault="005F69E0" w:rsidP="005F69E0">
            <w:pPr>
              <w:pStyle w:val="eceee-Tabletext"/>
              <w:jc w:val="right"/>
              <w:rPr>
                <w:lang w:eastAsia="en-GB"/>
              </w:rPr>
            </w:pPr>
            <w:r w:rsidRPr="005F69E0">
              <w:rPr>
                <w:lang w:eastAsia="en-GB"/>
              </w:rPr>
              <w:t>50</w:t>
            </w:r>
          </w:p>
        </w:tc>
        <w:tc>
          <w:tcPr>
            <w:tcW w:w="636" w:type="pct"/>
            <w:tcBorders>
              <w:top w:val="nil"/>
              <w:bottom w:val="nil"/>
            </w:tcBorders>
            <w:shd w:val="clear" w:color="auto" w:fill="auto"/>
            <w:noWrap/>
            <w:vAlign w:val="center"/>
            <w:hideMark/>
          </w:tcPr>
          <w:p w14:paraId="3AB53AE4" w14:textId="77777777" w:rsidR="005F69E0" w:rsidRPr="005F69E0" w:rsidRDefault="005F69E0" w:rsidP="005F69E0">
            <w:pPr>
              <w:pStyle w:val="eceee-Tabletext"/>
              <w:jc w:val="right"/>
              <w:rPr>
                <w:lang w:eastAsia="en-GB"/>
              </w:rPr>
            </w:pPr>
            <w:r w:rsidRPr="005F69E0">
              <w:rPr>
                <w:lang w:eastAsia="en-GB"/>
              </w:rPr>
              <w:t>245</w:t>
            </w:r>
          </w:p>
        </w:tc>
        <w:tc>
          <w:tcPr>
            <w:tcW w:w="611" w:type="pct"/>
            <w:tcBorders>
              <w:top w:val="nil"/>
              <w:bottom w:val="nil"/>
            </w:tcBorders>
            <w:shd w:val="clear" w:color="auto" w:fill="auto"/>
            <w:noWrap/>
            <w:vAlign w:val="center"/>
            <w:hideMark/>
          </w:tcPr>
          <w:p w14:paraId="55A10FC6" w14:textId="77777777" w:rsidR="005F69E0" w:rsidRPr="005F69E0" w:rsidRDefault="005F69E0" w:rsidP="005F69E0">
            <w:pPr>
              <w:pStyle w:val="eceee-Tabletext"/>
              <w:jc w:val="right"/>
              <w:rPr>
                <w:lang w:eastAsia="en-GB"/>
              </w:rPr>
            </w:pPr>
            <w:r w:rsidRPr="005F69E0">
              <w:rPr>
                <w:lang w:eastAsia="en-GB"/>
              </w:rPr>
              <w:t>6.5</w:t>
            </w:r>
          </w:p>
        </w:tc>
        <w:tc>
          <w:tcPr>
            <w:tcW w:w="542" w:type="pct"/>
            <w:tcBorders>
              <w:top w:val="nil"/>
              <w:bottom w:val="nil"/>
            </w:tcBorders>
            <w:shd w:val="clear" w:color="auto" w:fill="auto"/>
            <w:noWrap/>
            <w:vAlign w:val="center"/>
            <w:hideMark/>
          </w:tcPr>
          <w:p w14:paraId="1EE70728" w14:textId="77777777" w:rsidR="005F69E0" w:rsidRPr="005F69E0" w:rsidRDefault="005F69E0" w:rsidP="005F69E0">
            <w:pPr>
              <w:pStyle w:val="eceee-Tabletext"/>
              <w:jc w:val="right"/>
              <w:rPr>
                <w:lang w:eastAsia="en-GB"/>
              </w:rPr>
            </w:pPr>
            <w:r w:rsidRPr="005F69E0">
              <w:rPr>
                <w:lang w:eastAsia="en-GB"/>
              </w:rPr>
              <w:t>£79.63</w:t>
            </w:r>
          </w:p>
        </w:tc>
      </w:tr>
      <w:tr w:rsidR="005F69E0" w:rsidRPr="005F69E0" w14:paraId="64E911E0" w14:textId="77777777" w:rsidTr="008576F8">
        <w:trPr>
          <w:trHeight w:val="300"/>
        </w:trPr>
        <w:tc>
          <w:tcPr>
            <w:tcW w:w="1880" w:type="pct"/>
            <w:tcBorders>
              <w:top w:val="nil"/>
            </w:tcBorders>
            <w:shd w:val="clear" w:color="auto" w:fill="auto"/>
            <w:noWrap/>
            <w:vAlign w:val="center"/>
            <w:hideMark/>
          </w:tcPr>
          <w:p w14:paraId="47A1BB8F" w14:textId="77777777" w:rsidR="005F69E0" w:rsidRPr="005F69E0" w:rsidRDefault="005F69E0" w:rsidP="005F69E0">
            <w:pPr>
              <w:pStyle w:val="eceee-Tabletext"/>
              <w:rPr>
                <w:lang w:eastAsia="en-GB"/>
              </w:rPr>
            </w:pPr>
            <w:r w:rsidRPr="005F69E0">
              <w:rPr>
                <w:lang w:eastAsia="en-GB"/>
              </w:rPr>
              <w:t>Night (23:00 to 06:59) - Part load</w:t>
            </w:r>
          </w:p>
        </w:tc>
        <w:tc>
          <w:tcPr>
            <w:tcW w:w="1331" w:type="pct"/>
            <w:tcBorders>
              <w:top w:val="nil"/>
            </w:tcBorders>
            <w:shd w:val="clear" w:color="auto" w:fill="auto"/>
            <w:noWrap/>
            <w:vAlign w:val="center"/>
            <w:hideMark/>
          </w:tcPr>
          <w:p w14:paraId="22A52662" w14:textId="77777777" w:rsidR="005F69E0" w:rsidRPr="005F69E0" w:rsidRDefault="005F69E0" w:rsidP="005F69E0">
            <w:pPr>
              <w:pStyle w:val="eceee-Tabletext"/>
              <w:jc w:val="right"/>
              <w:rPr>
                <w:lang w:eastAsia="en-GB"/>
              </w:rPr>
            </w:pPr>
            <w:r w:rsidRPr="005F69E0">
              <w:rPr>
                <w:lang w:eastAsia="en-GB"/>
              </w:rPr>
              <w:t>50</w:t>
            </w:r>
          </w:p>
        </w:tc>
        <w:tc>
          <w:tcPr>
            <w:tcW w:w="636" w:type="pct"/>
            <w:tcBorders>
              <w:top w:val="nil"/>
            </w:tcBorders>
            <w:shd w:val="clear" w:color="auto" w:fill="auto"/>
            <w:noWrap/>
            <w:vAlign w:val="center"/>
            <w:hideMark/>
          </w:tcPr>
          <w:p w14:paraId="34BE3161" w14:textId="77777777" w:rsidR="005F69E0" w:rsidRPr="005F69E0" w:rsidRDefault="005F69E0" w:rsidP="005F69E0">
            <w:pPr>
              <w:pStyle w:val="eceee-Tabletext"/>
              <w:jc w:val="right"/>
              <w:rPr>
                <w:lang w:eastAsia="en-GB"/>
              </w:rPr>
            </w:pPr>
            <w:r w:rsidRPr="005F69E0">
              <w:rPr>
                <w:lang w:eastAsia="en-GB"/>
              </w:rPr>
              <w:t>154</w:t>
            </w:r>
          </w:p>
        </w:tc>
        <w:tc>
          <w:tcPr>
            <w:tcW w:w="611" w:type="pct"/>
            <w:tcBorders>
              <w:top w:val="nil"/>
            </w:tcBorders>
            <w:shd w:val="clear" w:color="auto" w:fill="auto"/>
            <w:noWrap/>
            <w:vAlign w:val="center"/>
            <w:hideMark/>
          </w:tcPr>
          <w:p w14:paraId="7F791D6B" w14:textId="77777777" w:rsidR="005F69E0" w:rsidRPr="005F69E0" w:rsidRDefault="005F69E0" w:rsidP="005F69E0">
            <w:pPr>
              <w:pStyle w:val="eceee-Tabletext"/>
              <w:jc w:val="right"/>
              <w:rPr>
                <w:lang w:eastAsia="en-GB"/>
              </w:rPr>
            </w:pPr>
            <w:r w:rsidRPr="005F69E0">
              <w:rPr>
                <w:lang w:eastAsia="en-GB"/>
              </w:rPr>
              <w:t>4</w:t>
            </w:r>
          </w:p>
        </w:tc>
        <w:tc>
          <w:tcPr>
            <w:tcW w:w="542" w:type="pct"/>
            <w:tcBorders>
              <w:top w:val="nil"/>
            </w:tcBorders>
            <w:shd w:val="clear" w:color="auto" w:fill="auto"/>
            <w:noWrap/>
            <w:vAlign w:val="center"/>
            <w:hideMark/>
          </w:tcPr>
          <w:p w14:paraId="646A8123" w14:textId="77777777" w:rsidR="005F69E0" w:rsidRPr="005F69E0" w:rsidRDefault="005F69E0" w:rsidP="005F69E0">
            <w:pPr>
              <w:pStyle w:val="eceee-Tabletext"/>
              <w:jc w:val="right"/>
              <w:rPr>
                <w:lang w:eastAsia="en-GB"/>
              </w:rPr>
            </w:pPr>
            <w:r w:rsidRPr="005F69E0">
              <w:rPr>
                <w:lang w:eastAsia="en-GB"/>
              </w:rPr>
              <w:t>£30.80</w:t>
            </w:r>
          </w:p>
        </w:tc>
      </w:tr>
      <w:tr w:rsidR="005F69E0" w:rsidRPr="005F69E0" w14:paraId="45801D7F" w14:textId="77777777" w:rsidTr="005F69E0">
        <w:trPr>
          <w:trHeight w:val="300"/>
        </w:trPr>
        <w:tc>
          <w:tcPr>
            <w:tcW w:w="1880" w:type="pct"/>
            <w:shd w:val="clear" w:color="auto" w:fill="auto"/>
            <w:noWrap/>
            <w:vAlign w:val="bottom"/>
            <w:hideMark/>
          </w:tcPr>
          <w:p w14:paraId="5C5FA95F" w14:textId="77777777" w:rsidR="005F69E0" w:rsidRPr="005F69E0" w:rsidRDefault="005F69E0" w:rsidP="005F69E0">
            <w:pPr>
              <w:pStyle w:val="eceee-Tabletext"/>
              <w:rPr>
                <w:lang w:eastAsia="en-GB"/>
              </w:rPr>
            </w:pPr>
            <w:r w:rsidRPr="005F69E0">
              <w:rPr>
                <w:lang w:eastAsia="en-GB"/>
              </w:rPr>
              <w:t> </w:t>
            </w:r>
          </w:p>
        </w:tc>
        <w:tc>
          <w:tcPr>
            <w:tcW w:w="1331" w:type="pct"/>
            <w:shd w:val="clear" w:color="auto" w:fill="auto"/>
            <w:noWrap/>
            <w:vAlign w:val="center"/>
            <w:hideMark/>
          </w:tcPr>
          <w:p w14:paraId="5CF18A09" w14:textId="77777777" w:rsidR="005F69E0" w:rsidRPr="005F69E0" w:rsidRDefault="005F69E0" w:rsidP="005F69E0">
            <w:pPr>
              <w:pStyle w:val="eceee-Tabletext"/>
              <w:jc w:val="right"/>
              <w:rPr>
                <w:lang w:eastAsia="en-GB"/>
              </w:rPr>
            </w:pPr>
            <w:r w:rsidRPr="005F69E0">
              <w:rPr>
                <w:lang w:eastAsia="en-GB"/>
              </w:rPr>
              <w:t> </w:t>
            </w:r>
          </w:p>
        </w:tc>
        <w:tc>
          <w:tcPr>
            <w:tcW w:w="636" w:type="pct"/>
            <w:shd w:val="clear" w:color="auto" w:fill="auto"/>
            <w:noWrap/>
            <w:vAlign w:val="center"/>
            <w:hideMark/>
          </w:tcPr>
          <w:p w14:paraId="39496405" w14:textId="77777777" w:rsidR="005F69E0" w:rsidRPr="005F69E0" w:rsidRDefault="005F69E0" w:rsidP="005F69E0">
            <w:pPr>
              <w:pStyle w:val="eceee-Tabletext"/>
              <w:jc w:val="right"/>
              <w:rPr>
                <w:lang w:eastAsia="en-GB"/>
              </w:rPr>
            </w:pPr>
            <w:r w:rsidRPr="005F69E0">
              <w:rPr>
                <w:lang w:eastAsia="en-GB"/>
              </w:rPr>
              <w:t> </w:t>
            </w:r>
          </w:p>
        </w:tc>
        <w:tc>
          <w:tcPr>
            <w:tcW w:w="611" w:type="pct"/>
            <w:shd w:val="clear" w:color="auto" w:fill="auto"/>
            <w:noWrap/>
            <w:vAlign w:val="center"/>
            <w:hideMark/>
          </w:tcPr>
          <w:p w14:paraId="4F8EEB1B" w14:textId="77777777" w:rsidR="005F69E0" w:rsidRPr="005F69E0" w:rsidRDefault="005F69E0" w:rsidP="005F69E0">
            <w:pPr>
              <w:pStyle w:val="eceee-Tabletext"/>
              <w:jc w:val="right"/>
              <w:rPr>
                <w:lang w:eastAsia="en-GB"/>
              </w:rPr>
            </w:pPr>
            <w:r w:rsidRPr="005F69E0">
              <w:rPr>
                <w:lang w:eastAsia="en-GB"/>
              </w:rPr>
              <w:t> </w:t>
            </w:r>
          </w:p>
        </w:tc>
        <w:tc>
          <w:tcPr>
            <w:tcW w:w="542" w:type="pct"/>
            <w:shd w:val="clear" w:color="auto" w:fill="auto"/>
            <w:noWrap/>
            <w:vAlign w:val="center"/>
            <w:hideMark/>
          </w:tcPr>
          <w:p w14:paraId="38DE5C1A" w14:textId="77777777" w:rsidR="005F69E0" w:rsidRPr="005F69E0" w:rsidRDefault="005F69E0" w:rsidP="005F69E0">
            <w:pPr>
              <w:pStyle w:val="eceee-Tabletext"/>
              <w:jc w:val="right"/>
              <w:rPr>
                <w:lang w:eastAsia="en-GB"/>
              </w:rPr>
            </w:pPr>
            <w:r w:rsidRPr="005F69E0">
              <w:rPr>
                <w:lang w:eastAsia="en-GB"/>
              </w:rPr>
              <w:t>£2,694.24</w:t>
            </w:r>
          </w:p>
        </w:tc>
      </w:tr>
    </w:tbl>
    <w:p w14:paraId="5EF878FC" w14:textId="77777777" w:rsidR="00CB05B8" w:rsidRPr="004A1C86" w:rsidRDefault="00CB05B8" w:rsidP="004A1C86">
      <w:pPr>
        <w:pStyle w:val="eceee-BodyText"/>
      </w:pPr>
    </w:p>
    <w:p w14:paraId="7D46524E" w14:textId="77777777" w:rsidR="002E2A64" w:rsidRDefault="00B51C07" w:rsidP="00307870">
      <w:pPr>
        <w:pStyle w:val="eceee-BodyText"/>
        <w:rPr>
          <w:noProof/>
          <w:lang w:eastAsia="en-GB"/>
        </w:rPr>
      </w:pPr>
      <w:r>
        <w:rPr>
          <w:noProof/>
          <w:lang w:eastAsia="en-GB"/>
        </w:rPr>
        <w:drawing>
          <wp:inline distT="0" distB="0" distL="0" distR="0" wp14:anchorId="54871BCB" wp14:editId="5E4212DC">
            <wp:extent cx="5752465" cy="3615055"/>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465" cy="3615055"/>
                    </a:xfrm>
                    <a:prstGeom prst="rect">
                      <a:avLst/>
                    </a:prstGeom>
                    <a:noFill/>
                    <a:ln>
                      <a:noFill/>
                    </a:ln>
                  </pic:spPr>
                </pic:pic>
              </a:graphicData>
            </a:graphic>
          </wp:inline>
        </w:drawing>
      </w:r>
    </w:p>
    <w:p w14:paraId="0DD076B8" w14:textId="77777777" w:rsidR="00307870" w:rsidRDefault="00307870" w:rsidP="00307870">
      <w:pPr>
        <w:pStyle w:val="eceee-Figurecaption"/>
      </w:pPr>
      <w:r>
        <w:rPr>
          <w:noProof/>
          <w:lang w:eastAsia="en-GB"/>
        </w:rPr>
        <w:t xml:space="preserve">Figure 3: </w:t>
      </w:r>
      <w:r w:rsidR="00373C53">
        <w:rPr>
          <w:noProof/>
          <w:lang w:eastAsia="en-GB"/>
        </w:rPr>
        <w:t>P</w:t>
      </w:r>
      <w:r w:rsidR="004A1C86">
        <w:rPr>
          <w:noProof/>
          <w:lang w:eastAsia="en-GB"/>
        </w:rPr>
        <w:t>rofile</w:t>
      </w:r>
      <w:r w:rsidR="00080AC3">
        <w:rPr>
          <w:noProof/>
          <w:lang w:eastAsia="en-GB"/>
        </w:rPr>
        <w:t>s</w:t>
      </w:r>
      <w:r w:rsidR="004A1C86">
        <w:rPr>
          <w:noProof/>
          <w:lang w:eastAsia="en-GB"/>
        </w:rPr>
        <w:t xml:space="preserve"> </w:t>
      </w:r>
      <w:r w:rsidR="00373C53">
        <w:rPr>
          <w:noProof/>
          <w:lang w:eastAsia="en-GB"/>
        </w:rPr>
        <w:t xml:space="preserve"> for </w:t>
      </w:r>
      <w:r w:rsidR="00080AC3">
        <w:rPr>
          <w:noProof/>
          <w:lang w:eastAsia="en-GB"/>
        </w:rPr>
        <w:t>a) state of charge of storage (SOC), b) HP thermal output and electric input, c) internal temperature of the storage and d) boiler gas consumption</w:t>
      </w:r>
      <w:r w:rsidR="00373C53">
        <w:rPr>
          <w:noProof/>
          <w:lang w:eastAsia="en-GB"/>
        </w:rPr>
        <w:t>, during an FFR event (from 400 sec to 2200 sec)</w:t>
      </w:r>
      <w:r w:rsidR="004A1C86">
        <w:rPr>
          <w:noProof/>
          <w:lang w:eastAsia="en-GB"/>
        </w:rPr>
        <w:t>.</w:t>
      </w:r>
    </w:p>
    <w:p w14:paraId="11673867" w14:textId="77777777" w:rsidR="002E2A64" w:rsidRDefault="002E2A64" w:rsidP="00307870">
      <w:pPr>
        <w:pStyle w:val="eceee-Heading2"/>
      </w:pPr>
      <w:r>
        <w:t xml:space="preserve">STOR </w:t>
      </w:r>
      <w:r w:rsidR="00AC5A06">
        <w:t>- Short Term Operating Reserve</w:t>
      </w:r>
    </w:p>
    <w:p w14:paraId="3FEB8CCD" w14:textId="77777777" w:rsidR="004A1C86" w:rsidRDefault="002E2A64" w:rsidP="004A1C86">
      <w:pPr>
        <w:pStyle w:val="eceee-BodyText"/>
        <w:rPr>
          <w:rFonts w:ascii="CMR10" w:hAnsi="CMR10" w:cs="CMR10"/>
        </w:rPr>
      </w:pPr>
      <w:r>
        <w:t>The next scenario considers a case where the heat network is set to maximise revenue from a STOR contract during the winter months. This assumes that the heat pump will be fully loaded at all times (95kWe) to provide a demand response. That is, on instruction from National Grid, the heat pump can be switched o</w:t>
      </w:r>
      <w:r w:rsidR="004A1C86">
        <w:t xml:space="preserve">ff </w:t>
      </w:r>
      <w:r>
        <w:t xml:space="preserve">for up to 120 minutes. </w:t>
      </w:r>
      <w:r w:rsidR="004A1C86">
        <w:t>Figure 4 shows the BEN profile during a STOR event.</w:t>
      </w:r>
    </w:p>
    <w:p w14:paraId="4A8575F4" w14:textId="77777777" w:rsidR="002E2A64" w:rsidRDefault="00B51C07" w:rsidP="002E2A64">
      <w:pPr>
        <w:rPr>
          <w:rFonts w:ascii="CMR10" w:hAnsi="CMR10" w:cs="CMR10"/>
        </w:rPr>
      </w:pPr>
      <w:r>
        <w:rPr>
          <w:noProof/>
          <w:lang w:eastAsia="en-GB"/>
        </w:rPr>
        <w:lastRenderedPageBreak/>
        <w:drawing>
          <wp:inline distT="0" distB="0" distL="0" distR="0" wp14:anchorId="27DA7324" wp14:editId="027FF12B">
            <wp:extent cx="5752465" cy="366839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3668395"/>
                    </a:xfrm>
                    <a:prstGeom prst="rect">
                      <a:avLst/>
                    </a:prstGeom>
                    <a:noFill/>
                    <a:ln>
                      <a:noFill/>
                    </a:ln>
                  </pic:spPr>
                </pic:pic>
              </a:graphicData>
            </a:graphic>
          </wp:inline>
        </w:drawing>
      </w:r>
    </w:p>
    <w:p w14:paraId="7D0AF78A" w14:textId="77777777" w:rsidR="002E2A64" w:rsidRDefault="002E2A64" w:rsidP="00307870">
      <w:pPr>
        <w:pStyle w:val="eceee-Figurecaption"/>
      </w:pPr>
      <w:r>
        <w:t>Figure</w:t>
      </w:r>
      <w:r w:rsidR="00307870">
        <w:t xml:space="preserve"> 4</w:t>
      </w:r>
      <w:r>
        <w:t xml:space="preserve">: </w:t>
      </w:r>
      <w:r w:rsidR="00373C53">
        <w:rPr>
          <w:noProof/>
          <w:lang w:eastAsia="en-GB"/>
        </w:rPr>
        <w:t>P</w:t>
      </w:r>
      <w:r w:rsidR="004A1C86">
        <w:rPr>
          <w:noProof/>
          <w:lang w:eastAsia="en-GB"/>
        </w:rPr>
        <w:t>rofile</w:t>
      </w:r>
      <w:r w:rsidR="00373C53">
        <w:rPr>
          <w:noProof/>
          <w:lang w:eastAsia="en-GB"/>
        </w:rPr>
        <w:t>s</w:t>
      </w:r>
      <w:r w:rsidR="004A1C86">
        <w:rPr>
          <w:noProof/>
          <w:lang w:eastAsia="en-GB"/>
        </w:rPr>
        <w:t xml:space="preserve"> </w:t>
      </w:r>
      <w:r w:rsidR="00373C53">
        <w:rPr>
          <w:noProof/>
          <w:lang w:eastAsia="en-GB"/>
        </w:rPr>
        <w:t xml:space="preserve">for </w:t>
      </w:r>
      <w:r w:rsidR="006B2C93">
        <w:rPr>
          <w:noProof/>
          <w:lang w:eastAsia="en-GB"/>
        </w:rPr>
        <w:t>a) state of charge of storage, b) HP thermal output and electric input, c) internal temperature of the storage</w:t>
      </w:r>
      <w:r w:rsidR="00381EBA">
        <w:rPr>
          <w:noProof/>
          <w:lang w:eastAsia="en-GB"/>
        </w:rPr>
        <w:t>,</w:t>
      </w:r>
      <w:r w:rsidR="006B2C93">
        <w:rPr>
          <w:noProof/>
          <w:lang w:eastAsia="en-GB"/>
        </w:rPr>
        <w:t xml:space="preserve"> and d) boiler gas consumption, during an STOR event (from </w:t>
      </w:r>
      <w:r w:rsidR="00381EBA">
        <w:rPr>
          <w:noProof/>
          <w:lang w:eastAsia="en-GB"/>
        </w:rPr>
        <w:t>300</w:t>
      </w:r>
      <w:r w:rsidR="006B2C93">
        <w:rPr>
          <w:noProof/>
          <w:lang w:eastAsia="en-GB"/>
        </w:rPr>
        <w:t xml:space="preserve"> sec to </w:t>
      </w:r>
      <w:r w:rsidR="00381EBA">
        <w:rPr>
          <w:noProof/>
          <w:lang w:eastAsia="en-GB"/>
        </w:rPr>
        <w:t>7500</w:t>
      </w:r>
      <w:r w:rsidR="006B2C93">
        <w:rPr>
          <w:noProof/>
          <w:lang w:eastAsia="en-GB"/>
        </w:rPr>
        <w:t xml:space="preserve"> sec)</w:t>
      </w:r>
      <w:r w:rsidR="00381EBA">
        <w:rPr>
          <w:noProof/>
          <w:lang w:eastAsia="en-GB"/>
        </w:rPr>
        <w:t>.</w:t>
      </w:r>
    </w:p>
    <w:p w14:paraId="28C76A89" w14:textId="77777777" w:rsidR="00307870" w:rsidRDefault="00307870" w:rsidP="002E2A64">
      <w:pPr>
        <w:rPr>
          <w:rFonts w:ascii="CMR10" w:hAnsi="CMR10" w:cs="CMR10"/>
        </w:rPr>
      </w:pPr>
    </w:p>
    <w:p w14:paraId="054ED7EC" w14:textId="77777777" w:rsidR="002E2A64" w:rsidRDefault="002E2A64" w:rsidP="004A1C86">
      <w:pPr>
        <w:pStyle w:val="eceee-BodyText"/>
      </w:pPr>
      <w:r>
        <w:t xml:space="preserve">Figure </w:t>
      </w:r>
      <w:r w:rsidR="004A1C86">
        <w:t>4</w:t>
      </w:r>
      <w:r>
        <w:t xml:space="preserve"> shows that a demand response for the minimum two hours can be generated without a significant impact to the building water temperature. The water storage tank discharges from 75</w:t>
      </w:r>
      <w:r w:rsidR="004A1C86" w:rsidRPr="004A1C86">
        <w:t>˚</w:t>
      </w:r>
      <w:r>
        <w:t>C to 60</w:t>
      </w:r>
      <w:r w:rsidR="004A1C86" w:rsidRPr="004A1C86">
        <w:t>˚</w:t>
      </w:r>
      <w:r>
        <w:t>C in 35 minutes, and the tank is fully discharged for the remaining 85 minutes of the STOR event.  During this time, the gas boiler consumption increases by 300kW to compensate.</w:t>
      </w:r>
    </w:p>
    <w:p w14:paraId="3CBE3D85" w14:textId="77777777" w:rsidR="002E2A64" w:rsidRDefault="002E2A64" w:rsidP="004A1C86">
      <w:pPr>
        <w:pStyle w:val="eceee-BodyText"/>
        <w:rPr>
          <w:rFonts w:ascii="CMR10" w:hAnsi="CMR10" w:cs="CMR10"/>
        </w:rPr>
      </w:pPr>
      <w:r>
        <w:t>After the STOR event, the tank recharges to its original setpoint of 75</w:t>
      </w:r>
      <w:r w:rsidR="004A1C86" w:rsidRPr="004A1C86">
        <w:t>˚</w:t>
      </w:r>
      <w:r>
        <w:t>C.  This is achieved by boosting the gas boiler output by 300kW for 35 minutes, and through the addition of the heat-pump after the two demand response events have concluded.  National Grid contracts two STOR rates, a lower availability payment for having the service there when needed, and a higher utilisation payment when the service is called upon (typically 10% of th</w:t>
      </w:r>
      <w:r w:rsidRPr="00A634BE">
        <w:t>e available hours</w:t>
      </w:r>
      <w:r w:rsidR="004A1C86" w:rsidRPr="004A1C86">
        <w:t xml:space="preserve"> </w:t>
      </w:r>
      <w:r w:rsidR="004A1C86">
        <w:t>for a STOR asset high in the merit order</w:t>
      </w:r>
      <w:r w:rsidRPr="00A634BE">
        <w:t xml:space="preserve">). The rates for availability and utilisation payments for both winter and summer seasons are summarised in Table </w:t>
      </w:r>
      <w:r w:rsidR="00FF6ADC">
        <w:t>4</w:t>
      </w:r>
      <w:r w:rsidRPr="00A634BE">
        <w:t xml:space="preserve"> along with the corresponding STOR revenue for this modelling setup.</w:t>
      </w:r>
      <w:r>
        <w:rPr>
          <w:rFonts w:ascii="CMR10" w:hAnsi="CMR10" w:cs="CMR10"/>
        </w:rPr>
        <w:t xml:space="preserve"> </w:t>
      </w:r>
    </w:p>
    <w:p w14:paraId="694AE76A" w14:textId="77777777" w:rsidR="00307870" w:rsidRDefault="000B27DB" w:rsidP="00307870">
      <w:pPr>
        <w:pStyle w:val="eceee-Tableheading"/>
      </w:pPr>
      <w:r>
        <w:t xml:space="preserve">Table </w:t>
      </w:r>
      <w:r w:rsidR="00EB58E6">
        <w:t>4</w:t>
      </w:r>
      <w:r>
        <w:t xml:space="preserve">: </w:t>
      </w:r>
      <w:r w:rsidR="0005674E">
        <w:t>R</w:t>
      </w:r>
      <w:r>
        <w:t>evenue from STOR</w:t>
      </w:r>
    </w:p>
    <w:tbl>
      <w:tblPr>
        <w:tblW w:w="4793"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84"/>
        <w:gridCol w:w="2705"/>
        <w:gridCol w:w="1262"/>
        <w:gridCol w:w="1134"/>
        <w:gridCol w:w="1030"/>
        <w:gridCol w:w="1383"/>
      </w:tblGrid>
      <w:tr w:rsidR="002E2A64" w:rsidRPr="00933FAA" w14:paraId="022C550F" w14:textId="77777777" w:rsidTr="00F310AF">
        <w:trPr>
          <w:trHeight w:val="565"/>
        </w:trPr>
        <w:tc>
          <w:tcPr>
            <w:tcW w:w="778" w:type="pct"/>
            <w:shd w:val="clear" w:color="auto" w:fill="auto"/>
            <w:vAlign w:val="center"/>
            <w:hideMark/>
          </w:tcPr>
          <w:p w14:paraId="799CAE03" w14:textId="77777777" w:rsidR="002E2A64" w:rsidRPr="00933FAA" w:rsidRDefault="002E2A64" w:rsidP="00307870">
            <w:pPr>
              <w:pStyle w:val="eceee-Tabletext"/>
              <w:rPr>
                <w:lang w:eastAsia="en-GB"/>
              </w:rPr>
            </w:pPr>
            <w:r w:rsidRPr="00933FAA">
              <w:rPr>
                <w:lang w:eastAsia="en-GB"/>
              </w:rPr>
              <w:t>Season</w:t>
            </w:r>
          </w:p>
        </w:tc>
        <w:tc>
          <w:tcPr>
            <w:tcW w:w="1520" w:type="pct"/>
            <w:shd w:val="clear" w:color="auto" w:fill="auto"/>
            <w:vAlign w:val="center"/>
            <w:hideMark/>
          </w:tcPr>
          <w:p w14:paraId="0ACCA77F" w14:textId="77777777" w:rsidR="002E2A64" w:rsidRPr="00933FAA" w:rsidRDefault="002E2A64" w:rsidP="00307870">
            <w:pPr>
              <w:pStyle w:val="eceee-Tabletext"/>
              <w:rPr>
                <w:lang w:eastAsia="en-GB"/>
              </w:rPr>
            </w:pPr>
            <w:r w:rsidRPr="00933FAA">
              <w:rPr>
                <w:rFonts w:cs="CMR10"/>
                <w:lang w:eastAsia="en-GB"/>
              </w:rPr>
              <w:t>Payment type</w:t>
            </w:r>
          </w:p>
        </w:tc>
        <w:tc>
          <w:tcPr>
            <w:tcW w:w="709" w:type="pct"/>
            <w:shd w:val="clear" w:color="auto" w:fill="auto"/>
            <w:vAlign w:val="center"/>
            <w:hideMark/>
          </w:tcPr>
          <w:p w14:paraId="68427718" w14:textId="77777777" w:rsidR="002E2A64" w:rsidRPr="00933FAA" w:rsidRDefault="002E2A64" w:rsidP="004A1C86">
            <w:pPr>
              <w:pStyle w:val="eceee-Tabletext"/>
              <w:jc w:val="right"/>
              <w:rPr>
                <w:lang w:eastAsia="en-GB"/>
              </w:rPr>
            </w:pPr>
            <w:r w:rsidRPr="00933FAA">
              <w:rPr>
                <w:rFonts w:cs="CMR10"/>
                <w:lang w:eastAsia="en-GB"/>
              </w:rPr>
              <w:t>Power Available [kW]</w:t>
            </w:r>
          </w:p>
        </w:tc>
        <w:tc>
          <w:tcPr>
            <w:tcW w:w="637" w:type="pct"/>
            <w:shd w:val="clear" w:color="auto" w:fill="auto"/>
            <w:vAlign w:val="center"/>
            <w:hideMark/>
          </w:tcPr>
          <w:p w14:paraId="58DFCA41" w14:textId="77777777" w:rsidR="002E2A64" w:rsidRPr="00933FAA" w:rsidRDefault="002E2A64" w:rsidP="004A1C86">
            <w:pPr>
              <w:pStyle w:val="eceee-Tabletext"/>
              <w:jc w:val="right"/>
              <w:rPr>
                <w:lang w:eastAsia="en-GB"/>
              </w:rPr>
            </w:pPr>
            <w:r w:rsidRPr="00933FAA">
              <w:rPr>
                <w:rFonts w:cs="CMR10"/>
                <w:lang w:eastAsia="en-GB"/>
              </w:rPr>
              <w:t>Hours Available [h]</w:t>
            </w:r>
          </w:p>
        </w:tc>
        <w:tc>
          <w:tcPr>
            <w:tcW w:w="579" w:type="pct"/>
            <w:shd w:val="clear" w:color="auto" w:fill="auto"/>
            <w:vAlign w:val="center"/>
            <w:hideMark/>
          </w:tcPr>
          <w:p w14:paraId="1C5F0717" w14:textId="77777777" w:rsidR="002E2A64" w:rsidRPr="00933FAA" w:rsidRDefault="002E2A64" w:rsidP="004A1C86">
            <w:pPr>
              <w:pStyle w:val="eceee-Tabletext"/>
              <w:jc w:val="right"/>
              <w:rPr>
                <w:lang w:eastAsia="en-GB"/>
              </w:rPr>
            </w:pPr>
            <w:r w:rsidRPr="00933FAA">
              <w:rPr>
                <w:rFonts w:cs="CMR10"/>
                <w:lang w:eastAsia="en-GB"/>
              </w:rPr>
              <w:t>Rate  [£/MWh]</w:t>
            </w:r>
          </w:p>
        </w:tc>
        <w:tc>
          <w:tcPr>
            <w:tcW w:w="777" w:type="pct"/>
            <w:shd w:val="clear" w:color="auto" w:fill="auto"/>
            <w:vAlign w:val="center"/>
            <w:hideMark/>
          </w:tcPr>
          <w:p w14:paraId="049FD147" w14:textId="77777777" w:rsidR="002E2A64" w:rsidRPr="00933FAA" w:rsidRDefault="002E2A64" w:rsidP="004A1C86">
            <w:pPr>
              <w:pStyle w:val="eceee-Tabletext"/>
              <w:jc w:val="right"/>
              <w:rPr>
                <w:lang w:eastAsia="en-GB"/>
              </w:rPr>
            </w:pPr>
            <w:r w:rsidRPr="00933FAA">
              <w:rPr>
                <w:rFonts w:cs="CMR10"/>
                <w:lang w:eastAsia="en-GB"/>
              </w:rPr>
              <w:t>STOR Revenue</w:t>
            </w:r>
            <w:r w:rsidRPr="00933FAA">
              <w:rPr>
                <w:rFonts w:cs="CMR10"/>
                <w:lang w:eastAsia="en-GB"/>
              </w:rPr>
              <w:br/>
            </w:r>
            <w:r w:rsidR="004A1C86">
              <w:rPr>
                <w:rFonts w:cs="CMR10"/>
                <w:lang w:eastAsia="en-GB"/>
              </w:rPr>
              <w:t>[</w:t>
            </w:r>
            <w:r w:rsidRPr="00933FAA">
              <w:rPr>
                <w:rFonts w:cs="CMR10"/>
                <w:lang w:eastAsia="en-GB"/>
              </w:rPr>
              <w:t>£</w:t>
            </w:r>
            <w:r w:rsidR="004A1C86">
              <w:rPr>
                <w:rFonts w:cs="CMR10"/>
                <w:lang w:eastAsia="en-GB"/>
              </w:rPr>
              <w:t>]</w:t>
            </w:r>
          </w:p>
        </w:tc>
      </w:tr>
      <w:tr w:rsidR="002E2A64" w:rsidRPr="00933FAA" w14:paraId="0408F754" w14:textId="77777777" w:rsidTr="009D16CD">
        <w:trPr>
          <w:trHeight w:val="300"/>
        </w:trPr>
        <w:tc>
          <w:tcPr>
            <w:tcW w:w="778" w:type="pct"/>
            <w:tcBorders>
              <w:bottom w:val="nil"/>
            </w:tcBorders>
            <w:shd w:val="clear" w:color="auto" w:fill="auto"/>
            <w:noWrap/>
            <w:vAlign w:val="center"/>
            <w:hideMark/>
          </w:tcPr>
          <w:p w14:paraId="79C7BFC4" w14:textId="77777777" w:rsidR="002E2A64" w:rsidRPr="00933FAA" w:rsidRDefault="002E2A64" w:rsidP="00307870">
            <w:pPr>
              <w:pStyle w:val="eceee-Tabletext"/>
              <w:rPr>
                <w:lang w:eastAsia="en-GB"/>
              </w:rPr>
            </w:pPr>
            <w:r w:rsidRPr="00933FAA">
              <w:rPr>
                <w:lang w:eastAsia="en-GB"/>
              </w:rPr>
              <w:t>Winter</w:t>
            </w:r>
          </w:p>
        </w:tc>
        <w:tc>
          <w:tcPr>
            <w:tcW w:w="1520" w:type="pct"/>
            <w:tcBorders>
              <w:bottom w:val="nil"/>
            </w:tcBorders>
            <w:shd w:val="clear" w:color="auto" w:fill="auto"/>
            <w:vAlign w:val="center"/>
            <w:hideMark/>
          </w:tcPr>
          <w:p w14:paraId="7F14BF8F" w14:textId="77777777" w:rsidR="002E2A64" w:rsidRPr="00933FAA" w:rsidRDefault="002E2A64" w:rsidP="00307870">
            <w:pPr>
              <w:pStyle w:val="eceee-Tabletext"/>
              <w:rPr>
                <w:lang w:eastAsia="en-GB"/>
              </w:rPr>
            </w:pPr>
            <w:r w:rsidRPr="00933FAA">
              <w:rPr>
                <w:rFonts w:cs="CMR10"/>
                <w:lang w:eastAsia="en-GB"/>
              </w:rPr>
              <w:t>Availability payment - Full Power</w:t>
            </w:r>
          </w:p>
        </w:tc>
        <w:tc>
          <w:tcPr>
            <w:tcW w:w="709" w:type="pct"/>
            <w:tcBorders>
              <w:bottom w:val="nil"/>
            </w:tcBorders>
            <w:shd w:val="clear" w:color="auto" w:fill="auto"/>
            <w:vAlign w:val="center"/>
            <w:hideMark/>
          </w:tcPr>
          <w:p w14:paraId="5A05BD5F" w14:textId="77777777" w:rsidR="002E2A64" w:rsidRPr="00933FAA" w:rsidRDefault="002E2A64" w:rsidP="004A1C86">
            <w:pPr>
              <w:pStyle w:val="eceee-Tabletext"/>
              <w:jc w:val="right"/>
              <w:rPr>
                <w:lang w:eastAsia="en-GB"/>
              </w:rPr>
            </w:pPr>
            <w:r w:rsidRPr="00933FAA">
              <w:rPr>
                <w:rFonts w:cs="CMR10"/>
                <w:lang w:eastAsia="en-GB"/>
              </w:rPr>
              <w:t>95</w:t>
            </w:r>
          </w:p>
        </w:tc>
        <w:tc>
          <w:tcPr>
            <w:tcW w:w="637" w:type="pct"/>
            <w:tcBorders>
              <w:bottom w:val="nil"/>
            </w:tcBorders>
            <w:shd w:val="clear" w:color="auto" w:fill="auto"/>
            <w:vAlign w:val="center"/>
            <w:hideMark/>
          </w:tcPr>
          <w:p w14:paraId="293EB90F" w14:textId="77777777" w:rsidR="002E2A64" w:rsidRPr="00933FAA" w:rsidRDefault="002E2A64" w:rsidP="004A1C86">
            <w:pPr>
              <w:pStyle w:val="eceee-Tabletext"/>
              <w:jc w:val="right"/>
              <w:rPr>
                <w:lang w:eastAsia="en-GB"/>
              </w:rPr>
            </w:pPr>
            <w:r w:rsidRPr="00933FAA">
              <w:rPr>
                <w:rFonts w:cs="CMR10"/>
                <w:lang w:eastAsia="en-GB"/>
              </w:rPr>
              <w:t>1495</w:t>
            </w:r>
          </w:p>
        </w:tc>
        <w:tc>
          <w:tcPr>
            <w:tcW w:w="579" w:type="pct"/>
            <w:tcBorders>
              <w:bottom w:val="nil"/>
            </w:tcBorders>
            <w:shd w:val="clear" w:color="auto" w:fill="auto"/>
            <w:vAlign w:val="center"/>
            <w:hideMark/>
          </w:tcPr>
          <w:p w14:paraId="664E3C3A" w14:textId="77777777" w:rsidR="002E2A64" w:rsidRPr="00933FAA" w:rsidRDefault="002E2A64" w:rsidP="004A1C86">
            <w:pPr>
              <w:pStyle w:val="eceee-Tabletext"/>
              <w:jc w:val="right"/>
              <w:rPr>
                <w:lang w:eastAsia="en-GB"/>
              </w:rPr>
            </w:pPr>
            <w:r w:rsidRPr="00933FAA">
              <w:rPr>
                <w:rFonts w:cs="CMR10"/>
                <w:lang w:eastAsia="en-GB"/>
              </w:rPr>
              <w:t>6.31</w:t>
            </w:r>
          </w:p>
        </w:tc>
        <w:tc>
          <w:tcPr>
            <w:tcW w:w="777" w:type="pct"/>
            <w:tcBorders>
              <w:bottom w:val="nil"/>
            </w:tcBorders>
            <w:shd w:val="clear" w:color="auto" w:fill="auto"/>
            <w:vAlign w:val="center"/>
            <w:hideMark/>
          </w:tcPr>
          <w:p w14:paraId="62697DB8" w14:textId="77777777" w:rsidR="002E2A64" w:rsidRPr="00933FAA" w:rsidRDefault="002E2A64" w:rsidP="004A1C86">
            <w:pPr>
              <w:pStyle w:val="eceee-Tabletext"/>
              <w:jc w:val="right"/>
              <w:rPr>
                <w:lang w:eastAsia="en-GB"/>
              </w:rPr>
            </w:pPr>
            <w:r w:rsidRPr="00933FAA">
              <w:rPr>
                <w:rFonts w:cs="CMR10"/>
                <w:lang w:eastAsia="en-GB"/>
              </w:rPr>
              <w:t>£896.18</w:t>
            </w:r>
          </w:p>
        </w:tc>
      </w:tr>
      <w:tr w:rsidR="002E2A64" w:rsidRPr="00933FAA" w14:paraId="6D99003B" w14:textId="77777777" w:rsidTr="009D16CD">
        <w:trPr>
          <w:trHeight w:val="318"/>
        </w:trPr>
        <w:tc>
          <w:tcPr>
            <w:tcW w:w="778" w:type="pct"/>
            <w:tcBorders>
              <w:top w:val="nil"/>
              <w:bottom w:val="nil"/>
            </w:tcBorders>
            <w:shd w:val="clear" w:color="auto" w:fill="auto"/>
            <w:noWrap/>
            <w:vAlign w:val="center"/>
            <w:hideMark/>
          </w:tcPr>
          <w:p w14:paraId="6705122D" w14:textId="77777777" w:rsidR="002E2A64" w:rsidRPr="00933FAA" w:rsidRDefault="002E2A64" w:rsidP="00307870">
            <w:pPr>
              <w:pStyle w:val="eceee-Tabletext"/>
              <w:rPr>
                <w:lang w:eastAsia="en-GB"/>
              </w:rPr>
            </w:pPr>
            <w:r w:rsidRPr="00933FAA">
              <w:rPr>
                <w:lang w:eastAsia="en-GB"/>
              </w:rPr>
              <w:t>Winter</w:t>
            </w:r>
          </w:p>
        </w:tc>
        <w:tc>
          <w:tcPr>
            <w:tcW w:w="1520" w:type="pct"/>
            <w:tcBorders>
              <w:top w:val="nil"/>
              <w:bottom w:val="nil"/>
            </w:tcBorders>
            <w:shd w:val="clear" w:color="auto" w:fill="auto"/>
            <w:vAlign w:val="center"/>
            <w:hideMark/>
          </w:tcPr>
          <w:p w14:paraId="48973F2F" w14:textId="77777777" w:rsidR="002E2A64" w:rsidRPr="00933FAA" w:rsidRDefault="002E2A64" w:rsidP="00307870">
            <w:pPr>
              <w:pStyle w:val="eceee-Tabletext"/>
              <w:rPr>
                <w:lang w:eastAsia="en-GB"/>
              </w:rPr>
            </w:pPr>
            <w:r w:rsidRPr="00933FAA">
              <w:rPr>
                <w:rFonts w:cs="CMR10"/>
                <w:lang w:eastAsia="en-GB"/>
              </w:rPr>
              <w:t>Availability payment</w:t>
            </w:r>
            <w:r w:rsidR="004A1C86">
              <w:rPr>
                <w:rFonts w:cs="CMR10"/>
                <w:lang w:eastAsia="en-GB"/>
              </w:rPr>
              <w:t xml:space="preserve"> -</w:t>
            </w:r>
            <w:r w:rsidRPr="00933FAA">
              <w:rPr>
                <w:rFonts w:cs="CMR10"/>
                <w:lang w:eastAsia="en-GB"/>
              </w:rPr>
              <w:t xml:space="preserve"> Part Power</w:t>
            </w:r>
          </w:p>
        </w:tc>
        <w:tc>
          <w:tcPr>
            <w:tcW w:w="709" w:type="pct"/>
            <w:tcBorders>
              <w:top w:val="nil"/>
              <w:bottom w:val="nil"/>
            </w:tcBorders>
            <w:shd w:val="clear" w:color="auto" w:fill="auto"/>
            <w:vAlign w:val="center"/>
            <w:hideMark/>
          </w:tcPr>
          <w:p w14:paraId="6D5FCB0F" w14:textId="77777777" w:rsidR="002E2A64" w:rsidRPr="00933FAA" w:rsidRDefault="002E2A64" w:rsidP="004A1C86">
            <w:pPr>
              <w:pStyle w:val="eceee-Tabletext"/>
              <w:jc w:val="right"/>
              <w:rPr>
                <w:lang w:eastAsia="en-GB"/>
              </w:rPr>
            </w:pPr>
            <w:r w:rsidRPr="00933FAA">
              <w:rPr>
                <w:rFonts w:cs="CMR10"/>
                <w:lang w:eastAsia="en-GB"/>
              </w:rPr>
              <w:t>50</w:t>
            </w:r>
          </w:p>
        </w:tc>
        <w:tc>
          <w:tcPr>
            <w:tcW w:w="637" w:type="pct"/>
            <w:tcBorders>
              <w:top w:val="nil"/>
              <w:bottom w:val="nil"/>
            </w:tcBorders>
            <w:shd w:val="clear" w:color="auto" w:fill="auto"/>
            <w:vAlign w:val="center"/>
            <w:hideMark/>
          </w:tcPr>
          <w:p w14:paraId="0EFDE840" w14:textId="77777777" w:rsidR="002E2A64" w:rsidRPr="00933FAA" w:rsidRDefault="002E2A64" w:rsidP="004A1C86">
            <w:pPr>
              <w:pStyle w:val="eceee-Tabletext"/>
              <w:jc w:val="right"/>
              <w:rPr>
                <w:lang w:eastAsia="en-GB"/>
              </w:rPr>
            </w:pPr>
            <w:r w:rsidRPr="00933FAA">
              <w:rPr>
                <w:rFonts w:cs="CMR10"/>
                <w:lang w:eastAsia="en-GB"/>
              </w:rPr>
              <w:t>89</w:t>
            </w:r>
          </w:p>
        </w:tc>
        <w:tc>
          <w:tcPr>
            <w:tcW w:w="579" w:type="pct"/>
            <w:tcBorders>
              <w:top w:val="nil"/>
              <w:bottom w:val="nil"/>
            </w:tcBorders>
            <w:shd w:val="clear" w:color="auto" w:fill="auto"/>
            <w:vAlign w:val="center"/>
            <w:hideMark/>
          </w:tcPr>
          <w:p w14:paraId="3DC3A502" w14:textId="77777777" w:rsidR="002E2A64" w:rsidRPr="00933FAA" w:rsidRDefault="002E2A64" w:rsidP="004A1C86">
            <w:pPr>
              <w:pStyle w:val="eceee-Tabletext"/>
              <w:jc w:val="right"/>
              <w:rPr>
                <w:lang w:eastAsia="en-GB"/>
              </w:rPr>
            </w:pPr>
            <w:r w:rsidRPr="00933FAA">
              <w:rPr>
                <w:rFonts w:cs="CMR10"/>
                <w:lang w:eastAsia="en-GB"/>
              </w:rPr>
              <w:t>6.31</w:t>
            </w:r>
          </w:p>
        </w:tc>
        <w:tc>
          <w:tcPr>
            <w:tcW w:w="777" w:type="pct"/>
            <w:tcBorders>
              <w:top w:val="nil"/>
              <w:bottom w:val="nil"/>
            </w:tcBorders>
            <w:shd w:val="clear" w:color="auto" w:fill="auto"/>
            <w:vAlign w:val="center"/>
            <w:hideMark/>
          </w:tcPr>
          <w:p w14:paraId="159E1BB1" w14:textId="77777777" w:rsidR="002E2A64" w:rsidRPr="00933FAA" w:rsidRDefault="002E2A64" w:rsidP="004A1C86">
            <w:pPr>
              <w:pStyle w:val="eceee-Tabletext"/>
              <w:jc w:val="right"/>
              <w:rPr>
                <w:lang w:eastAsia="en-GB"/>
              </w:rPr>
            </w:pPr>
            <w:r w:rsidRPr="00933FAA">
              <w:rPr>
                <w:rFonts w:cs="CMR10"/>
                <w:lang w:eastAsia="en-GB"/>
              </w:rPr>
              <w:t>£28.08</w:t>
            </w:r>
          </w:p>
        </w:tc>
      </w:tr>
      <w:tr w:rsidR="002E2A64" w:rsidRPr="00933FAA" w14:paraId="66B84D92" w14:textId="77777777" w:rsidTr="009D16CD">
        <w:trPr>
          <w:trHeight w:val="300"/>
        </w:trPr>
        <w:tc>
          <w:tcPr>
            <w:tcW w:w="778" w:type="pct"/>
            <w:tcBorders>
              <w:top w:val="nil"/>
              <w:bottom w:val="nil"/>
            </w:tcBorders>
            <w:shd w:val="clear" w:color="auto" w:fill="auto"/>
            <w:noWrap/>
            <w:vAlign w:val="center"/>
            <w:hideMark/>
          </w:tcPr>
          <w:p w14:paraId="21AADAB6" w14:textId="77777777" w:rsidR="002E2A64" w:rsidRPr="00933FAA" w:rsidRDefault="002E2A64" w:rsidP="00307870">
            <w:pPr>
              <w:pStyle w:val="eceee-Tabletext"/>
              <w:rPr>
                <w:lang w:eastAsia="en-GB"/>
              </w:rPr>
            </w:pPr>
            <w:r w:rsidRPr="00933FAA">
              <w:rPr>
                <w:lang w:eastAsia="en-GB"/>
              </w:rPr>
              <w:t>Winter</w:t>
            </w:r>
          </w:p>
        </w:tc>
        <w:tc>
          <w:tcPr>
            <w:tcW w:w="1520" w:type="pct"/>
            <w:tcBorders>
              <w:top w:val="nil"/>
              <w:bottom w:val="nil"/>
            </w:tcBorders>
            <w:shd w:val="clear" w:color="auto" w:fill="auto"/>
            <w:vAlign w:val="center"/>
            <w:hideMark/>
          </w:tcPr>
          <w:p w14:paraId="32953496" w14:textId="77777777" w:rsidR="002E2A64" w:rsidRPr="00933FAA" w:rsidRDefault="002E2A64" w:rsidP="00307870">
            <w:pPr>
              <w:pStyle w:val="eceee-Tabletext"/>
              <w:rPr>
                <w:lang w:eastAsia="en-GB"/>
              </w:rPr>
            </w:pPr>
            <w:r w:rsidRPr="00933FAA">
              <w:rPr>
                <w:rFonts w:cs="CMR10"/>
                <w:lang w:eastAsia="en-GB"/>
              </w:rPr>
              <w:t>Utilisation payment - Full Power</w:t>
            </w:r>
          </w:p>
        </w:tc>
        <w:tc>
          <w:tcPr>
            <w:tcW w:w="709" w:type="pct"/>
            <w:tcBorders>
              <w:top w:val="nil"/>
              <w:bottom w:val="nil"/>
            </w:tcBorders>
            <w:shd w:val="clear" w:color="auto" w:fill="auto"/>
            <w:vAlign w:val="center"/>
            <w:hideMark/>
          </w:tcPr>
          <w:p w14:paraId="210F2860" w14:textId="77777777" w:rsidR="002E2A64" w:rsidRPr="00933FAA" w:rsidRDefault="002E2A64" w:rsidP="004A1C86">
            <w:pPr>
              <w:pStyle w:val="eceee-Tabletext"/>
              <w:jc w:val="right"/>
              <w:rPr>
                <w:lang w:eastAsia="en-GB"/>
              </w:rPr>
            </w:pPr>
            <w:r w:rsidRPr="00933FAA">
              <w:rPr>
                <w:rFonts w:cs="CMR10"/>
                <w:lang w:eastAsia="en-GB"/>
              </w:rPr>
              <w:t>95</w:t>
            </w:r>
          </w:p>
        </w:tc>
        <w:tc>
          <w:tcPr>
            <w:tcW w:w="637" w:type="pct"/>
            <w:tcBorders>
              <w:top w:val="nil"/>
              <w:bottom w:val="nil"/>
            </w:tcBorders>
            <w:shd w:val="clear" w:color="auto" w:fill="auto"/>
            <w:vAlign w:val="center"/>
            <w:hideMark/>
          </w:tcPr>
          <w:p w14:paraId="5D8CA218" w14:textId="77777777" w:rsidR="002E2A64" w:rsidRPr="00933FAA" w:rsidRDefault="002E2A64" w:rsidP="004A1C86">
            <w:pPr>
              <w:pStyle w:val="eceee-Tabletext"/>
              <w:jc w:val="right"/>
              <w:rPr>
                <w:lang w:eastAsia="en-GB"/>
              </w:rPr>
            </w:pPr>
            <w:r w:rsidRPr="00933FAA">
              <w:rPr>
                <w:rFonts w:cs="CMR10"/>
                <w:lang w:eastAsia="en-GB"/>
              </w:rPr>
              <w:t>149.5</w:t>
            </w:r>
          </w:p>
        </w:tc>
        <w:tc>
          <w:tcPr>
            <w:tcW w:w="579" w:type="pct"/>
            <w:tcBorders>
              <w:top w:val="nil"/>
              <w:bottom w:val="nil"/>
            </w:tcBorders>
            <w:shd w:val="clear" w:color="auto" w:fill="auto"/>
            <w:vAlign w:val="center"/>
            <w:hideMark/>
          </w:tcPr>
          <w:p w14:paraId="77336DE6" w14:textId="77777777" w:rsidR="002E2A64" w:rsidRPr="00933FAA" w:rsidRDefault="002E2A64" w:rsidP="004A1C86">
            <w:pPr>
              <w:pStyle w:val="eceee-Tabletext"/>
              <w:jc w:val="right"/>
              <w:rPr>
                <w:lang w:eastAsia="en-GB"/>
              </w:rPr>
            </w:pPr>
            <w:r w:rsidRPr="00933FAA">
              <w:rPr>
                <w:rFonts w:cs="CMR10"/>
                <w:lang w:eastAsia="en-GB"/>
              </w:rPr>
              <w:t>162.92</w:t>
            </w:r>
          </w:p>
        </w:tc>
        <w:tc>
          <w:tcPr>
            <w:tcW w:w="777" w:type="pct"/>
            <w:tcBorders>
              <w:top w:val="nil"/>
              <w:bottom w:val="nil"/>
            </w:tcBorders>
            <w:shd w:val="clear" w:color="auto" w:fill="auto"/>
            <w:vAlign w:val="center"/>
            <w:hideMark/>
          </w:tcPr>
          <w:p w14:paraId="0B0C0213" w14:textId="77777777" w:rsidR="002E2A64" w:rsidRPr="00933FAA" w:rsidRDefault="002E2A64" w:rsidP="004A1C86">
            <w:pPr>
              <w:pStyle w:val="eceee-Tabletext"/>
              <w:jc w:val="right"/>
              <w:rPr>
                <w:lang w:eastAsia="en-GB"/>
              </w:rPr>
            </w:pPr>
            <w:r w:rsidRPr="00933FAA">
              <w:rPr>
                <w:rFonts w:cs="CMR10"/>
                <w:lang w:eastAsia="en-GB"/>
              </w:rPr>
              <w:t>£2,313.87</w:t>
            </w:r>
          </w:p>
        </w:tc>
      </w:tr>
      <w:tr w:rsidR="002E2A64" w:rsidRPr="00933FAA" w14:paraId="0426BAFC" w14:textId="77777777" w:rsidTr="009D16CD">
        <w:trPr>
          <w:trHeight w:val="300"/>
        </w:trPr>
        <w:tc>
          <w:tcPr>
            <w:tcW w:w="778" w:type="pct"/>
            <w:tcBorders>
              <w:top w:val="nil"/>
              <w:bottom w:val="nil"/>
            </w:tcBorders>
            <w:shd w:val="clear" w:color="auto" w:fill="auto"/>
            <w:noWrap/>
            <w:vAlign w:val="center"/>
            <w:hideMark/>
          </w:tcPr>
          <w:p w14:paraId="4784BC7F" w14:textId="77777777" w:rsidR="002E2A64" w:rsidRPr="00933FAA" w:rsidRDefault="002E2A64" w:rsidP="00307870">
            <w:pPr>
              <w:pStyle w:val="eceee-Tabletext"/>
              <w:rPr>
                <w:lang w:eastAsia="en-GB"/>
              </w:rPr>
            </w:pPr>
            <w:r w:rsidRPr="00933FAA">
              <w:rPr>
                <w:lang w:eastAsia="en-GB"/>
              </w:rPr>
              <w:t>Winter</w:t>
            </w:r>
          </w:p>
        </w:tc>
        <w:tc>
          <w:tcPr>
            <w:tcW w:w="1520" w:type="pct"/>
            <w:tcBorders>
              <w:top w:val="nil"/>
              <w:bottom w:val="nil"/>
            </w:tcBorders>
            <w:shd w:val="clear" w:color="auto" w:fill="auto"/>
            <w:vAlign w:val="center"/>
            <w:hideMark/>
          </w:tcPr>
          <w:p w14:paraId="4A40218A" w14:textId="77777777" w:rsidR="002E2A64" w:rsidRPr="00933FAA" w:rsidRDefault="002E2A64" w:rsidP="00307870">
            <w:pPr>
              <w:pStyle w:val="eceee-Tabletext"/>
              <w:rPr>
                <w:lang w:eastAsia="en-GB"/>
              </w:rPr>
            </w:pPr>
            <w:r w:rsidRPr="00933FAA">
              <w:rPr>
                <w:rFonts w:cs="CMR10"/>
                <w:lang w:eastAsia="en-GB"/>
              </w:rPr>
              <w:t>Utilisation payment -Part Power</w:t>
            </w:r>
          </w:p>
        </w:tc>
        <w:tc>
          <w:tcPr>
            <w:tcW w:w="709" w:type="pct"/>
            <w:tcBorders>
              <w:top w:val="nil"/>
              <w:bottom w:val="nil"/>
            </w:tcBorders>
            <w:shd w:val="clear" w:color="auto" w:fill="auto"/>
            <w:vAlign w:val="center"/>
            <w:hideMark/>
          </w:tcPr>
          <w:p w14:paraId="195376F7" w14:textId="77777777" w:rsidR="002E2A64" w:rsidRPr="00933FAA" w:rsidRDefault="002E2A64" w:rsidP="004A1C86">
            <w:pPr>
              <w:pStyle w:val="eceee-Tabletext"/>
              <w:jc w:val="right"/>
              <w:rPr>
                <w:lang w:eastAsia="en-GB"/>
              </w:rPr>
            </w:pPr>
            <w:r w:rsidRPr="00933FAA">
              <w:rPr>
                <w:rFonts w:cs="CMR10"/>
                <w:lang w:eastAsia="en-GB"/>
              </w:rPr>
              <w:t>50</w:t>
            </w:r>
          </w:p>
        </w:tc>
        <w:tc>
          <w:tcPr>
            <w:tcW w:w="637" w:type="pct"/>
            <w:tcBorders>
              <w:top w:val="nil"/>
              <w:bottom w:val="nil"/>
            </w:tcBorders>
            <w:shd w:val="clear" w:color="auto" w:fill="auto"/>
            <w:vAlign w:val="center"/>
            <w:hideMark/>
          </w:tcPr>
          <w:p w14:paraId="32078E50" w14:textId="77777777" w:rsidR="002E2A64" w:rsidRPr="00933FAA" w:rsidRDefault="002E2A64" w:rsidP="004A1C86">
            <w:pPr>
              <w:pStyle w:val="eceee-Tabletext"/>
              <w:jc w:val="right"/>
              <w:rPr>
                <w:lang w:eastAsia="en-GB"/>
              </w:rPr>
            </w:pPr>
            <w:r w:rsidRPr="00933FAA">
              <w:rPr>
                <w:rFonts w:cs="CMR10"/>
                <w:lang w:eastAsia="en-GB"/>
              </w:rPr>
              <w:t>8.9</w:t>
            </w:r>
          </w:p>
        </w:tc>
        <w:tc>
          <w:tcPr>
            <w:tcW w:w="579" w:type="pct"/>
            <w:tcBorders>
              <w:top w:val="nil"/>
              <w:bottom w:val="nil"/>
            </w:tcBorders>
            <w:shd w:val="clear" w:color="auto" w:fill="auto"/>
            <w:vAlign w:val="center"/>
            <w:hideMark/>
          </w:tcPr>
          <w:p w14:paraId="66EB6FD2" w14:textId="77777777" w:rsidR="002E2A64" w:rsidRPr="00933FAA" w:rsidRDefault="002E2A64" w:rsidP="004A1C86">
            <w:pPr>
              <w:pStyle w:val="eceee-Tabletext"/>
              <w:jc w:val="right"/>
              <w:rPr>
                <w:lang w:eastAsia="en-GB"/>
              </w:rPr>
            </w:pPr>
            <w:r w:rsidRPr="00933FAA">
              <w:rPr>
                <w:rFonts w:cs="CMR10"/>
                <w:lang w:eastAsia="en-GB"/>
              </w:rPr>
              <w:t>162.92</w:t>
            </w:r>
          </w:p>
        </w:tc>
        <w:tc>
          <w:tcPr>
            <w:tcW w:w="777" w:type="pct"/>
            <w:tcBorders>
              <w:top w:val="nil"/>
              <w:bottom w:val="nil"/>
            </w:tcBorders>
            <w:shd w:val="clear" w:color="auto" w:fill="auto"/>
            <w:vAlign w:val="center"/>
            <w:hideMark/>
          </w:tcPr>
          <w:p w14:paraId="712DC68B" w14:textId="77777777" w:rsidR="002E2A64" w:rsidRPr="00933FAA" w:rsidRDefault="002E2A64" w:rsidP="004A1C86">
            <w:pPr>
              <w:pStyle w:val="eceee-Tabletext"/>
              <w:jc w:val="right"/>
              <w:rPr>
                <w:lang w:eastAsia="en-GB"/>
              </w:rPr>
            </w:pPr>
            <w:r w:rsidRPr="00933FAA">
              <w:rPr>
                <w:rFonts w:cs="CMR10"/>
                <w:lang w:eastAsia="en-GB"/>
              </w:rPr>
              <w:t>£72.50</w:t>
            </w:r>
          </w:p>
        </w:tc>
      </w:tr>
      <w:tr w:rsidR="002E2A64" w:rsidRPr="00933FAA" w14:paraId="7864D002" w14:textId="77777777" w:rsidTr="009D16CD">
        <w:trPr>
          <w:trHeight w:val="300"/>
        </w:trPr>
        <w:tc>
          <w:tcPr>
            <w:tcW w:w="778" w:type="pct"/>
            <w:tcBorders>
              <w:top w:val="nil"/>
              <w:bottom w:val="nil"/>
            </w:tcBorders>
            <w:shd w:val="clear" w:color="auto" w:fill="auto"/>
            <w:noWrap/>
            <w:vAlign w:val="center"/>
            <w:hideMark/>
          </w:tcPr>
          <w:p w14:paraId="5CE00C05" w14:textId="77777777" w:rsidR="002E2A64" w:rsidRPr="00933FAA" w:rsidRDefault="00F310AF" w:rsidP="00307870">
            <w:pPr>
              <w:pStyle w:val="eceee-Tabletext"/>
              <w:rPr>
                <w:lang w:eastAsia="en-GB"/>
              </w:rPr>
            </w:pPr>
            <w:r>
              <w:rPr>
                <w:lang w:eastAsia="en-GB"/>
              </w:rPr>
              <w:t>Spring/Autumn</w:t>
            </w:r>
          </w:p>
        </w:tc>
        <w:tc>
          <w:tcPr>
            <w:tcW w:w="1520" w:type="pct"/>
            <w:tcBorders>
              <w:top w:val="nil"/>
              <w:bottom w:val="nil"/>
            </w:tcBorders>
            <w:shd w:val="clear" w:color="auto" w:fill="auto"/>
            <w:vAlign w:val="center"/>
            <w:hideMark/>
          </w:tcPr>
          <w:p w14:paraId="1A39F7AE" w14:textId="77777777" w:rsidR="002E2A64" w:rsidRPr="00933FAA" w:rsidRDefault="002E2A64" w:rsidP="00307870">
            <w:pPr>
              <w:pStyle w:val="eceee-Tabletext"/>
              <w:rPr>
                <w:lang w:eastAsia="en-GB"/>
              </w:rPr>
            </w:pPr>
            <w:r w:rsidRPr="00933FAA">
              <w:rPr>
                <w:rFonts w:cs="CMR10"/>
                <w:lang w:eastAsia="en-GB"/>
              </w:rPr>
              <w:t>Availability payment - Full Power</w:t>
            </w:r>
          </w:p>
        </w:tc>
        <w:tc>
          <w:tcPr>
            <w:tcW w:w="709" w:type="pct"/>
            <w:tcBorders>
              <w:top w:val="nil"/>
              <w:bottom w:val="nil"/>
            </w:tcBorders>
            <w:shd w:val="clear" w:color="auto" w:fill="auto"/>
            <w:vAlign w:val="center"/>
            <w:hideMark/>
          </w:tcPr>
          <w:p w14:paraId="3CDF9C36" w14:textId="77777777" w:rsidR="002E2A64" w:rsidRPr="00933FAA" w:rsidRDefault="002E2A64" w:rsidP="004A1C86">
            <w:pPr>
              <w:pStyle w:val="eceee-Tabletext"/>
              <w:jc w:val="right"/>
              <w:rPr>
                <w:lang w:eastAsia="en-GB"/>
              </w:rPr>
            </w:pPr>
            <w:r w:rsidRPr="00933FAA">
              <w:rPr>
                <w:rFonts w:cs="CMR10"/>
                <w:lang w:eastAsia="en-GB"/>
              </w:rPr>
              <w:t>95</w:t>
            </w:r>
          </w:p>
        </w:tc>
        <w:tc>
          <w:tcPr>
            <w:tcW w:w="637" w:type="pct"/>
            <w:tcBorders>
              <w:top w:val="nil"/>
              <w:bottom w:val="nil"/>
            </w:tcBorders>
            <w:shd w:val="clear" w:color="auto" w:fill="auto"/>
            <w:vAlign w:val="center"/>
            <w:hideMark/>
          </w:tcPr>
          <w:p w14:paraId="6978A0D3" w14:textId="77777777" w:rsidR="002E2A64" w:rsidRPr="00933FAA" w:rsidRDefault="002E2A64" w:rsidP="004A1C86">
            <w:pPr>
              <w:pStyle w:val="eceee-Tabletext"/>
              <w:jc w:val="right"/>
              <w:rPr>
                <w:lang w:eastAsia="en-GB"/>
              </w:rPr>
            </w:pPr>
            <w:r w:rsidRPr="00933FAA">
              <w:rPr>
                <w:rFonts w:cs="CMR10"/>
                <w:lang w:eastAsia="en-GB"/>
              </w:rPr>
              <w:t>365</w:t>
            </w:r>
          </w:p>
        </w:tc>
        <w:tc>
          <w:tcPr>
            <w:tcW w:w="579" w:type="pct"/>
            <w:tcBorders>
              <w:top w:val="nil"/>
              <w:bottom w:val="nil"/>
            </w:tcBorders>
            <w:shd w:val="clear" w:color="auto" w:fill="auto"/>
            <w:vAlign w:val="center"/>
            <w:hideMark/>
          </w:tcPr>
          <w:p w14:paraId="53BEBD5B" w14:textId="77777777" w:rsidR="002E2A64" w:rsidRPr="00933FAA" w:rsidRDefault="002E2A64" w:rsidP="004A1C86">
            <w:pPr>
              <w:pStyle w:val="eceee-Tabletext"/>
              <w:jc w:val="right"/>
              <w:rPr>
                <w:lang w:eastAsia="en-GB"/>
              </w:rPr>
            </w:pPr>
            <w:r w:rsidRPr="00933FAA">
              <w:rPr>
                <w:rFonts w:cs="CMR10"/>
                <w:lang w:eastAsia="en-GB"/>
              </w:rPr>
              <w:t>2.69</w:t>
            </w:r>
          </w:p>
        </w:tc>
        <w:tc>
          <w:tcPr>
            <w:tcW w:w="777" w:type="pct"/>
            <w:tcBorders>
              <w:top w:val="nil"/>
              <w:bottom w:val="nil"/>
            </w:tcBorders>
            <w:shd w:val="clear" w:color="auto" w:fill="auto"/>
            <w:vAlign w:val="center"/>
            <w:hideMark/>
          </w:tcPr>
          <w:p w14:paraId="57732BD1" w14:textId="77777777" w:rsidR="002E2A64" w:rsidRPr="00933FAA" w:rsidRDefault="002E2A64" w:rsidP="004A1C86">
            <w:pPr>
              <w:pStyle w:val="eceee-Tabletext"/>
              <w:jc w:val="right"/>
              <w:rPr>
                <w:lang w:eastAsia="en-GB"/>
              </w:rPr>
            </w:pPr>
            <w:r w:rsidRPr="00933FAA">
              <w:rPr>
                <w:rFonts w:cs="CMR10"/>
                <w:lang w:eastAsia="en-GB"/>
              </w:rPr>
              <w:t>£93.28</w:t>
            </w:r>
          </w:p>
        </w:tc>
      </w:tr>
      <w:tr w:rsidR="002E2A64" w:rsidRPr="00933FAA" w14:paraId="2110941A" w14:textId="77777777" w:rsidTr="009D16CD">
        <w:trPr>
          <w:trHeight w:val="285"/>
        </w:trPr>
        <w:tc>
          <w:tcPr>
            <w:tcW w:w="778" w:type="pct"/>
            <w:tcBorders>
              <w:top w:val="nil"/>
              <w:bottom w:val="nil"/>
            </w:tcBorders>
            <w:shd w:val="clear" w:color="auto" w:fill="auto"/>
            <w:noWrap/>
            <w:vAlign w:val="center"/>
            <w:hideMark/>
          </w:tcPr>
          <w:p w14:paraId="4E8CC9D2" w14:textId="77777777" w:rsidR="002E2A64" w:rsidRPr="00933FAA" w:rsidRDefault="00F310AF" w:rsidP="00307870">
            <w:pPr>
              <w:pStyle w:val="eceee-Tabletext"/>
              <w:rPr>
                <w:lang w:eastAsia="en-GB"/>
              </w:rPr>
            </w:pPr>
            <w:r>
              <w:rPr>
                <w:lang w:eastAsia="en-GB"/>
              </w:rPr>
              <w:t>Spring/Autumn</w:t>
            </w:r>
          </w:p>
        </w:tc>
        <w:tc>
          <w:tcPr>
            <w:tcW w:w="1520" w:type="pct"/>
            <w:tcBorders>
              <w:top w:val="nil"/>
              <w:bottom w:val="nil"/>
            </w:tcBorders>
            <w:shd w:val="clear" w:color="auto" w:fill="auto"/>
            <w:vAlign w:val="center"/>
            <w:hideMark/>
          </w:tcPr>
          <w:p w14:paraId="0A27691D" w14:textId="77777777" w:rsidR="002E2A64" w:rsidRPr="00933FAA" w:rsidRDefault="002E2A64" w:rsidP="00307870">
            <w:pPr>
              <w:pStyle w:val="eceee-Tabletext"/>
              <w:rPr>
                <w:lang w:eastAsia="en-GB"/>
              </w:rPr>
            </w:pPr>
            <w:r w:rsidRPr="00933FAA">
              <w:rPr>
                <w:rFonts w:cs="CMR10"/>
                <w:lang w:eastAsia="en-GB"/>
              </w:rPr>
              <w:t>Availability payment</w:t>
            </w:r>
            <w:r w:rsidR="004A1C86">
              <w:rPr>
                <w:rFonts w:cs="CMR10"/>
                <w:lang w:eastAsia="en-GB"/>
              </w:rPr>
              <w:t xml:space="preserve"> - </w:t>
            </w:r>
            <w:r w:rsidRPr="00933FAA">
              <w:rPr>
                <w:rFonts w:cs="CMR10"/>
                <w:lang w:eastAsia="en-GB"/>
              </w:rPr>
              <w:t xml:space="preserve"> Part Power</w:t>
            </w:r>
          </w:p>
        </w:tc>
        <w:tc>
          <w:tcPr>
            <w:tcW w:w="709" w:type="pct"/>
            <w:tcBorders>
              <w:top w:val="nil"/>
              <w:bottom w:val="nil"/>
            </w:tcBorders>
            <w:shd w:val="clear" w:color="auto" w:fill="auto"/>
            <w:vAlign w:val="center"/>
            <w:hideMark/>
          </w:tcPr>
          <w:p w14:paraId="24F83FA0" w14:textId="77777777" w:rsidR="002E2A64" w:rsidRPr="00933FAA" w:rsidRDefault="002E2A64" w:rsidP="004A1C86">
            <w:pPr>
              <w:pStyle w:val="eceee-Tabletext"/>
              <w:jc w:val="right"/>
              <w:rPr>
                <w:lang w:eastAsia="en-GB"/>
              </w:rPr>
            </w:pPr>
            <w:r w:rsidRPr="00933FAA">
              <w:rPr>
                <w:rFonts w:cs="CMR10"/>
                <w:lang w:eastAsia="en-GB"/>
              </w:rPr>
              <w:t>50</w:t>
            </w:r>
          </w:p>
        </w:tc>
        <w:tc>
          <w:tcPr>
            <w:tcW w:w="637" w:type="pct"/>
            <w:tcBorders>
              <w:top w:val="nil"/>
              <w:bottom w:val="nil"/>
            </w:tcBorders>
            <w:shd w:val="clear" w:color="auto" w:fill="auto"/>
            <w:vAlign w:val="center"/>
            <w:hideMark/>
          </w:tcPr>
          <w:p w14:paraId="62AD988B" w14:textId="77777777" w:rsidR="002E2A64" w:rsidRPr="00933FAA" w:rsidRDefault="002E2A64" w:rsidP="004A1C86">
            <w:pPr>
              <w:pStyle w:val="eceee-Tabletext"/>
              <w:jc w:val="right"/>
              <w:rPr>
                <w:lang w:eastAsia="en-GB"/>
              </w:rPr>
            </w:pPr>
            <w:r w:rsidRPr="00933FAA">
              <w:rPr>
                <w:rFonts w:cs="CMR10"/>
                <w:lang w:eastAsia="en-GB"/>
              </w:rPr>
              <w:t>92.5</w:t>
            </w:r>
          </w:p>
        </w:tc>
        <w:tc>
          <w:tcPr>
            <w:tcW w:w="579" w:type="pct"/>
            <w:tcBorders>
              <w:top w:val="nil"/>
              <w:bottom w:val="nil"/>
            </w:tcBorders>
            <w:shd w:val="clear" w:color="auto" w:fill="auto"/>
            <w:vAlign w:val="center"/>
            <w:hideMark/>
          </w:tcPr>
          <w:p w14:paraId="38C1E7E9" w14:textId="77777777" w:rsidR="002E2A64" w:rsidRPr="00933FAA" w:rsidRDefault="002E2A64" w:rsidP="004A1C86">
            <w:pPr>
              <w:pStyle w:val="eceee-Tabletext"/>
              <w:jc w:val="right"/>
              <w:rPr>
                <w:lang w:eastAsia="en-GB"/>
              </w:rPr>
            </w:pPr>
            <w:r w:rsidRPr="00933FAA">
              <w:rPr>
                <w:rFonts w:cs="CMR10"/>
                <w:lang w:eastAsia="en-GB"/>
              </w:rPr>
              <w:t>2.69</w:t>
            </w:r>
          </w:p>
        </w:tc>
        <w:tc>
          <w:tcPr>
            <w:tcW w:w="777" w:type="pct"/>
            <w:tcBorders>
              <w:top w:val="nil"/>
              <w:bottom w:val="nil"/>
            </w:tcBorders>
            <w:shd w:val="clear" w:color="auto" w:fill="auto"/>
            <w:vAlign w:val="center"/>
            <w:hideMark/>
          </w:tcPr>
          <w:p w14:paraId="01EAA034" w14:textId="77777777" w:rsidR="002E2A64" w:rsidRPr="00933FAA" w:rsidRDefault="002E2A64" w:rsidP="004A1C86">
            <w:pPr>
              <w:pStyle w:val="eceee-Tabletext"/>
              <w:jc w:val="right"/>
              <w:rPr>
                <w:lang w:eastAsia="en-GB"/>
              </w:rPr>
            </w:pPr>
            <w:r w:rsidRPr="00933FAA">
              <w:rPr>
                <w:rFonts w:cs="CMR10"/>
                <w:lang w:eastAsia="en-GB"/>
              </w:rPr>
              <w:t>£12.44</w:t>
            </w:r>
          </w:p>
        </w:tc>
      </w:tr>
      <w:tr w:rsidR="002E2A64" w:rsidRPr="00933FAA" w14:paraId="156ADEEF" w14:textId="77777777" w:rsidTr="009D16CD">
        <w:trPr>
          <w:trHeight w:val="285"/>
        </w:trPr>
        <w:tc>
          <w:tcPr>
            <w:tcW w:w="778" w:type="pct"/>
            <w:tcBorders>
              <w:top w:val="nil"/>
              <w:bottom w:val="nil"/>
            </w:tcBorders>
            <w:shd w:val="clear" w:color="auto" w:fill="auto"/>
            <w:noWrap/>
            <w:vAlign w:val="center"/>
            <w:hideMark/>
          </w:tcPr>
          <w:p w14:paraId="140E7F8B" w14:textId="77777777" w:rsidR="002E2A64" w:rsidRPr="00933FAA" w:rsidRDefault="00F310AF" w:rsidP="00307870">
            <w:pPr>
              <w:pStyle w:val="eceee-Tabletext"/>
              <w:rPr>
                <w:lang w:eastAsia="en-GB"/>
              </w:rPr>
            </w:pPr>
            <w:r>
              <w:rPr>
                <w:lang w:eastAsia="en-GB"/>
              </w:rPr>
              <w:t>Spring/Autumn</w:t>
            </w:r>
          </w:p>
        </w:tc>
        <w:tc>
          <w:tcPr>
            <w:tcW w:w="1520" w:type="pct"/>
            <w:tcBorders>
              <w:top w:val="nil"/>
              <w:bottom w:val="nil"/>
            </w:tcBorders>
            <w:shd w:val="clear" w:color="auto" w:fill="auto"/>
            <w:vAlign w:val="center"/>
            <w:hideMark/>
          </w:tcPr>
          <w:p w14:paraId="0B3FB6AA" w14:textId="77777777" w:rsidR="002E2A64" w:rsidRPr="00933FAA" w:rsidRDefault="002E2A64" w:rsidP="00307870">
            <w:pPr>
              <w:pStyle w:val="eceee-Tabletext"/>
              <w:rPr>
                <w:lang w:eastAsia="en-GB"/>
              </w:rPr>
            </w:pPr>
            <w:r w:rsidRPr="00933FAA">
              <w:rPr>
                <w:rFonts w:cs="CMR10"/>
                <w:lang w:eastAsia="en-GB"/>
              </w:rPr>
              <w:t>Utilisation payment - Full Power</w:t>
            </w:r>
          </w:p>
        </w:tc>
        <w:tc>
          <w:tcPr>
            <w:tcW w:w="709" w:type="pct"/>
            <w:tcBorders>
              <w:top w:val="nil"/>
              <w:bottom w:val="nil"/>
            </w:tcBorders>
            <w:shd w:val="clear" w:color="auto" w:fill="auto"/>
            <w:vAlign w:val="center"/>
            <w:hideMark/>
          </w:tcPr>
          <w:p w14:paraId="264F4FF5" w14:textId="77777777" w:rsidR="002E2A64" w:rsidRPr="00933FAA" w:rsidRDefault="002E2A64" w:rsidP="004A1C86">
            <w:pPr>
              <w:pStyle w:val="eceee-Tabletext"/>
              <w:jc w:val="right"/>
              <w:rPr>
                <w:lang w:eastAsia="en-GB"/>
              </w:rPr>
            </w:pPr>
            <w:r w:rsidRPr="00933FAA">
              <w:rPr>
                <w:rFonts w:cs="CMR10"/>
                <w:lang w:eastAsia="en-GB"/>
              </w:rPr>
              <w:t>95</w:t>
            </w:r>
          </w:p>
        </w:tc>
        <w:tc>
          <w:tcPr>
            <w:tcW w:w="637" w:type="pct"/>
            <w:tcBorders>
              <w:top w:val="nil"/>
              <w:bottom w:val="nil"/>
            </w:tcBorders>
            <w:shd w:val="clear" w:color="auto" w:fill="auto"/>
            <w:vAlign w:val="center"/>
            <w:hideMark/>
          </w:tcPr>
          <w:p w14:paraId="4BBB2652" w14:textId="77777777" w:rsidR="002E2A64" w:rsidRPr="00933FAA" w:rsidRDefault="002E2A64" w:rsidP="004A1C86">
            <w:pPr>
              <w:pStyle w:val="eceee-Tabletext"/>
              <w:jc w:val="right"/>
              <w:rPr>
                <w:lang w:eastAsia="en-GB"/>
              </w:rPr>
            </w:pPr>
            <w:r w:rsidRPr="00933FAA">
              <w:rPr>
                <w:rFonts w:cs="CMR10"/>
                <w:lang w:eastAsia="en-GB"/>
              </w:rPr>
              <w:t>36.5</w:t>
            </w:r>
          </w:p>
        </w:tc>
        <w:tc>
          <w:tcPr>
            <w:tcW w:w="579" w:type="pct"/>
            <w:tcBorders>
              <w:top w:val="nil"/>
              <w:bottom w:val="nil"/>
            </w:tcBorders>
            <w:shd w:val="clear" w:color="auto" w:fill="auto"/>
            <w:vAlign w:val="center"/>
            <w:hideMark/>
          </w:tcPr>
          <w:p w14:paraId="65B9FA18" w14:textId="77777777" w:rsidR="002E2A64" w:rsidRPr="00933FAA" w:rsidRDefault="002E2A64" w:rsidP="004A1C86">
            <w:pPr>
              <w:pStyle w:val="eceee-Tabletext"/>
              <w:jc w:val="right"/>
              <w:rPr>
                <w:lang w:eastAsia="en-GB"/>
              </w:rPr>
            </w:pPr>
            <w:r w:rsidRPr="00933FAA">
              <w:rPr>
                <w:rFonts w:cs="CMR10"/>
                <w:lang w:eastAsia="en-GB"/>
              </w:rPr>
              <w:t>91.32</w:t>
            </w:r>
          </w:p>
        </w:tc>
        <w:tc>
          <w:tcPr>
            <w:tcW w:w="777" w:type="pct"/>
            <w:tcBorders>
              <w:top w:val="nil"/>
              <w:bottom w:val="nil"/>
            </w:tcBorders>
            <w:shd w:val="clear" w:color="auto" w:fill="auto"/>
            <w:vAlign w:val="center"/>
            <w:hideMark/>
          </w:tcPr>
          <w:p w14:paraId="2ABC508C" w14:textId="77777777" w:rsidR="002E2A64" w:rsidRPr="00933FAA" w:rsidRDefault="002E2A64" w:rsidP="004A1C86">
            <w:pPr>
              <w:pStyle w:val="eceee-Tabletext"/>
              <w:jc w:val="right"/>
              <w:rPr>
                <w:lang w:eastAsia="en-GB"/>
              </w:rPr>
            </w:pPr>
            <w:r w:rsidRPr="00933FAA">
              <w:rPr>
                <w:rFonts w:cs="CMR10"/>
                <w:lang w:eastAsia="en-GB"/>
              </w:rPr>
              <w:t>£316.65</w:t>
            </w:r>
          </w:p>
        </w:tc>
      </w:tr>
      <w:tr w:rsidR="002E2A64" w:rsidRPr="00933FAA" w14:paraId="09112A04" w14:textId="77777777" w:rsidTr="009D16CD">
        <w:trPr>
          <w:trHeight w:val="285"/>
        </w:trPr>
        <w:tc>
          <w:tcPr>
            <w:tcW w:w="778" w:type="pct"/>
            <w:tcBorders>
              <w:top w:val="nil"/>
            </w:tcBorders>
            <w:shd w:val="clear" w:color="auto" w:fill="auto"/>
            <w:noWrap/>
            <w:vAlign w:val="center"/>
            <w:hideMark/>
          </w:tcPr>
          <w:p w14:paraId="3FF722A8" w14:textId="77777777" w:rsidR="002E2A64" w:rsidRPr="00933FAA" w:rsidRDefault="00F310AF" w:rsidP="00307870">
            <w:pPr>
              <w:pStyle w:val="eceee-Tabletext"/>
              <w:rPr>
                <w:lang w:eastAsia="en-GB"/>
              </w:rPr>
            </w:pPr>
            <w:r>
              <w:rPr>
                <w:lang w:eastAsia="en-GB"/>
              </w:rPr>
              <w:t>Spring/Autumn</w:t>
            </w:r>
          </w:p>
        </w:tc>
        <w:tc>
          <w:tcPr>
            <w:tcW w:w="1520" w:type="pct"/>
            <w:tcBorders>
              <w:top w:val="nil"/>
            </w:tcBorders>
            <w:shd w:val="clear" w:color="auto" w:fill="auto"/>
            <w:vAlign w:val="center"/>
            <w:hideMark/>
          </w:tcPr>
          <w:p w14:paraId="06F96AD7" w14:textId="77777777" w:rsidR="002E2A64" w:rsidRPr="00933FAA" w:rsidRDefault="002E2A64" w:rsidP="00307870">
            <w:pPr>
              <w:pStyle w:val="eceee-Tabletext"/>
              <w:rPr>
                <w:lang w:eastAsia="en-GB"/>
              </w:rPr>
            </w:pPr>
            <w:r w:rsidRPr="00933FAA">
              <w:rPr>
                <w:rFonts w:cs="CMR10"/>
                <w:lang w:eastAsia="en-GB"/>
              </w:rPr>
              <w:t>Utilisation payment -Part Power</w:t>
            </w:r>
          </w:p>
        </w:tc>
        <w:tc>
          <w:tcPr>
            <w:tcW w:w="709" w:type="pct"/>
            <w:tcBorders>
              <w:top w:val="nil"/>
            </w:tcBorders>
            <w:shd w:val="clear" w:color="auto" w:fill="auto"/>
            <w:vAlign w:val="center"/>
            <w:hideMark/>
          </w:tcPr>
          <w:p w14:paraId="29846B7C" w14:textId="77777777" w:rsidR="002E2A64" w:rsidRPr="00933FAA" w:rsidRDefault="002E2A64" w:rsidP="004A1C86">
            <w:pPr>
              <w:pStyle w:val="eceee-Tabletext"/>
              <w:jc w:val="right"/>
              <w:rPr>
                <w:lang w:eastAsia="en-GB"/>
              </w:rPr>
            </w:pPr>
            <w:r w:rsidRPr="00933FAA">
              <w:rPr>
                <w:rFonts w:cs="CMR10"/>
                <w:lang w:eastAsia="en-GB"/>
              </w:rPr>
              <w:t>50</w:t>
            </w:r>
          </w:p>
        </w:tc>
        <w:tc>
          <w:tcPr>
            <w:tcW w:w="637" w:type="pct"/>
            <w:tcBorders>
              <w:top w:val="nil"/>
            </w:tcBorders>
            <w:shd w:val="clear" w:color="auto" w:fill="auto"/>
            <w:vAlign w:val="center"/>
            <w:hideMark/>
          </w:tcPr>
          <w:p w14:paraId="581C426C" w14:textId="77777777" w:rsidR="002E2A64" w:rsidRPr="00933FAA" w:rsidRDefault="002E2A64" w:rsidP="004A1C86">
            <w:pPr>
              <w:pStyle w:val="eceee-Tabletext"/>
              <w:jc w:val="right"/>
              <w:rPr>
                <w:lang w:eastAsia="en-GB"/>
              </w:rPr>
            </w:pPr>
            <w:r w:rsidRPr="00933FAA">
              <w:rPr>
                <w:rFonts w:cs="CMR10"/>
                <w:lang w:eastAsia="en-GB"/>
              </w:rPr>
              <w:t>9.25</w:t>
            </w:r>
          </w:p>
        </w:tc>
        <w:tc>
          <w:tcPr>
            <w:tcW w:w="579" w:type="pct"/>
            <w:tcBorders>
              <w:top w:val="nil"/>
            </w:tcBorders>
            <w:shd w:val="clear" w:color="auto" w:fill="auto"/>
            <w:vAlign w:val="center"/>
            <w:hideMark/>
          </w:tcPr>
          <w:p w14:paraId="4F2D02EC" w14:textId="77777777" w:rsidR="002E2A64" w:rsidRPr="00933FAA" w:rsidRDefault="002E2A64" w:rsidP="004A1C86">
            <w:pPr>
              <w:pStyle w:val="eceee-Tabletext"/>
              <w:jc w:val="right"/>
              <w:rPr>
                <w:lang w:eastAsia="en-GB"/>
              </w:rPr>
            </w:pPr>
            <w:r w:rsidRPr="00933FAA">
              <w:rPr>
                <w:rFonts w:cs="CMR10"/>
                <w:lang w:eastAsia="en-GB"/>
              </w:rPr>
              <w:t>91.32</w:t>
            </w:r>
          </w:p>
        </w:tc>
        <w:tc>
          <w:tcPr>
            <w:tcW w:w="777" w:type="pct"/>
            <w:tcBorders>
              <w:top w:val="nil"/>
            </w:tcBorders>
            <w:shd w:val="clear" w:color="auto" w:fill="auto"/>
            <w:vAlign w:val="center"/>
            <w:hideMark/>
          </w:tcPr>
          <w:p w14:paraId="0CD601D6" w14:textId="77777777" w:rsidR="002E2A64" w:rsidRPr="00933FAA" w:rsidRDefault="002E2A64" w:rsidP="004A1C86">
            <w:pPr>
              <w:pStyle w:val="eceee-Tabletext"/>
              <w:jc w:val="right"/>
              <w:rPr>
                <w:lang w:eastAsia="en-GB"/>
              </w:rPr>
            </w:pPr>
            <w:r w:rsidRPr="00933FAA">
              <w:rPr>
                <w:rFonts w:cs="CMR10"/>
                <w:lang w:eastAsia="en-GB"/>
              </w:rPr>
              <w:t>£42.24</w:t>
            </w:r>
          </w:p>
        </w:tc>
      </w:tr>
      <w:tr w:rsidR="002E2A64" w:rsidRPr="00933FAA" w14:paraId="11673BDC" w14:textId="77777777" w:rsidTr="004A1C86">
        <w:trPr>
          <w:trHeight w:val="300"/>
        </w:trPr>
        <w:tc>
          <w:tcPr>
            <w:tcW w:w="4223" w:type="pct"/>
            <w:gridSpan w:val="5"/>
            <w:shd w:val="clear" w:color="auto" w:fill="auto"/>
            <w:noWrap/>
            <w:vAlign w:val="center"/>
            <w:hideMark/>
          </w:tcPr>
          <w:p w14:paraId="72858290" w14:textId="77777777" w:rsidR="002E2A64" w:rsidRPr="00933FAA" w:rsidRDefault="002E2A64" w:rsidP="004A1C86">
            <w:pPr>
              <w:pStyle w:val="eceee-Tabletext"/>
              <w:jc w:val="right"/>
              <w:rPr>
                <w:lang w:eastAsia="en-GB"/>
              </w:rPr>
            </w:pPr>
            <w:r w:rsidRPr="00933FAA">
              <w:rPr>
                <w:lang w:eastAsia="en-GB"/>
              </w:rPr>
              <w:t>Total Annual STOR revenue</w:t>
            </w:r>
          </w:p>
        </w:tc>
        <w:tc>
          <w:tcPr>
            <w:tcW w:w="777" w:type="pct"/>
            <w:shd w:val="clear" w:color="auto" w:fill="auto"/>
            <w:noWrap/>
            <w:vAlign w:val="center"/>
            <w:hideMark/>
          </w:tcPr>
          <w:p w14:paraId="06EEC77A" w14:textId="77777777" w:rsidR="002E2A64" w:rsidRPr="00933FAA" w:rsidRDefault="002E2A64" w:rsidP="004A1C86">
            <w:pPr>
              <w:pStyle w:val="eceee-Tabletext"/>
              <w:jc w:val="right"/>
              <w:rPr>
                <w:lang w:eastAsia="en-GB"/>
              </w:rPr>
            </w:pPr>
            <w:r w:rsidRPr="00933FAA">
              <w:rPr>
                <w:lang w:eastAsia="en-GB"/>
              </w:rPr>
              <w:t>£</w:t>
            </w:r>
            <w:r>
              <w:rPr>
                <w:lang w:eastAsia="en-GB"/>
              </w:rPr>
              <w:t>3,775.23</w:t>
            </w:r>
          </w:p>
        </w:tc>
      </w:tr>
    </w:tbl>
    <w:p w14:paraId="407024AA" w14:textId="77777777" w:rsidR="00A477B6" w:rsidRDefault="00A477B6" w:rsidP="002E2A64">
      <w:pPr>
        <w:autoSpaceDE w:val="0"/>
        <w:autoSpaceDN w:val="0"/>
        <w:adjustRightInd w:val="0"/>
        <w:rPr>
          <w:rFonts w:ascii="CMR10" w:hAnsi="CMR10" w:cs="CMR10"/>
        </w:rPr>
      </w:pPr>
    </w:p>
    <w:p w14:paraId="293B5B03" w14:textId="77777777" w:rsidR="002E2A64" w:rsidRDefault="002E2A64" w:rsidP="00307870">
      <w:pPr>
        <w:pStyle w:val="eceee-Heading2"/>
      </w:pPr>
      <w:r>
        <w:t xml:space="preserve">UoS </w:t>
      </w:r>
      <w:r w:rsidR="00AC5A06">
        <w:t>– Network Use of System charges</w:t>
      </w:r>
    </w:p>
    <w:p w14:paraId="651F3FFB" w14:textId="77777777" w:rsidR="009D16CD" w:rsidRDefault="002E2A64" w:rsidP="00307870">
      <w:pPr>
        <w:pStyle w:val="eceee-BodyText"/>
      </w:pPr>
      <w:r w:rsidRPr="009A4175">
        <w:lastRenderedPageBreak/>
        <w:t xml:space="preserve">For Triad avoidance, the BEN heat network must be able to drop the load of the </w:t>
      </w:r>
      <w:r w:rsidR="000B27DB">
        <w:t>h</w:t>
      </w:r>
      <w:r w:rsidRPr="009A4175">
        <w:t xml:space="preserve">eat </w:t>
      </w:r>
      <w:r w:rsidR="000B27DB">
        <w:t>p</w:t>
      </w:r>
      <w:r w:rsidRPr="009A4175">
        <w:t>ump during the winter when the load across the Transmission Network is at its highest.</w:t>
      </w:r>
      <w:r>
        <w:t xml:space="preserve"> As with the STOR calculations, at this stage the aim is to model the likely total annual hours during which the BEN sys</w:t>
      </w:r>
      <w:r w:rsidR="0078441D">
        <w:t>tem can be available for capturing</w:t>
      </w:r>
      <w:r>
        <w:t xml:space="preserve"> UoS revenue. </w:t>
      </w:r>
      <w:r w:rsidRPr="009A4175">
        <w:t xml:space="preserve"> To establish a high probability of</w:t>
      </w:r>
      <w:r>
        <w:t xml:space="preserve"> </w:t>
      </w:r>
      <w:r w:rsidRPr="009A4175">
        <w:t>capturing the TNUoS bene</w:t>
      </w:r>
      <w:r>
        <w:t>f</w:t>
      </w:r>
      <w:r w:rsidRPr="009A4175">
        <w:t>it, one simple strategy is to undertake demand response from 5.30pm to 7pm</w:t>
      </w:r>
      <w:r>
        <w:t xml:space="preserve"> </w:t>
      </w:r>
      <w:r w:rsidRPr="009A4175">
        <w:t>every week day from November to February.</w:t>
      </w:r>
      <w:r>
        <w:t xml:space="preserve"> </w:t>
      </w:r>
      <w:r w:rsidRPr="009A4175">
        <w:t>For D</w:t>
      </w:r>
      <w:r w:rsidR="009D16CD">
        <w:t>N</w:t>
      </w:r>
      <w:r w:rsidRPr="009A4175">
        <w:t>UoS red-band avoidance we adopt the same approach as Triad avoidance, but use a period from 4pm to</w:t>
      </w:r>
      <w:r>
        <w:t xml:space="preserve"> </w:t>
      </w:r>
      <w:r w:rsidRPr="009A4175">
        <w:t xml:space="preserve">7pm on winter weekdays. </w:t>
      </w:r>
      <w:r w:rsidR="009D16CD" w:rsidRPr="009A4175">
        <w:t>Therefore,</w:t>
      </w:r>
      <w:r w:rsidRPr="009A4175">
        <w:t xml:space="preserve"> both D</w:t>
      </w:r>
      <w:r w:rsidR="009D16CD">
        <w:t>N</w:t>
      </w:r>
      <w:r w:rsidRPr="009A4175">
        <w:t xml:space="preserve">UoS and Triad avoidance are captured within the same </w:t>
      </w:r>
      <w:r w:rsidR="009D16CD" w:rsidRPr="009A4175">
        <w:t>three</w:t>
      </w:r>
      <w:r w:rsidR="009D16CD">
        <w:t>-hour</w:t>
      </w:r>
      <w:r w:rsidRPr="009A4175">
        <w:t xml:space="preserve"> window. The season for avoiding D</w:t>
      </w:r>
      <w:r w:rsidR="009D16CD">
        <w:t>N</w:t>
      </w:r>
      <w:r w:rsidRPr="009A4175">
        <w:t>UoS was chosen as running from November to March, to align</w:t>
      </w:r>
      <w:r>
        <w:t xml:space="preserve"> </w:t>
      </w:r>
      <w:r w:rsidRPr="009A4175">
        <w:t xml:space="preserve">with the winter heating season. </w:t>
      </w:r>
    </w:p>
    <w:p w14:paraId="7AE65B5E" w14:textId="77777777" w:rsidR="002E2A64" w:rsidRDefault="002E2A64" w:rsidP="00307870">
      <w:pPr>
        <w:pStyle w:val="eceee-BodyText"/>
      </w:pPr>
      <w:r>
        <w:t>This model assumes that a</w:t>
      </w:r>
      <w:r w:rsidRPr="009A4175">
        <w:t>t 4pm the heat-pump is switched from full load to o</w:t>
      </w:r>
      <w:r>
        <w:t>ff, then switched back to full load at</w:t>
      </w:r>
      <w:r w:rsidRPr="009A4175">
        <w:t xml:space="preserve"> 7pm</w:t>
      </w:r>
      <w:r>
        <w:t xml:space="preserve">.  From the period of 4pm to 7pm the additional heat load from the building is met firstly by discharging the </w:t>
      </w:r>
      <w:r w:rsidR="009D16CD">
        <w:t xml:space="preserve">storage </w:t>
      </w:r>
      <w:r>
        <w:t xml:space="preserve">tank (hot water stored at </w:t>
      </w:r>
      <w:r w:rsidRPr="009A4175">
        <w:t xml:space="preserve">75 </w:t>
      </w:r>
      <w:r w:rsidRPr="009A4175">
        <w:rPr>
          <w:rFonts w:ascii="Calibri" w:hAnsi="Calibri" w:cs="Calibri"/>
          <w:sz w:val="14"/>
          <w:szCs w:val="14"/>
        </w:rPr>
        <w:t>⁰</w:t>
      </w:r>
      <w:r w:rsidRPr="009A4175">
        <w:t>C</w:t>
      </w:r>
      <w:r>
        <w:t xml:space="preserve">).  If the </w:t>
      </w:r>
      <w:r w:rsidR="009D16CD">
        <w:t xml:space="preserve">storage </w:t>
      </w:r>
      <w:r>
        <w:t xml:space="preserve">tank is exhausted, then any additional load is met by the gas boilers.  After 7pm the gas boilers assist the heat pump to recharge </w:t>
      </w:r>
      <w:r w:rsidRPr="009A4175">
        <w:t xml:space="preserve">the </w:t>
      </w:r>
      <w:r w:rsidR="009D16CD">
        <w:t>storage</w:t>
      </w:r>
      <w:r w:rsidR="009D16CD" w:rsidRPr="009A4175">
        <w:t xml:space="preserve"> </w:t>
      </w:r>
      <w:r w:rsidRPr="009A4175">
        <w:t xml:space="preserve">tank back to its nominal state of 75 </w:t>
      </w:r>
      <w:r w:rsidRPr="009A4175">
        <w:rPr>
          <w:rFonts w:ascii="Calibri" w:hAnsi="Calibri" w:cs="Calibri"/>
          <w:sz w:val="14"/>
          <w:szCs w:val="14"/>
        </w:rPr>
        <w:t>⁰</w:t>
      </w:r>
      <w:r w:rsidRPr="009A4175">
        <w:t>C.</w:t>
      </w:r>
    </w:p>
    <w:p w14:paraId="724C2785" w14:textId="77777777" w:rsidR="00307870" w:rsidRDefault="002E2A64" w:rsidP="00307870">
      <w:pPr>
        <w:pStyle w:val="eceee-BodyText"/>
      </w:pPr>
      <w:r>
        <w:t>The modelling shows that for the 2014/2015 period from November to March, the Use of System charge window as discussed above covered 321 hours</w:t>
      </w:r>
      <w:r w:rsidR="00F310AF">
        <w:t xml:space="preserve">. </w:t>
      </w:r>
      <w:r>
        <w:t>The TNUoS charge for the year is based on a tariff ranging from c.</w:t>
      </w:r>
      <w:r>
        <w:rPr>
          <w:rFonts w:ascii="CMU10" w:hAnsi="CMU10" w:cs="CMU10"/>
        </w:rPr>
        <w:t>£</w:t>
      </w:r>
      <w:r>
        <w:t>40 to c.</w:t>
      </w:r>
      <w:r>
        <w:rPr>
          <w:rFonts w:ascii="CMU10" w:hAnsi="CMU10" w:cs="CMU10"/>
        </w:rPr>
        <w:t>£</w:t>
      </w:r>
      <w:r>
        <w:t>52 per kilowatt depending on location. This is multiplied by the average demand during the three Triad half-hours. Typically, the provider receives 85% of the benefit, the supplier retains 15%.  The revenue summary for both the TNUoS and DNUoS service are given in Table</w:t>
      </w:r>
      <w:r w:rsidR="0081256C">
        <w:t xml:space="preserve"> </w:t>
      </w:r>
      <w:r w:rsidR="00EB58E6">
        <w:t>5</w:t>
      </w:r>
      <w:r w:rsidR="0081256C">
        <w:t>.</w:t>
      </w:r>
      <w:r w:rsidR="00381EBA">
        <w:t xml:space="preserve">  Note that TNUoS payments are based on capacity (kW), whereas DNUoS payments are based on consumption (kWh).  Table 5 includes relevant calculation variables for each, namely the TNUoS network operator’s loss adjustment factor (line losses), while the DNUoS calculation includes the hours of provision of the service.</w:t>
      </w:r>
    </w:p>
    <w:p w14:paraId="6E951B9D" w14:textId="77777777" w:rsidR="002E2A64" w:rsidRDefault="00307870" w:rsidP="000B27DB">
      <w:pPr>
        <w:pStyle w:val="eceee-Tableheading"/>
        <w:rPr>
          <w:rFonts w:ascii="CMR10" w:hAnsi="CMR10" w:cs="CMR10"/>
        </w:rPr>
      </w:pPr>
      <w:r>
        <w:t xml:space="preserve">Table </w:t>
      </w:r>
      <w:r w:rsidR="00EB58E6">
        <w:t>5</w:t>
      </w:r>
      <w:r>
        <w:t xml:space="preserve">: </w:t>
      </w:r>
      <w:r w:rsidR="0005674E">
        <w:t>R</w:t>
      </w:r>
      <w:r w:rsidR="000B27DB">
        <w:t xml:space="preserve">evenue from </w:t>
      </w:r>
      <w:r w:rsidR="00AC5A06">
        <w:t>Use of System charges (</w:t>
      </w:r>
      <w:r w:rsidR="000B27DB">
        <w:t>UoS</w:t>
      </w:r>
      <w:r w:rsidR="00AC5A06">
        <w:t>)</w:t>
      </w:r>
    </w:p>
    <w:tbl>
      <w:tblPr>
        <w:tblW w:w="9100" w:type="dxa"/>
        <w:jc w:val="right"/>
        <w:tblBorders>
          <w:top w:val="single" w:sz="4" w:space="0" w:color="auto"/>
          <w:bottom w:val="single" w:sz="4" w:space="0" w:color="auto"/>
          <w:insideH w:val="single" w:sz="4" w:space="0" w:color="auto"/>
        </w:tblBorders>
        <w:tblLook w:val="04A0" w:firstRow="1" w:lastRow="0" w:firstColumn="1" w:lastColumn="0" w:noHBand="0" w:noVBand="1"/>
      </w:tblPr>
      <w:tblGrid>
        <w:gridCol w:w="1486"/>
        <w:gridCol w:w="1417"/>
        <w:gridCol w:w="1457"/>
        <w:gridCol w:w="1580"/>
        <w:gridCol w:w="1580"/>
        <w:gridCol w:w="1580"/>
      </w:tblGrid>
      <w:tr w:rsidR="002E2A64" w:rsidRPr="00E4675C" w14:paraId="7E5B9D5E" w14:textId="77777777" w:rsidTr="000B27DB">
        <w:trPr>
          <w:trHeight w:val="510"/>
          <w:jc w:val="right"/>
        </w:trPr>
        <w:tc>
          <w:tcPr>
            <w:tcW w:w="1486" w:type="dxa"/>
            <w:shd w:val="clear" w:color="auto" w:fill="auto"/>
            <w:vAlign w:val="center"/>
            <w:hideMark/>
          </w:tcPr>
          <w:p w14:paraId="69515171" w14:textId="77777777" w:rsidR="002E2A64" w:rsidRPr="00E4675C" w:rsidRDefault="002E2A64" w:rsidP="000B27DB">
            <w:pPr>
              <w:pStyle w:val="eceee-Tabletext"/>
              <w:rPr>
                <w:lang w:eastAsia="en-GB"/>
              </w:rPr>
            </w:pPr>
            <w:r w:rsidRPr="00E4675C">
              <w:rPr>
                <w:lang w:eastAsia="en-GB"/>
              </w:rPr>
              <w:t>Payment type</w:t>
            </w:r>
          </w:p>
        </w:tc>
        <w:tc>
          <w:tcPr>
            <w:tcW w:w="1417" w:type="dxa"/>
            <w:shd w:val="clear" w:color="auto" w:fill="auto"/>
            <w:vAlign w:val="center"/>
            <w:hideMark/>
          </w:tcPr>
          <w:p w14:paraId="6FAE3C2E" w14:textId="77777777" w:rsidR="002E2A64" w:rsidRPr="00E4675C" w:rsidRDefault="002E2A64" w:rsidP="000B27DB">
            <w:pPr>
              <w:pStyle w:val="eceee-Tabletext"/>
              <w:jc w:val="right"/>
              <w:rPr>
                <w:lang w:eastAsia="en-GB"/>
              </w:rPr>
            </w:pPr>
            <w:r w:rsidRPr="00E4675C">
              <w:rPr>
                <w:lang w:eastAsia="en-GB"/>
              </w:rPr>
              <w:t>Power Available [kW]</w:t>
            </w:r>
          </w:p>
        </w:tc>
        <w:tc>
          <w:tcPr>
            <w:tcW w:w="1457" w:type="dxa"/>
            <w:shd w:val="clear" w:color="auto" w:fill="auto"/>
            <w:vAlign w:val="center"/>
            <w:hideMark/>
          </w:tcPr>
          <w:p w14:paraId="0A47B2A4" w14:textId="77777777" w:rsidR="002E2A64" w:rsidRPr="00E4675C" w:rsidRDefault="002E2A64" w:rsidP="000B27DB">
            <w:pPr>
              <w:pStyle w:val="eceee-Tabletext"/>
              <w:jc w:val="right"/>
              <w:rPr>
                <w:lang w:eastAsia="en-GB"/>
              </w:rPr>
            </w:pPr>
            <w:r w:rsidRPr="00E4675C">
              <w:rPr>
                <w:lang w:eastAsia="en-GB"/>
              </w:rPr>
              <w:t>Rate  [£/kW]</w:t>
            </w:r>
          </w:p>
        </w:tc>
        <w:tc>
          <w:tcPr>
            <w:tcW w:w="1580" w:type="dxa"/>
            <w:shd w:val="clear" w:color="auto" w:fill="auto"/>
            <w:vAlign w:val="center"/>
            <w:hideMark/>
          </w:tcPr>
          <w:p w14:paraId="7B9CEFDA" w14:textId="77777777" w:rsidR="002E2A64" w:rsidRPr="00E4675C" w:rsidRDefault="002E2A64" w:rsidP="000B27DB">
            <w:pPr>
              <w:pStyle w:val="eceee-Tabletext"/>
              <w:jc w:val="right"/>
              <w:rPr>
                <w:lang w:eastAsia="en-GB"/>
              </w:rPr>
            </w:pPr>
            <w:r w:rsidRPr="00E4675C">
              <w:rPr>
                <w:lang w:eastAsia="en-GB"/>
              </w:rPr>
              <w:t>Line Loss Factor</w:t>
            </w:r>
          </w:p>
        </w:tc>
        <w:tc>
          <w:tcPr>
            <w:tcW w:w="1580" w:type="dxa"/>
            <w:shd w:val="clear" w:color="auto" w:fill="auto"/>
            <w:vAlign w:val="center"/>
            <w:hideMark/>
          </w:tcPr>
          <w:p w14:paraId="4EAA79D4" w14:textId="77777777" w:rsidR="002E2A64" w:rsidRPr="00E4675C" w:rsidRDefault="002E2A64" w:rsidP="000B27DB">
            <w:pPr>
              <w:pStyle w:val="eceee-Tabletext"/>
              <w:jc w:val="right"/>
              <w:rPr>
                <w:lang w:eastAsia="en-GB"/>
              </w:rPr>
            </w:pPr>
            <w:r w:rsidRPr="00E4675C">
              <w:rPr>
                <w:lang w:eastAsia="en-GB"/>
              </w:rPr>
              <w:t>Supplier retention factor</w:t>
            </w:r>
          </w:p>
        </w:tc>
        <w:tc>
          <w:tcPr>
            <w:tcW w:w="1580" w:type="dxa"/>
            <w:shd w:val="clear" w:color="auto" w:fill="auto"/>
            <w:vAlign w:val="center"/>
            <w:hideMark/>
          </w:tcPr>
          <w:p w14:paraId="7D1088C3" w14:textId="77777777" w:rsidR="002E2A64" w:rsidRPr="00E4675C" w:rsidRDefault="002E2A64" w:rsidP="000B27DB">
            <w:pPr>
              <w:pStyle w:val="eceee-Tabletext"/>
              <w:jc w:val="right"/>
              <w:rPr>
                <w:lang w:eastAsia="en-GB"/>
              </w:rPr>
            </w:pPr>
            <w:r>
              <w:rPr>
                <w:lang w:eastAsia="en-GB"/>
              </w:rPr>
              <w:t>UoS</w:t>
            </w:r>
            <w:r w:rsidRPr="00E4675C">
              <w:rPr>
                <w:lang w:eastAsia="en-GB"/>
              </w:rPr>
              <w:t xml:space="preserve"> Revenue</w:t>
            </w:r>
            <w:r w:rsidRPr="00E4675C">
              <w:rPr>
                <w:lang w:eastAsia="en-GB"/>
              </w:rPr>
              <w:br/>
            </w:r>
            <w:r w:rsidR="000B27DB">
              <w:rPr>
                <w:lang w:eastAsia="en-GB"/>
              </w:rPr>
              <w:t>[</w:t>
            </w:r>
            <w:r w:rsidRPr="00E4675C">
              <w:rPr>
                <w:lang w:eastAsia="en-GB"/>
              </w:rPr>
              <w:t>£</w:t>
            </w:r>
            <w:r w:rsidR="000B27DB">
              <w:rPr>
                <w:lang w:eastAsia="en-GB"/>
              </w:rPr>
              <w:t>]</w:t>
            </w:r>
          </w:p>
        </w:tc>
      </w:tr>
      <w:tr w:rsidR="002E2A64" w:rsidRPr="00E4675C" w14:paraId="2DCF12B3" w14:textId="77777777" w:rsidTr="000B27DB">
        <w:trPr>
          <w:trHeight w:val="285"/>
          <w:jc w:val="right"/>
        </w:trPr>
        <w:tc>
          <w:tcPr>
            <w:tcW w:w="1486" w:type="dxa"/>
            <w:shd w:val="clear" w:color="auto" w:fill="auto"/>
            <w:noWrap/>
            <w:vAlign w:val="center"/>
            <w:hideMark/>
          </w:tcPr>
          <w:p w14:paraId="1BB11B28" w14:textId="77777777" w:rsidR="002E2A64" w:rsidRPr="00E4675C" w:rsidRDefault="002E2A64" w:rsidP="000B27DB">
            <w:pPr>
              <w:pStyle w:val="eceee-Tabletext"/>
              <w:rPr>
                <w:lang w:eastAsia="en-GB"/>
              </w:rPr>
            </w:pPr>
            <w:r w:rsidRPr="00E4675C">
              <w:rPr>
                <w:lang w:eastAsia="en-GB"/>
              </w:rPr>
              <w:t>TNUoS</w:t>
            </w:r>
          </w:p>
        </w:tc>
        <w:tc>
          <w:tcPr>
            <w:tcW w:w="1417" w:type="dxa"/>
            <w:shd w:val="clear" w:color="auto" w:fill="auto"/>
            <w:vAlign w:val="center"/>
            <w:hideMark/>
          </w:tcPr>
          <w:p w14:paraId="746B98AE" w14:textId="77777777" w:rsidR="002E2A64" w:rsidRPr="00E4675C" w:rsidRDefault="002E2A64" w:rsidP="000B27DB">
            <w:pPr>
              <w:pStyle w:val="eceee-Tabletext"/>
              <w:jc w:val="right"/>
              <w:rPr>
                <w:lang w:eastAsia="en-GB"/>
              </w:rPr>
            </w:pPr>
            <w:r w:rsidRPr="00E4675C">
              <w:rPr>
                <w:lang w:eastAsia="en-GB"/>
              </w:rPr>
              <w:t>95</w:t>
            </w:r>
          </w:p>
        </w:tc>
        <w:tc>
          <w:tcPr>
            <w:tcW w:w="1457" w:type="dxa"/>
            <w:shd w:val="clear" w:color="auto" w:fill="auto"/>
            <w:vAlign w:val="center"/>
            <w:hideMark/>
          </w:tcPr>
          <w:p w14:paraId="5ECD5288" w14:textId="77777777" w:rsidR="002E2A64" w:rsidRPr="00E4675C" w:rsidRDefault="002E2A64" w:rsidP="000B27DB">
            <w:pPr>
              <w:pStyle w:val="eceee-Tabletext"/>
              <w:jc w:val="right"/>
              <w:rPr>
                <w:lang w:eastAsia="en-GB"/>
              </w:rPr>
            </w:pPr>
            <w:r w:rsidRPr="00E4675C">
              <w:rPr>
                <w:lang w:eastAsia="en-GB"/>
              </w:rPr>
              <w:t>51.87</w:t>
            </w:r>
          </w:p>
        </w:tc>
        <w:tc>
          <w:tcPr>
            <w:tcW w:w="1580" w:type="dxa"/>
            <w:shd w:val="clear" w:color="auto" w:fill="auto"/>
            <w:vAlign w:val="center"/>
            <w:hideMark/>
          </w:tcPr>
          <w:p w14:paraId="05E4070C" w14:textId="77777777" w:rsidR="002E2A64" w:rsidRPr="00E4675C" w:rsidRDefault="002E2A64" w:rsidP="000B27DB">
            <w:pPr>
              <w:pStyle w:val="eceee-Tabletext"/>
              <w:jc w:val="right"/>
              <w:rPr>
                <w:lang w:eastAsia="en-GB"/>
              </w:rPr>
            </w:pPr>
            <w:r w:rsidRPr="00E4675C">
              <w:rPr>
                <w:lang w:eastAsia="en-GB"/>
              </w:rPr>
              <w:t>1.088</w:t>
            </w:r>
          </w:p>
        </w:tc>
        <w:tc>
          <w:tcPr>
            <w:tcW w:w="1580" w:type="dxa"/>
            <w:shd w:val="clear" w:color="auto" w:fill="auto"/>
            <w:noWrap/>
            <w:vAlign w:val="center"/>
            <w:hideMark/>
          </w:tcPr>
          <w:p w14:paraId="17EF1075" w14:textId="77777777" w:rsidR="002E2A64" w:rsidRPr="00E4675C" w:rsidRDefault="002E2A64" w:rsidP="000B27DB">
            <w:pPr>
              <w:pStyle w:val="eceee-Tabletext"/>
              <w:jc w:val="right"/>
              <w:rPr>
                <w:lang w:eastAsia="en-GB"/>
              </w:rPr>
            </w:pPr>
            <w:r w:rsidRPr="00E4675C">
              <w:rPr>
                <w:lang w:eastAsia="en-GB"/>
              </w:rPr>
              <w:t>15%</w:t>
            </w:r>
          </w:p>
        </w:tc>
        <w:tc>
          <w:tcPr>
            <w:tcW w:w="1580" w:type="dxa"/>
            <w:shd w:val="clear" w:color="auto" w:fill="auto"/>
            <w:vAlign w:val="center"/>
            <w:hideMark/>
          </w:tcPr>
          <w:p w14:paraId="49571BB7" w14:textId="77777777" w:rsidR="002E2A64" w:rsidRPr="00E4675C" w:rsidRDefault="002E2A64" w:rsidP="000B27DB">
            <w:pPr>
              <w:pStyle w:val="eceee-Tabletext"/>
              <w:jc w:val="right"/>
              <w:rPr>
                <w:lang w:eastAsia="en-GB"/>
              </w:rPr>
            </w:pPr>
            <w:r w:rsidRPr="00E4675C">
              <w:rPr>
                <w:lang w:eastAsia="en-GB"/>
              </w:rPr>
              <w:t>£4,557.09</w:t>
            </w:r>
          </w:p>
        </w:tc>
      </w:tr>
      <w:tr w:rsidR="002E2A64" w:rsidRPr="00E4675C" w14:paraId="1EB75A16" w14:textId="77777777" w:rsidTr="000B27DB">
        <w:trPr>
          <w:trHeight w:val="285"/>
          <w:jc w:val="right"/>
        </w:trPr>
        <w:tc>
          <w:tcPr>
            <w:tcW w:w="9100" w:type="dxa"/>
            <w:gridSpan w:val="6"/>
            <w:shd w:val="clear" w:color="auto" w:fill="auto"/>
            <w:noWrap/>
            <w:vAlign w:val="center"/>
            <w:hideMark/>
          </w:tcPr>
          <w:p w14:paraId="7C0D20FC" w14:textId="77777777" w:rsidR="002E2A64" w:rsidRPr="00E4675C" w:rsidRDefault="002E2A64" w:rsidP="000B27DB">
            <w:pPr>
              <w:pStyle w:val="eceee-Tabletext"/>
              <w:rPr>
                <w:lang w:eastAsia="en-GB"/>
              </w:rPr>
            </w:pPr>
            <w:r w:rsidRPr="00E4675C">
              <w:rPr>
                <w:lang w:eastAsia="en-GB"/>
              </w:rPr>
              <w:t> </w:t>
            </w:r>
          </w:p>
        </w:tc>
      </w:tr>
      <w:tr w:rsidR="002E2A64" w:rsidRPr="00E4675C" w14:paraId="4A94F866" w14:textId="77777777" w:rsidTr="000B27DB">
        <w:trPr>
          <w:trHeight w:val="510"/>
          <w:jc w:val="right"/>
        </w:trPr>
        <w:tc>
          <w:tcPr>
            <w:tcW w:w="1486" w:type="dxa"/>
            <w:shd w:val="clear" w:color="auto" w:fill="auto"/>
            <w:vAlign w:val="center"/>
            <w:hideMark/>
          </w:tcPr>
          <w:p w14:paraId="7B07BF40" w14:textId="77777777" w:rsidR="002E2A64" w:rsidRPr="00E4675C" w:rsidRDefault="002E2A64" w:rsidP="000B27DB">
            <w:pPr>
              <w:pStyle w:val="eceee-Tabletext"/>
              <w:rPr>
                <w:lang w:eastAsia="en-GB"/>
              </w:rPr>
            </w:pPr>
            <w:r w:rsidRPr="00E4675C">
              <w:rPr>
                <w:lang w:eastAsia="en-GB"/>
              </w:rPr>
              <w:t>Payment type</w:t>
            </w:r>
          </w:p>
        </w:tc>
        <w:tc>
          <w:tcPr>
            <w:tcW w:w="1417" w:type="dxa"/>
            <w:shd w:val="clear" w:color="auto" w:fill="auto"/>
            <w:vAlign w:val="center"/>
            <w:hideMark/>
          </w:tcPr>
          <w:p w14:paraId="73410278" w14:textId="77777777" w:rsidR="002E2A64" w:rsidRPr="00E4675C" w:rsidRDefault="002E2A64" w:rsidP="000B27DB">
            <w:pPr>
              <w:pStyle w:val="eceee-Tabletext"/>
              <w:jc w:val="right"/>
              <w:rPr>
                <w:lang w:eastAsia="en-GB"/>
              </w:rPr>
            </w:pPr>
            <w:r w:rsidRPr="00E4675C">
              <w:rPr>
                <w:lang w:eastAsia="en-GB"/>
              </w:rPr>
              <w:t>Power Available [kW]</w:t>
            </w:r>
          </w:p>
        </w:tc>
        <w:tc>
          <w:tcPr>
            <w:tcW w:w="1457" w:type="dxa"/>
            <w:shd w:val="clear" w:color="auto" w:fill="auto"/>
            <w:vAlign w:val="center"/>
            <w:hideMark/>
          </w:tcPr>
          <w:p w14:paraId="20089820" w14:textId="77777777" w:rsidR="002E2A64" w:rsidRPr="00E4675C" w:rsidRDefault="002E2A64" w:rsidP="000B27DB">
            <w:pPr>
              <w:pStyle w:val="eceee-Tabletext"/>
              <w:jc w:val="right"/>
              <w:rPr>
                <w:lang w:eastAsia="en-GB"/>
              </w:rPr>
            </w:pPr>
            <w:r w:rsidRPr="00E4675C">
              <w:rPr>
                <w:lang w:eastAsia="en-GB"/>
              </w:rPr>
              <w:t>Rate  [p/kWh]</w:t>
            </w:r>
          </w:p>
        </w:tc>
        <w:tc>
          <w:tcPr>
            <w:tcW w:w="1580" w:type="dxa"/>
            <w:shd w:val="clear" w:color="auto" w:fill="auto"/>
            <w:vAlign w:val="center"/>
            <w:hideMark/>
          </w:tcPr>
          <w:p w14:paraId="04C0D813" w14:textId="77777777" w:rsidR="002E2A64" w:rsidRPr="00E4675C" w:rsidRDefault="002E2A64" w:rsidP="000B27DB">
            <w:pPr>
              <w:pStyle w:val="eceee-Tabletext"/>
              <w:jc w:val="right"/>
              <w:rPr>
                <w:lang w:eastAsia="en-GB"/>
              </w:rPr>
            </w:pPr>
            <w:r w:rsidRPr="00E4675C">
              <w:rPr>
                <w:lang w:eastAsia="en-GB"/>
              </w:rPr>
              <w:t>Hours</w:t>
            </w:r>
          </w:p>
        </w:tc>
        <w:tc>
          <w:tcPr>
            <w:tcW w:w="1580" w:type="dxa"/>
            <w:shd w:val="clear" w:color="auto" w:fill="auto"/>
            <w:vAlign w:val="center"/>
            <w:hideMark/>
          </w:tcPr>
          <w:p w14:paraId="752DF936" w14:textId="77777777" w:rsidR="002E2A64" w:rsidRPr="00E4675C" w:rsidRDefault="002E2A64" w:rsidP="000B27DB">
            <w:pPr>
              <w:pStyle w:val="eceee-Tabletext"/>
              <w:jc w:val="right"/>
              <w:rPr>
                <w:lang w:eastAsia="en-GB"/>
              </w:rPr>
            </w:pPr>
            <w:r w:rsidRPr="00E4675C">
              <w:rPr>
                <w:lang w:eastAsia="en-GB"/>
              </w:rPr>
              <w:t>Supplier retention factor</w:t>
            </w:r>
          </w:p>
        </w:tc>
        <w:tc>
          <w:tcPr>
            <w:tcW w:w="1580" w:type="dxa"/>
            <w:shd w:val="clear" w:color="auto" w:fill="auto"/>
            <w:vAlign w:val="center"/>
            <w:hideMark/>
          </w:tcPr>
          <w:p w14:paraId="7FBE822D" w14:textId="77777777" w:rsidR="002E2A64" w:rsidRPr="00E4675C" w:rsidRDefault="002E2A64" w:rsidP="000B27DB">
            <w:pPr>
              <w:pStyle w:val="eceee-Tabletext"/>
              <w:jc w:val="right"/>
              <w:rPr>
                <w:lang w:eastAsia="en-GB"/>
              </w:rPr>
            </w:pPr>
            <w:r>
              <w:rPr>
                <w:lang w:eastAsia="en-GB"/>
              </w:rPr>
              <w:t>UoS</w:t>
            </w:r>
            <w:r w:rsidRPr="00E4675C">
              <w:rPr>
                <w:lang w:eastAsia="en-GB"/>
              </w:rPr>
              <w:t xml:space="preserve"> Revenue</w:t>
            </w:r>
            <w:r w:rsidRPr="00E4675C">
              <w:rPr>
                <w:lang w:eastAsia="en-GB"/>
              </w:rPr>
              <w:br/>
            </w:r>
            <w:r w:rsidR="00554F2E">
              <w:rPr>
                <w:lang w:eastAsia="en-GB"/>
              </w:rPr>
              <w:t>[</w:t>
            </w:r>
            <w:r w:rsidRPr="00E4675C">
              <w:rPr>
                <w:lang w:eastAsia="en-GB"/>
              </w:rPr>
              <w:t>£</w:t>
            </w:r>
            <w:r w:rsidR="00554F2E">
              <w:rPr>
                <w:lang w:eastAsia="en-GB"/>
              </w:rPr>
              <w:t>]</w:t>
            </w:r>
          </w:p>
        </w:tc>
      </w:tr>
      <w:tr w:rsidR="002E2A64" w:rsidRPr="00E4675C" w14:paraId="31545A28" w14:textId="77777777" w:rsidTr="000B27DB">
        <w:trPr>
          <w:trHeight w:val="285"/>
          <w:jc w:val="right"/>
        </w:trPr>
        <w:tc>
          <w:tcPr>
            <w:tcW w:w="1486" w:type="dxa"/>
            <w:shd w:val="clear" w:color="auto" w:fill="auto"/>
            <w:noWrap/>
            <w:vAlign w:val="center"/>
            <w:hideMark/>
          </w:tcPr>
          <w:p w14:paraId="500A4B3A" w14:textId="77777777" w:rsidR="002E2A64" w:rsidRPr="00E4675C" w:rsidRDefault="002E2A64" w:rsidP="000B27DB">
            <w:pPr>
              <w:pStyle w:val="eceee-Tabletext"/>
              <w:rPr>
                <w:lang w:eastAsia="en-GB"/>
              </w:rPr>
            </w:pPr>
            <w:r w:rsidRPr="00E4675C">
              <w:rPr>
                <w:lang w:eastAsia="en-GB"/>
              </w:rPr>
              <w:t>DNUoS</w:t>
            </w:r>
          </w:p>
        </w:tc>
        <w:tc>
          <w:tcPr>
            <w:tcW w:w="1417" w:type="dxa"/>
            <w:shd w:val="clear" w:color="auto" w:fill="auto"/>
            <w:vAlign w:val="center"/>
            <w:hideMark/>
          </w:tcPr>
          <w:p w14:paraId="35F4D8AC" w14:textId="77777777" w:rsidR="002E2A64" w:rsidRPr="00E4675C" w:rsidRDefault="002E2A64" w:rsidP="000B27DB">
            <w:pPr>
              <w:pStyle w:val="eceee-Tabletext"/>
              <w:jc w:val="right"/>
              <w:rPr>
                <w:lang w:eastAsia="en-GB"/>
              </w:rPr>
            </w:pPr>
            <w:r w:rsidRPr="00E4675C">
              <w:rPr>
                <w:lang w:eastAsia="en-GB"/>
              </w:rPr>
              <w:t>95</w:t>
            </w:r>
          </w:p>
        </w:tc>
        <w:tc>
          <w:tcPr>
            <w:tcW w:w="1457" w:type="dxa"/>
            <w:shd w:val="clear" w:color="auto" w:fill="auto"/>
            <w:vAlign w:val="center"/>
            <w:hideMark/>
          </w:tcPr>
          <w:p w14:paraId="0D2907D8" w14:textId="77777777" w:rsidR="002E2A64" w:rsidRPr="00E4675C" w:rsidRDefault="002E2A64" w:rsidP="000B27DB">
            <w:pPr>
              <w:pStyle w:val="eceee-Tabletext"/>
              <w:jc w:val="right"/>
              <w:rPr>
                <w:lang w:eastAsia="en-GB"/>
              </w:rPr>
            </w:pPr>
            <w:r w:rsidRPr="00E4675C">
              <w:rPr>
                <w:lang w:eastAsia="en-GB"/>
              </w:rPr>
              <w:t>10.976</w:t>
            </w:r>
          </w:p>
        </w:tc>
        <w:tc>
          <w:tcPr>
            <w:tcW w:w="1580" w:type="dxa"/>
            <w:shd w:val="clear" w:color="auto" w:fill="auto"/>
            <w:vAlign w:val="center"/>
            <w:hideMark/>
          </w:tcPr>
          <w:p w14:paraId="7A1E9646" w14:textId="77777777" w:rsidR="002E2A64" w:rsidRPr="00E4675C" w:rsidRDefault="002E2A64" w:rsidP="000B27DB">
            <w:pPr>
              <w:pStyle w:val="eceee-Tabletext"/>
              <w:jc w:val="right"/>
              <w:rPr>
                <w:lang w:eastAsia="en-GB"/>
              </w:rPr>
            </w:pPr>
            <w:r w:rsidRPr="00E4675C">
              <w:rPr>
                <w:lang w:eastAsia="en-GB"/>
              </w:rPr>
              <w:t>321</w:t>
            </w:r>
          </w:p>
        </w:tc>
        <w:tc>
          <w:tcPr>
            <w:tcW w:w="1580" w:type="dxa"/>
            <w:shd w:val="clear" w:color="auto" w:fill="auto"/>
            <w:noWrap/>
            <w:vAlign w:val="center"/>
            <w:hideMark/>
          </w:tcPr>
          <w:p w14:paraId="0277ED1A" w14:textId="77777777" w:rsidR="002E2A64" w:rsidRPr="00E4675C" w:rsidRDefault="002E2A64" w:rsidP="000B27DB">
            <w:pPr>
              <w:pStyle w:val="eceee-Tabletext"/>
              <w:jc w:val="right"/>
              <w:rPr>
                <w:lang w:eastAsia="en-GB"/>
              </w:rPr>
            </w:pPr>
            <w:r w:rsidRPr="00E4675C">
              <w:rPr>
                <w:lang w:eastAsia="en-GB"/>
              </w:rPr>
              <w:t>15%</w:t>
            </w:r>
          </w:p>
        </w:tc>
        <w:tc>
          <w:tcPr>
            <w:tcW w:w="1580" w:type="dxa"/>
            <w:shd w:val="clear" w:color="auto" w:fill="auto"/>
            <w:vAlign w:val="center"/>
            <w:hideMark/>
          </w:tcPr>
          <w:p w14:paraId="4DCFA0B0" w14:textId="77777777" w:rsidR="002E2A64" w:rsidRPr="00E4675C" w:rsidRDefault="002E2A64" w:rsidP="000B27DB">
            <w:pPr>
              <w:pStyle w:val="eceee-Tabletext"/>
              <w:jc w:val="right"/>
              <w:rPr>
                <w:lang w:eastAsia="en-GB"/>
              </w:rPr>
            </w:pPr>
            <w:r w:rsidRPr="00E4675C">
              <w:rPr>
                <w:lang w:eastAsia="en-GB"/>
              </w:rPr>
              <w:t>£2,816.61</w:t>
            </w:r>
          </w:p>
        </w:tc>
      </w:tr>
      <w:tr w:rsidR="002E2A64" w:rsidRPr="00E4675C" w14:paraId="54EA01EF" w14:textId="77777777" w:rsidTr="000B27DB">
        <w:trPr>
          <w:trHeight w:val="285"/>
          <w:jc w:val="right"/>
        </w:trPr>
        <w:tc>
          <w:tcPr>
            <w:tcW w:w="7520" w:type="dxa"/>
            <w:gridSpan w:val="5"/>
            <w:shd w:val="clear" w:color="auto" w:fill="auto"/>
            <w:noWrap/>
            <w:vAlign w:val="center"/>
            <w:hideMark/>
          </w:tcPr>
          <w:p w14:paraId="0C136F53" w14:textId="77777777" w:rsidR="002E2A64" w:rsidRPr="00E4675C" w:rsidRDefault="002E2A64" w:rsidP="000B27DB">
            <w:pPr>
              <w:pStyle w:val="eceee-Tabletext"/>
              <w:jc w:val="right"/>
              <w:rPr>
                <w:lang w:eastAsia="en-GB"/>
              </w:rPr>
            </w:pPr>
            <w:r w:rsidRPr="00E4675C">
              <w:rPr>
                <w:lang w:eastAsia="en-GB"/>
              </w:rPr>
              <w:t>Total Annual STOR revenue</w:t>
            </w:r>
          </w:p>
        </w:tc>
        <w:tc>
          <w:tcPr>
            <w:tcW w:w="1580" w:type="dxa"/>
            <w:shd w:val="clear" w:color="auto" w:fill="auto"/>
            <w:noWrap/>
            <w:vAlign w:val="center"/>
            <w:hideMark/>
          </w:tcPr>
          <w:p w14:paraId="60A27EDE" w14:textId="77777777" w:rsidR="002E2A64" w:rsidRPr="00E4675C" w:rsidRDefault="002E2A64" w:rsidP="000B27DB">
            <w:pPr>
              <w:pStyle w:val="eceee-Tabletext"/>
              <w:jc w:val="right"/>
              <w:rPr>
                <w:lang w:eastAsia="en-GB"/>
              </w:rPr>
            </w:pPr>
            <w:r w:rsidRPr="00E4675C">
              <w:rPr>
                <w:lang w:eastAsia="en-GB"/>
              </w:rPr>
              <w:t>£7,373.70</w:t>
            </w:r>
          </w:p>
        </w:tc>
      </w:tr>
    </w:tbl>
    <w:p w14:paraId="30590E42" w14:textId="77777777" w:rsidR="002E2A64" w:rsidRDefault="00FB388C" w:rsidP="009D16CD">
      <w:pPr>
        <w:pStyle w:val="Heading2"/>
      </w:pPr>
      <w:r>
        <w:t>Combining FFR, STOR and UoS</w:t>
      </w:r>
      <w:r w:rsidR="00E31D81">
        <w:t xml:space="preserve"> services</w:t>
      </w:r>
    </w:p>
    <w:p w14:paraId="6384CB0C" w14:textId="77777777" w:rsidR="00125216" w:rsidRDefault="002E2A64" w:rsidP="00307870">
      <w:pPr>
        <w:pStyle w:val="eceee-BodyText"/>
      </w:pPr>
      <w:r>
        <w:t xml:space="preserve">The previous sections have shown how each DSR service can </w:t>
      </w:r>
      <w:r w:rsidR="000B27DB">
        <w:t>generate revenue</w:t>
      </w:r>
      <w:r>
        <w:t xml:space="preserve"> for th</w:t>
      </w:r>
      <w:r w:rsidR="000B27DB">
        <w:t>e BEN heat network individually</w:t>
      </w:r>
      <w:r>
        <w:t xml:space="preserve">.  Because the FFR, STOR, and UoS events </w:t>
      </w:r>
      <w:r w:rsidR="005F08C2">
        <w:t>may occur at different times</w:t>
      </w:r>
      <w:r w:rsidR="00554F2E">
        <w:t>, there is potential to utilise more than one throughout the day</w:t>
      </w:r>
      <w:r>
        <w:t xml:space="preserve">.  </w:t>
      </w:r>
      <w:r w:rsidR="00390897">
        <w:t>A stacking</w:t>
      </w:r>
      <w:commentRangeStart w:id="12"/>
      <w:r w:rsidR="00F02541">
        <w:t xml:space="preserve"> algorithm was used to determine the sequencing of the three DSR services in order to maximise revenue.</w:t>
      </w:r>
      <w:r w:rsidR="005F08C2">
        <w:t xml:space="preserve"> </w:t>
      </w:r>
      <w:commentRangeEnd w:id="12"/>
      <w:r w:rsidR="00285751">
        <w:rPr>
          <w:rStyle w:val="CommentReference"/>
        </w:rPr>
        <w:commentReference w:id="12"/>
      </w:r>
      <w:r w:rsidR="00390897">
        <w:t xml:space="preserve"> For each half hourly interval, the stacking algorithm decided which of the three DSR services was available, and which would offer the highest value payment for that half hour. The cost of delivering the DSR service is constant across all scenarios and thus not included in the algorithm.</w:t>
      </w:r>
    </w:p>
    <w:p w14:paraId="786E79BA" w14:textId="77777777" w:rsidR="00E5059D" w:rsidRDefault="00390897" w:rsidP="00307870">
      <w:pPr>
        <w:pStyle w:val="eceee-BodyText"/>
      </w:pPr>
      <w:r>
        <w:t xml:space="preserve">In order to determine which DSR revenue stream to utilise in a given half hourly interval, </w:t>
      </w:r>
      <w:r w:rsidR="00125216">
        <w:t>the model require</w:t>
      </w:r>
      <w:r>
        <w:t>d</w:t>
      </w:r>
      <w:r w:rsidR="00125216">
        <w:t xml:space="preserve"> detailed pricing information for the service windows offered by National Grid</w:t>
      </w:r>
      <w:r w:rsidR="005F08C2">
        <w:t xml:space="preserve"> </w:t>
      </w:r>
      <w:r w:rsidR="00125216">
        <w:t xml:space="preserve">for each month.  These vary for each type of DSR service.  </w:t>
      </w:r>
    </w:p>
    <w:p w14:paraId="4140C3C4" w14:textId="77777777" w:rsidR="00125216" w:rsidRDefault="00125216" w:rsidP="00307870">
      <w:pPr>
        <w:pStyle w:val="eceee-BodyText"/>
      </w:pPr>
      <w:r>
        <w:t>The pricing methods for each individual DRS stream given in Tables 3, 4, and 5, were therefore placed alongside the National Grid service schedule for each half hourly interval throughout the year.  UoS is always the highest</w:t>
      </w:r>
      <w:r w:rsidR="00F02541">
        <w:t xml:space="preserve"> of the three</w:t>
      </w:r>
      <w:r>
        <w:t xml:space="preserve"> revenue service</w:t>
      </w:r>
      <w:r w:rsidR="00F02541">
        <w:t>s</w:t>
      </w:r>
      <w:r>
        <w:t xml:space="preserve">.  </w:t>
      </w:r>
      <w:r w:rsidR="00F02541">
        <w:t>Therefore,</w:t>
      </w:r>
      <w:r>
        <w:t xml:space="preserve"> if UoS services were available, this was given priority, followed by STOR, and finally FFR.</w:t>
      </w:r>
    </w:p>
    <w:p w14:paraId="6CA2FEF5" w14:textId="77777777" w:rsidR="002E2A64" w:rsidRDefault="002E2A64" w:rsidP="00307870">
      <w:pPr>
        <w:pStyle w:val="eceee-BodyText"/>
      </w:pPr>
      <w:r>
        <w:t xml:space="preserve">Figure </w:t>
      </w:r>
      <w:r w:rsidR="000B27DB">
        <w:t>5</w:t>
      </w:r>
      <w:r>
        <w:t xml:space="preserve"> shows how the</w:t>
      </w:r>
      <w:r w:rsidR="00F02541">
        <w:t xml:space="preserve"> </w:t>
      </w:r>
      <w:r>
        <w:t xml:space="preserve">different DSR </w:t>
      </w:r>
      <w:r w:rsidR="00554F2E">
        <w:t>schedules throughout the year</w:t>
      </w:r>
      <w:r>
        <w:t xml:space="preserve">.  The x-axis gives days, and the y-axis gives half-hourly intervals through each individual day.  </w:t>
      </w:r>
      <w:r w:rsidR="00F324C7">
        <w:t>White</w:t>
      </w:r>
      <w:r>
        <w:t xml:space="preserve"> spaces show times in which the given DSR service is not </w:t>
      </w:r>
      <w:r w:rsidR="00554F2E">
        <w:t>provided</w:t>
      </w:r>
      <w:r>
        <w:t xml:space="preserve"> and </w:t>
      </w:r>
      <w:r w:rsidR="00F324C7">
        <w:t>black</w:t>
      </w:r>
      <w:r>
        <w:t xml:space="preserve"> shows times in which the DSR service is </w:t>
      </w:r>
      <w:r w:rsidR="005F08C2">
        <w:t>provid</w:t>
      </w:r>
      <w:r>
        <w:t xml:space="preserve">ed.  </w:t>
      </w:r>
    </w:p>
    <w:p w14:paraId="441BE528" w14:textId="77777777" w:rsidR="00F324C7" w:rsidRDefault="00B51C07" w:rsidP="002E2A64">
      <w:pPr>
        <w:rPr>
          <w:noProof/>
          <w:lang w:eastAsia="en-GB"/>
        </w:rPr>
      </w:pPr>
      <w:r>
        <w:rPr>
          <w:noProof/>
          <w:lang w:eastAsia="en-GB"/>
        </w:rPr>
        <w:lastRenderedPageBreak/>
        <w:drawing>
          <wp:inline distT="0" distB="0" distL="0" distR="0" wp14:anchorId="01539DDF" wp14:editId="7FDC1DAC">
            <wp:extent cx="4678045" cy="45929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045" cy="4592955"/>
                    </a:xfrm>
                    <a:prstGeom prst="rect">
                      <a:avLst/>
                    </a:prstGeom>
                    <a:noFill/>
                    <a:ln>
                      <a:noFill/>
                    </a:ln>
                  </pic:spPr>
                </pic:pic>
              </a:graphicData>
            </a:graphic>
          </wp:inline>
        </w:drawing>
      </w:r>
    </w:p>
    <w:p w14:paraId="7D32F596" w14:textId="77777777" w:rsidR="00307870" w:rsidRDefault="00307870" w:rsidP="00307870">
      <w:pPr>
        <w:pStyle w:val="eceee-Figurecaption"/>
      </w:pPr>
      <w:r>
        <w:rPr>
          <w:noProof/>
          <w:lang w:eastAsia="en-GB"/>
        </w:rPr>
        <w:t xml:space="preserve">Figure 5: </w:t>
      </w:r>
      <w:r w:rsidR="0078441D">
        <w:rPr>
          <w:noProof/>
          <w:lang w:eastAsia="en-GB"/>
        </w:rPr>
        <w:t xml:space="preserve">Individual </w:t>
      </w:r>
      <w:r w:rsidR="000B27DB">
        <w:rPr>
          <w:noProof/>
          <w:lang w:eastAsia="en-GB"/>
        </w:rPr>
        <w:t>annual s</w:t>
      </w:r>
      <w:r>
        <w:rPr>
          <w:noProof/>
          <w:lang w:eastAsia="en-GB"/>
        </w:rPr>
        <w:t xml:space="preserve">evice schedule </w:t>
      </w:r>
      <w:r w:rsidR="000B27DB">
        <w:rPr>
          <w:noProof/>
          <w:lang w:eastAsia="en-GB"/>
        </w:rPr>
        <w:t>for FFR, STOR and UoS services</w:t>
      </w:r>
      <w:r w:rsidR="00F02541" w:rsidRPr="00F02541">
        <w:t xml:space="preserve"> </w:t>
      </w:r>
      <w:r w:rsidR="00F02541">
        <w:t>(black is DSR availability).</w:t>
      </w:r>
    </w:p>
    <w:p w14:paraId="27047554" w14:textId="77777777" w:rsidR="00F324C7" w:rsidRDefault="00B51C07" w:rsidP="002E2A64">
      <w:r>
        <w:rPr>
          <w:noProof/>
          <w:lang w:eastAsia="en-GB"/>
        </w:rPr>
        <w:drawing>
          <wp:inline distT="0" distB="0" distL="0" distR="0" wp14:anchorId="3A6B4006" wp14:editId="3F83E63E">
            <wp:extent cx="2817495" cy="256222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7495" cy="2562225"/>
                    </a:xfrm>
                    <a:prstGeom prst="rect">
                      <a:avLst/>
                    </a:prstGeom>
                    <a:noFill/>
                    <a:ln>
                      <a:noFill/>
                    </a:ln>
                  </pic:spPr>
                </pic:pic>
              </a:graphicData>
            </a:graphic>
          </wp:inline>
        </w:drawing>
      </w:r>
    </w:p>
    <w:p w14:paraId="7115D87A" w14:textId="77777777" w:rsidR="0078441D" w:rsidRDefault="0078441D" w:rsidP="00F02541">
      <w:pPr>
        <w:pStyle w:val="eceee-Figurecaption"/>
      </w:pPr>
      <w:r>
        <w:t>Figure 6: Combined FFR, STOR, and UoS revenue streams</w:t>
      </w:r>
      <w:r w:rsidR="00F02541">
        <w:t xml:space="preserve"> (black is DSR availability).</w:t>
      </w:r>
    </w:p>
    <w:p w14:paraId="6E1EACAA" w14:textId="77777777" w:rsidR="00554F2E" w:rsidRDefault="00554F2E" w:rsidP="00554F2E">
      <w:pPr>
        <w:pStyle w:val="eceee-BodyText"/>
        <w:rPr>
          <w:noProof/>
          <w:lang w:eastAsia="en-GB"/>
        </w:rPr>
      </w:pPr>
      <w:r>
        <w:t xml:space="preserve">Figure 6 shows the four images in Figure 5 superimposed on one another.  This gives the optimised stacked schedule for all three services in combination cover the entire year except for the summer period in which the heating system is turned off altogether. </w:t>
      </w:r>
    </w:p>
    <w:p w14:paraId="29D2E8C6" w14:textId="77777777" w:rsidR="00307870" w:rsidRDefault="002E2A64" w:rsidP="002E2A64">
      <w:r>
        <w:t xml:space="preserve">The gross revenue from these stacked services is summarised in Table </w:t>
      </w:r>
      <w:r w:rsidR="00EB58E6">
        <w:t>6</w:t>
      </w:r>
      <w:r w:rsidR="000B27DB">
        <w:t xml:space="preserve">. </w:t>
      </w:r>
      <w:r w:rsidR="000B27DB" w:rsidRPr="00296285">
        <w:t>However, note that this represents the gross total of the combined services</w:t>
      </w:r>
      <w:r w:rsidR="000B27DB">
        <w:t>.</w:t>
      </w:r>
    </w:p>
    <w:p w14:paraId="1B38C6E1" w14:textId="77777777" w:rsidR="00307870" w:rsidRDefault="00307870" w:rsidP="00307870">
      <w:pPr>
        <w:pStyle w:val="eceee-Tableheading"/>
      </w:pPr>
      <w:r>
        <w:t xml:space="preserve">Table </w:t>
      </w:r>
      <w:r w:rsidR="00EB58E6">
        <w:t>6</w:t>
      </w:r>
      <w:r>
        <w:t>: Gross results</w:t>
      </w:r>
    </w:p>
    <w:tbl>
      <w:tblPr>
        <w:tblW w:w="4268"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709"/>
        <w:gridCol w:w="1559"/>
      </w:tblGrid>
      <w:tr w:rsidR="002E2A64" w:rsidRPr="000B27DB" w14:paraId="64FD55DE" w14:textId="77777777" w:rsidTr="000B27DB">
        <w:trPr>
          <w:trHeight w:val="285"/>
        </w:trPr>
        <w:tc>
          <w:tcPr>
            <w:tcW w:w="2709" w:type="dxa"/>
            <w:shd w:val="clear" w:color="auto" w:fill="auto"/>
            <w:noWrap/>
            <w:vAlign w:val="center"/>
            <w:hideMark/>
          </w:tcPr>
          <w:p w14:paraId="6C325C22" w14:textId="77777777" w:rsidR="002E2A64" w:rsidRPr="000B27DB" w:rsidRDefault="002E2A64" w:rsidP="000B27DB">
            <w:pPr>
              <w:pStyle w:val="eceee-Tabletext"/>
            </w:pPr>
            <w:r w:rsidRPr="000B27DB">
              <w:lastRenderedPageBreak/>
              <w:t> </w:t>
            </w:r>
          </w:p>
        </w:tc>
        <w:tc>
          <w:tcPr>
            <w:tcW w:w="1559" w:type="dxa"/>
            <w:shd w:val="clear" w:color="auto" w:fill="auto"/>
            <w:noWrap/>
            <w:vAlign w:val="center"/>
            <w:hideMark/>
          </w:tcPr>
          <w:p w14:paraId="63057F9B" w14:textId="77777777" w:rsidR="002E2A64" w:rsidRPr="000B27DB" w:rsidRDefault="002E2A64" w:rsidP="000B27DB">
            <w:pPr>
              <w:pStyle w:val="eceee-Tabletext"/>
              <w:jc w:val="right"/>
            </w:pPr>
            <w:r w:rsidRPr="000B27DB">
              <w:t>Service Revenue</w:t>
            </w:r>
          </w:p>
        </w:tc>
      </w:tr>
      <w:tr w:rsidR="002E2A64" w:rsidRPr="000B27DB" w14:paraId="26BF727A" w14:textId="77777777" w:rsidTr="00DB5D17">
        <w:trPr>
          <w:trHeight w:val="285"/>
        </w:trPr>
        <w:tc>
          <w:tcPr>
            <w:tcW w:w="2709" w:type="dxa"/>
            <w:tcBorders>
              <w:bottom w:val="nil"/>
            </w:tcBorders>
            <w:shd w:val="clear" w:color="auto" w:fill="auto"/>
            <w:noWrap/>
            <w:vAlign w:val="center"/>
            <w:hideMark/>
          </w:tcPr>
          <w:p w14:paraId="65D40973" w14:textId="77777777" w:rsidR="002E2A64" w:rsidRPr="000B27DB" w:rsidRDefault="002E2A64" w:rsidP="000B27DB">
            <w:pPr>
              <w:pStyle w:val="eceee-Tabletext"/>
            </w:pPr>
            <w:r w:rsidRPr="000B27DB">
              <w:t>FR (night)</w:t>
            </w:r>
          </w:p>
        </w:tc>
        <w:tc>
          <w:tcPr>
            <w:tcW w:w="1559" w:type="dxa"/>
            <w:tcBorders>
              <w:bottom w:val="nil"/>
            </w:tcBorders>
            <w:shd w:val="clear" w:color="auto" w:fill="auto"/>
            <w:noWrap/>
            <w:vAlign w:val="center"/>
            <w:hideMark/>
          </w:tcPr>
          <w:p w14:paraId="127B7EE2" w14:textId="77777777" w:rsidR="002E2A64" w:rsidRPr="000B27DB" w:rsidRDefault="002E2A64" w:rsidP="000B27DB">
            <w:pPr>
              <w:pStyle w:val="eceee-Tabletext"/>
              <w:jc w:val="right"/>
            </w:pPr>
            <w:r w:rsidRPr="000B27DB">
              <w:t>£788</w:t>
            </w:r>
          </w:p>
        </w:tc>
      </w:tr>
      <w:tr w:rsidR="002E2A64" w:rsidRPr="000B27DB" w14:paraId="53560A48" w14:textId="77777777" w:rsidTr="00DB5D17">
        <w:trPr>
          <w:trHeight w:val="285"/>
        </w:trPr>
        <w:tc>
          <w:tcPr>
            <w:tcW w:w="2709" w:type="dxa"/>
            <w:tcBorders>
              <w:top w:val="nil"/>
              <w:bottom w:val="nil"/>
            </w:tcBorders>
            <w:shd w:val="clear" w:color="auto" w:fill="auto"/>
            <w:noWrap/>
            <w:vAlign w:val="center"/>
            <w:hideMark/>
          </w:tcPr>
          <w:p w14:paraId="19978C03" w14:textId="77777777" w:rsidR="002E2A64" w:rsidRPr="000B27DB" w:rsidRDefault="002E2A64" w:rsidP="000B27DB">
            <w:pPr>
              <w:pStyle w:val="eceee-Tabletext"/>
            </w:pPr>
            <w:r w:rsidRPr="000B27DB">
              <w:t>FR (day)</w:t>
            </w:r>
          </w:p>
        </w:tc>
        <w:tc>
          <w:tcPr>
            <w:tcW w:w="1559" w:type="dxa"/>
            <w:tcBorders>
              <w:top w:val="nil"/>
              <w:bottom w:val="nil"/>
            </w:tcBorders>
            <w:shd w:val="clear" w:color="auto" w:fill="auto"/>
            <w:noWrap/>
            <w:vAlign w:val="center"/>
            <w:hideMark/>
          </w:tcPr>
          <w:p w14:paraId="65E312D3" w14:textId="77777777" w:rsidR="002E2A64" w:rsidRPr="000B27DB" w:rsidRDefault="002E2A64" w:rsidP="000B27DB">
            <w:pPr>
              <w:pStyle w:val="eceee-Tabletext"/>
              <w:jc w:val="right"/>
            </w:pPr>
            <w:r w:rsidRPr="000B27DB">
              <w:t>£1,170</w:t>
            </w:r>
          </w:p>
        </w:tc>
      </w:tr>
      <w:tr w:rsidR="002E2A64" w:rsidRPr="000B27DB" w14:paraId="75A84D25" w14:textId="77777777" w:rsidTr="00DB5D17">
        <w:trPr>
          <w:trHeight w:val="285"/>
        </w:trPr>
        <w:tc>
          <w:tcPr>
            <w:tcW w:w="2709" w:type="dxa"/>
            <w:tcBorders>
              <w:top w:val="nil"/>
              <w:bottom w:val="nil"/>
            </w:tcBorders>
            <w:shd w:val="clear" w:color="auto" w:fill="auto"/>
            <w:noWrap/>
            <w:vAlign w:val="center"/>
            <w:hideMark/>
          </w:tcPr>
          <w:p w14:paraId="26D55FFF" w14:textId="77777777" w:rsidR="002E2A64" w:rsidRPr="000B27DB" w:rsidRDefault="002E2A64" w:rsidP="000B27DB">
            <w:pPr>
              <w:pStyle w:val="eceee-Tabletext"/>
            </w:pPr>
            <w:r w:rsidRPr="000B27DB">
              <w:t>STOR</w:t>
            </w:r>
          </w:p>
        </w:tc>
        <w:tc>
          <w:tcPr>
            <w:tcW w:w="1559" w:type="dxa"/>
            <w:tcBorders>
              <w:top w:val="nil"/>
              <w:bottom w:val="nil"/>
            </w:tcBorders>
            <w:shd w:val="clear" w:color="auto" w:fill="auto"/>
            <w:noWrap/>
            <w:vAlign w:val="center"/>
            <w:hideMark/>
          </w:tcPr>
          <w:p w14:paraId="62D08C6E" w14:textId="77777777" w:rsidR="002E2A64" w:rsidRPr="000B27DB" w:rsidRDefault="002E2A64" w:rsidP="000B27DB">
            <w:pPr>
              <w:pStyle w:val="eceee-Tabletext"/>
              <w:jc w:val="right"/>
            </w:pPr>
            <w:r w:rsidRPr="000B27DB">
              <w:t>£1,600</w:t>
            </w:r>
          </w:p>
        </w:tc>
      </w:tr>
      <w:tr w:rsidR="002E2A64" w:rsidRPr="000B27DB" w14:paraId="6526967C" w14:textId="77777777" w:rsidTr="00DB5D17">
        <w:trPr>
          <w:trHeight w:val="285"/>
        </w:trPr>
        <w:tc>
          <w:tcPr>
            <w:tcW w:w="2709" w:type="dxa"/>
            <w:tcBorders>
              <w:top w:val="nil"/>
            </w:tcBorders>
            <w:shd w:val="clear" w:color="auto" w:fill="auto"/>
            <w:noWrap/>
            <w:vAlign w:val="center"/>
            <w:hideMark/>
          </w:tcPr>
          <w:p w14:paraId="54A487F1" w14:textId="77777777" w:rsidR="002E2A64" w:rsidRPr="000B27DB" w:rsidRDefault="002E2A64" w:rsidP="000B27DB">
            <w:pPr>
              <w:pStyle w:val="eceee-Tabletext"/>
            </w:pPr>
            <w:r w:rsidRPr="000B27DB">
              <w:t>UoS</w:t>
            </w:r>
          </w:p>
        </w:tc>
        <w:tc>
          <w:tcPr>
            <w:tcW w:w="1559" w:type="dxa"/>
            <w:tcBorders>
              <w:top w:val="nil"/>
            </w:tcBorders>
            <w:shd w:val="clear" w:color="auto" w:fill="auto"/>
            <w:noWrap/>
            <w:vAlign w:val="center"/>
            <w:hideMark/>
          </w:tcPr>
          <w:p w14:paraId="46FFF9FF" w14:textId="77777777" w:rsidR="002E2A64" w:rsidRPr="000B27DB" w:rsidRDefault="002E2A64" w:rsidP="000B27DB">
            <w:pPr>
              <w:pStyle w:val="eceee-Tabletext"/>
              <w:jc w:val="right"/>
            </w:pPr>
            <w:r w:rsidRPr="000B27DB">
              <w:t>£7,386</w:t>
            </w:r>
          </w:p>
        </w:tc>
      </w:tr>
      <w:tr w:rsidR="002E2A64" w:rsidRPr="000B27DB" w14:paraId="106E4504" w14:textId="77777777" w:rsidTr="000B27DB">
        <w:trPr>
          <w:trHeight w:val="285"/>
        </w:trPr>
        <w:tc>
          <w:tcPr>
            <w:tcW w:w="2709" w:type="dxa"/>
            <w:shd w:val="clear" w:color="auto" w:fill="auto"/>
            <w:noWrap/>
            <w:vAlign w:val="center"/>
            <w:hideMark/>
          </w:tcPr>
          <w:p w14:paraId="1467EDA3" w14:textId="77777777" w:rsidR="002E2A64" w:rsidRPr="000B27DB" w:rsidRDefault="002E2A64" w:rsidP="000B27DB">
            <w:pPr>
              <w:pStyle w:val="eceee-Tabletext"/>
            </w:pPr>
            <w:r w:rsidRPr="000B27DB">
              <w:t>Total Gross DSR Revenue</w:t>
            </w:r>
          </w:p>
        </w:tc>
        <w:tc>
          <w:tcPr>
            <w:tcW w:w="1559" w:type="dxa"/>
            <w:shd w:val="clear" w:color="auto" w:fill="auto"/>
            <w:noWrap/>
            <w:vAlign w:val="center"/>
            <w:hideMark/>
          </w:tcPr>
          <w:p w14:paraId="721450D7" w14:textId="77777777" w:rsidR="002E2A64" w:rsidRPr="000B27DB" w:rsidRDefault="002E2A64" w:rsidP="000B27DB">
            <w:pPr>
              <w:pStyle w:val="eceee-Tabletext"/>
              <w:jc w:val="right"/>
            </w:pPr>
            <w:r w:rsidRPr="000B27DB">
              <w:t>£10,945</w:t>
            </w:r>
          </w:p>
        </w:tc>
      </w:tr>
    </w:tbl>
    <w:p w14:paraId="715A5622" w14:textId="77777777" w:rsidR="002E2A64" w:rsidRDefault="002E2A64" w:rsidP="002E2A64"/>
    <w:p w14:paraId="31A75295" w14:textId="77777777" w:rsidR="002201F1" w:rsidRDefault="002201F1" w:rsidP="00DB5D17">
      <w:pPr>
        <w:pStyle w:val="Heading2"/>
      </w:pPr>
      <w:r>
        <w:t>Heating costs and net DSR results</w:t>
      </w:r>
    </w:p>
    <w:p w14:paraId="7B17FE42" w14:textId="77777777" w:rsidR="00307870" w:rsidRDefault="002E2A64" w:rsidP="000B27DB">
      <w:pPr>
        <w:pStyle w:val="eceee-BodyText"/>
      </w:pPr>
      <w:r w:rsidRPr="00296285">
        <w:t xml:space="preserve">BEN changes the current heating arrangement for the LSBU buildings by utilising heat pumps and shifting part of the heating costs from gas to electricity.  </w:t>
      </w:r>
      <w:commentRangeStart w:id="13"/>
      <w:r w:rsidRPr="00296285">
        <w:t xml:space="preserve">This means that BEN is eligible for </w:t>
      </w:r>
      <w:r w:rsidR="000B27DB">
        <w:t xml:space="preserve">RHI </w:t>
      </w:r>
      <w:r w:rsidRPr="00296285">
        <w:t>payments, currently at</w:t>
      </w:r>
      <w:r w:rsidR="0081256C">
        <w:t xml:space="preserve"> 8.95 p/kWh Tier 1 and 2.67p/kWh Tier 2</w:t>
      </w:r>
      <w:r w:rsidRPr="00296285">
        <w:t xml:space="preserve">. </w:t>
      </w:r>
      <w:commentRangeEnd w:id="13"/>
      <w:r w:rsidR="00815D79">
        <w:rPr>
          <w:rStyle w:val="CommentReference"/>
        </w:rPr>
        <w:commentReference w:id="13"/>
      </w:r>
      <w:commentRangeStart w:id="14"/>
      <w:commentRangeStart w:id="15"/>
      <w:r w:rsidRPr="00296285">
        <w:t>Utilising</w:t>
      </w:r>
      <w:commentRangeEnd w:id="14"/>
      <w:r w:rsidR="00274BE9">
        <w:rPr>
          <w:rStyle w:val="CommentReference"/>
        </w:rPr>
        <w:commentReference w:id="14"/>
      </w:r>
      <w:commentRangeEnd w:id="15"/>
      <w:r w:rsidR="00285751">
        <w:rPr>
          <w:rStyle w:val="CommentReference"/>
        </w:rPr>
        <w:commentReference w:id="15"/>
      </w:r>
      <w:r w:rsidRPr="00296285">
        <w:t xml:space="preserve"> DSR on top of this electrification of heat impacts the heating costs in two critical ways 1) it moves some of the electrified heat back to the gas grid in order to charge the storage </w:t>
      </w:r>
      <w:r w:rsidR="000B27DB">
        <w:t>tank</w:t>
      </w:r>
      <w:r w:rsidRPr="00296285">
        <w:t>, and 2) this has the effect of reducing the amount of heat eligible for RHI payments.  The three setups are summarised in Table</w:t>
      </w:r>
      <w:r w:rsidR="000B27DB">
        <w:t xml:space="preserve"> </w:t>
      </w:r>
      <w:r w:rsidR="00EB58E6">
        <w:t>7</w:t>
      </w:r>
      <w:r w:rsidR="000B27DB">
        <w:t>.</w:t>
      </w:r>
    </w:p>
    <w:p w14:paraId="62822BE7" w14:textId="77777777" w:rsidR="00307870" w:rsidRDefault="00307870" w:rsidP="000B27DB">
      <w:pPr>
        <w:pStyle w:val="eceee-Tableheading"/>
      </w:pPr>
      <w:r>
        <w:t xml:space="preserve">Table </w:t>
      </w:r>
      <w:r w:rsidR="00EB58E6">
        <w:t>7</w:t>
      </w:r>
      <w:r>
        <w:t>: Heating costs and net DSR results</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27"/>
        <w:gridCol w:w="1135"/>
        <w:gridCol w:w="1134"/>
        <w:gridCol w:w="1132"/>
        <w:gridCol w:w="993"/>
        <w:gridCol w:w="1661"/>
      </w:tblGrid>
      <w:tr w:rsidR="002E2A64" w:rsidRPr="00BF377C" w14:paraId="0E8C7B2E" w14:textId="77777777" w:rsidTr="00296285">
        <w:trPr>
          <w:trHeight w:val="285"/>
        </w:trPr>
        <w:tc>
          <w:tcPr>
            <w:tcW w:w="1738" w:type="pct"/>
            <w:shd w:val="clear" w:color="auto" w:fill="auto"/>
            <w:noWrap/>
            <w:vAlign w:val="center"/>
            <w:hideMark/>
          </w:tcPr>
          <w:p w14:paraId="36DB158F" w14:textId="77777777" w:rsidR="002E2A64" w:rsidRPr="00BF377C" w:rsidRDefault="002E2A64" w:rsidP="00296285">
            <w:pPr>
              <w:pStyle w:val="eceee-Tabletext"/>
              <w:rPr>
                <w:lang w:eastAsia="en-GB"/>
              </w:rPr>
            </w:pPr>
            <w:r w:rsidRPr="00BF377C">
              <w:rPr>
                <w:lang w:eastAsia="en-GB"/>
              </w:rPr>
              <w:t> </w:t>
            </w:r>
          </w:p>
        </w:tc>
        <w:tc>
          <w:tcPr>
            <w:tcW w:w="1222" w:type="pct"/>
            <w:gridSpan w:val="2"/>
            <w:shd w:val="clear" w:color="auto" w:fill="auto"/>
            <w:noWrap/>
            <w:vAlign w:val="center"/>
            <w:hideMark/>
          </w:tcPr>
          <w:p w14:paraId="0DD6E439" w14:textId="77777777" w:rsidR="002E2A64" w:rsidRPr="00BF377C" w:rsidRDefault="002E2A64" w:rsidP="00296285">
            <w:pPr>
              <w:pStyle w:val="eceee-Tabletext"/>
              <w:jc w:val="center"/>
              <w:rPr>
                <w:lang w:eastAsia="en-GB"/>
              </w:rPr>
            </w:pPr>
            <w:r w:rsidRPr="00BF377C">
              <w:rPr>
                <w:lang w:eastAsia="en-GB"/>
              </w:rPr>
              <w:t>Heating Costs</w:t>
            </w:r>
          </w:p>
        </w:tc>
        <w:tc>
          <w:tcPr>
            <w:tcW w:w="1145" w:type="pct"/>
            <w:gridSpan w:val="2"/>
            <w:shd w:val="clear" w:color="auto" w:fill="auto"/>
            <w:noWrap/>
            <w:vAlign w:val="center"/>
            <w:hideMark/>
          </w:tcPr>
          <w:p w14:paraId="07FE06F3" w14:textId="77777777" w:rsidR="002E2A64" w:rsidRPr="00BF377C" w:rsidRDefault="002E2A64" w:rsidP="00296285">
            <w:pPr>
              <w:pStyle w:val="eceee-Tabletext"/>
              <w:jc w:val="center"/>
              <w:rPr>
                <w:lang w:eastAsia="en-GB"/>
              </w:rPr>
            </w:pPr>
            <w:r w:rsidRPr="00BF377C">
              <w:rPr>
                <w:lang w:eastAsia="en-GB"/>
              </w:rPr>
              <w:t>Income</w:t>
            </w:r>
          </w:p>
        </w:tc>
        <w:tc>
          <w:tcPr>
            <w:tcW w:w="895" w:type="pct"/>
            <w:shd w:val="clear" w:color="auto" w:fill="auto"/>
            <w:noWrap/>
            <w:vAlign w:val="center"/>
            <w:hideMark/>
          </w:tcPr>
          <w:p w14:paraId="375D3A25" w14:textId="77777777" w:rsidR="002E2A64" w:rsidRPr="00BF377C" w:rsidRDefault="002E2A64" w:rsidP="00296285">
            <w:pPr>
              <w:pStyle w:val="eceee-Tabletext"/>
              <w:jc w:val="center"/>
              <w:rPr>
                <w:lang w:eastAsia="en-GB"/>
              </w:rPr>
            </w:pPr>
            <w:r w:rsidRPr="00BF377C">
              <w:rPr>
                <w:lang w:eastAsia="en-GB"/>
              </w:rPr>
              <w:t>Total Heating Cost</w:t>
            </w:r>
          </w:p>
        </w:tc>
      </w:tr>
      <w:tr w:rsidR="00296285" w:rsidRPr="00BF377C" w14:paraId="4F744E50" w14:textId="77777777" w:rsidTr="00296285">
        <w:trPr>
          <w:trHeight w:val="285"/>
        </w:trPr>
        <w:tc>
          <w:tcPr>
            <w:tcW w:w="1738" w:type="pct"/>
            <w:shd w:val="clear" w:color="auto" w:fill="auto"/>
            <w:noWrap/>
            <w:vAlign w:val="center"/>
            <w:hideMark/>
          </w:tcPr>
          <w:p w14:paraId="3E5E501B" w14:textId="77777777" w:rsidR="002E2A64" w:rsidRPr="00BF377C" w:rsidRDefault="002E2A64" w:rsidP="00296285">
            <w:pPr>
              <w:pStyle w:val="eceee-Tabletext"/>
              <w:rPr>
                <w:lang w:eastAsia="en-GB"/>
              </w:rPr>
            </w:pPr>
            <w:r w:rsidRPr="00BF377C">
              <w:rPr>
                <w:lang w:eastAsia="en-GB"/>
              </w:rPr>
              <w:t> </w:t>
            </w:r>
          </w:p>
        </w:tc>
        <w:tc>
          <w:tcPr>
            <w:tcW w:w="611" w:type="pct"/>
            <w:shd w:val="clear" w:color="auto" w:fill="auto"/>
            <w:noWrap/>
            <w:vAlign w:val="center"/>
            <w:hideMark/>
          </w:tcPr>
          <w:p w14:paraId="4333DEB8" w14:textId="77777777" w:rsidR="002E2A64" w:rsidRPr="00BF377C" w:rsidRDefault="002E2A64" w:rsidP="00296285">
            <w:pPr>
              <w:pStyle w:val="eceee-Tabletext"/>
              <w:jc w:val="center"/>
              <w:rPr>
                <w:lang w:eastAsia="en-GB"/>
              </w:rPr>
            </w:pPr>
            <w:r w:rsidRPr="00BF377C">
              <w:rPr>
                <w:lang w:eastAsia="en-GB"/>
              </w:rPr>
              <w:t>Electricity</w:t>
            </w:r>
          </w:p>
        </w:tc>
        <w:tc>
          <w:tcPr>
            <w:tcW w:w="611" w:type="pct"/>
            <w:shd w:val="clear" w:color="auto" w:fill="auto"/>
            <w:noWrap/>
            <w:vAlign w:val="center"/>
            <w:hideMark/>
          </w:tcPr>
          <w:p w14:paraId="37F41A8D" w14:textId="77777777" w:rsidR="002E2A64" w:rsidRPr="00BF377C" w:rsidRDefault="002E2A64" w:rsidP="00296285">
            <w:pPr>
              <w:pStyle w:val="eceee-Tabletext"/>
              <w:jc w:val="center"/>
              <w:rPr>
                <w:lang w:eastAsia="en-GB"/>
              </w:rPr>
            </w:pPr>
            <w:r w:rsidRPr="00BF377C">
              <w:rPr>
                <w:lang w:eastAsia="en-GB"/>
              </w:rPr>
              <w:t>Gas</w:t>
            </w:r>
          </w:p>
        </w:tc>
        <w:tc>
          <w:tcPr>
            <w:tcW w:w="610" w:type="pct"/>
            <w:shd w:val="clear" w:color="auto" w:fill="auto"/>
            <w:noWrap/>
            <w:vAlign w:val="center"/>
            <w:hideMark/>
          </w:tcPr>
          <w:p w14:paraId="2AAB67AB" w14:textId="77777777" w:rsidR="002E2A64" w:rsidRPr="00BF377C" w:rsidRDefault="002E2A64" w:rsidP="00296285">
            <w:pPr>
              <w:pStyle w:val="eceee-Tabletext"/>
              <w:jc w:val="center"/>
              <w:rPr>
                <w:lang w:eastAsia="en-GB"/>
              </w:rPr>
            </w:pPr>
            <w:r w:rsidRPr="00BF377C">
              <w:rPr>
                <w:lang w:eastAsia="en-GB"/>
              </w:rPr>
              <w:t>RHI</w:t>
            </w:r>
          </w:p>
        </w:tc>
        <w:tc>
          <w:tcPr>
            <w:tcW w:w="535" w:type="pct"/>
            <w:shd w:val="clear" w:color="auto" w:fill="auto"/>
            <w:noWrap/>
            <w:vAlign w:val="center"/>
            <w:hideMark/>
          </w:tcPr>
          <w:p w14:paraId="0CB4D9CD" w14:textId="77777777" w:rsidR="002E2A64" w:rsidRPr="00BF377C" w:rsidRDefault="002E2A64" w:rsidP="00296285">
            <w:pPr>
              <w:pStyle w:val="eceee-Tabletext"/>
              <w:jc w:val="center"/>
              <w:rPr>
                <w:lang w:eastAsia="en-GB"/>
              </w:rPr>
            </w:pPr>
            <w:r w:rsidRPr="00BF377C">
              <w:rPr>
                <w:lang w:eastAsia="en-GB"/>
              </w:rPr>
              <w:t>DSR</w:t>
            </w:r>
          </w:p>
        </w:tc>
        <w:tc>
          <w:tcPr>
            <w:tcW w:w="895" w:type="pct"/>
            <w:shd w:val="clear" w:color="auto" w:fill="auto"/>
            <w:noWrap/>
            <w:vAlign w:val="center"/>
            <w:hideMark/>
          </w:tcPr>
          <w:p w14:paraId="11143650" w14:textId="77777777" w:rsidR="002E2A64" w:rsidRPr="00BF377C" w:rsidRDefault="002E2A64" w:rsidP="00296285">
            <w:pPr>
              <w:pStyle w:val="eceee-Tabletext"/>
              <w:jc w:val="center"/>
              <w:rPr>
                <w:lang w:eastAsia="en-GB"/>
              </w:rPr>
            </w:pPr>
          </w:p>
        </w:tc>
      </w:tr>
      <w:tr w:rsidR="00296285" w:rsidRPr="00BF377C" w14:paraId="40882DF5" w14:textId="77777777" w:rsidTr="00DB5D17">
        <w:trPr>
          <w:trHeight w:val="440"/>
        </w:trPr>
        <w:tc>
          <w:tcPr>
            <w:tcW w:w="1738" w:type="pct"/>
            <w:tcBorders>
              <w:bottom w:val="nil"/>
            </w:tcBorders>
            <w:shd w:val="clear" w:color="auto" w:fill="auto"/>
            <w:noWrap/>
            <w:vAlign w:val="center"/>
            <w:hideMark/>
          </w:tcPr>
          <w:p w14:paraId="3BED3631" w14:textId="77777777" w:rsidR="002E2A64" w:rsidRPr="00C45AEE" w:rsidRDefault="00296285" w:rsidP="00296285">
            <w:pPr>
              <w:pStyle w:val="eceee-Tabletext"/>
              <w:rPr>
                <w:lang w:eastAsia="en-GB"/>
              </w:rPr>
            </w:pPr>
            <w:r>
              <w:rPr>
                <w:lang w:eastAsia="en-GB"/>
              </w:rPr>
              <w:t xml:space="preserve">(1) </w:t>
            </w:r>
            <w:r w:rsidR="002E2A64" w:rsidRPr="00C45AEE">
              <w:rPr>
                <w:lang w:eastAsia="en-GB"/>
              </w:rPr>
              <w:t xml:space="preserve">Current Setup - Gas Only </w:t>
            </w:r>
          </w:p>
        </w:tc>
        <w:tc>
          <w:tcPr>
            <w:tcW w:w="611" w:type="pct"/>
            <w:tcBorders>
              <w:bottom w:val="nil"/>
            </w:tcBorders>
            <w:shd w:val="clear" w:color="auto" w:fill="auto"/>
            <w:noWrap/>
            <w:vAlign w:val="center"/>
            <w:hideMark/>
          </w:tcPr>
          <w:p w14:paraId="1644DB8E" w14:textId="77777777" w:rsidR="002E2A64" w:rsidRPr="00BF377C" w:rsidRDefault="002E2A64" w:rsidP="00296285">
            <w:pPr>
              <w:pStyle w:val="eceee-Tabletext"/>
              <w:jc w:val="center"/>
              <w:rPr>
                <w:lang w:eastAsia="en-GB"/>
              </w:rPr>
            </w:pPr>
            <w:r w:rsidRPr="00BF377C">
              <w:rPr>
                <w:lang w:eastAsia="en-GB"/>
              </w:rPr>
              <w:t>£0</w:t>
            </w:r>
          </w:p>
        </w:tc>
        <w:tc>
          <w:tcPr>
            <w:tcW w:w="611" w:type="pct"/>
            <w:tcBorders>
              <w:bottom w:val="nil"/>
            </w:tcBorders>
            <w:shd w:val="clear" w:color="auto" w:fill="auto"/>
            <w:noWrap/>
            <w:vAlign w:val="center"/>
            <w:hideMark/>
          </w:tcPr>
          <w:p w14:paraId="6AA7A3AF" w14:textId="77777777" w:rsidR="002E2A64" w:rsidRPr="00BF377C" w:rsidRDefault="002E2A64" w:rsidP="00296285">
            <w:pPr>
              <w:pStyle w:val="eceee-Tabletext"/>
              <w:jc w:val="center"/>
              <w:rPr>
                <w:lang w:eastAsia="en-GB"/>
              </w:rPr>
            </w:pPr>
            <w:r w:rsidRPr="00BF377C">
              <w:rPr>
                <w:lang w:eastAsia="en-GB"/>
              </w:rPr>
              <w:t>£98,322</w:t>
            </w:r>
          </w:p>
        </w:tc>
        <w:tc>
          <w:tcPr>
            <w:tcW w:w="610" w:type="pct"/>
            <w:tcBorders>
              <w:bottom w:val="nil"/>
            </w:tcBorders>
            <w:shd w:val="clear" w:color="auto" w:fill="auto"/>
            <w:noWrap/>
            <w:vAlign w:val="center"/>
            <w:hideMark/>
          </w:tcPr>
          <w:p w14:paraId="3C3F6D41" w14:textId="77777777" w:rsidR="002E2A64" w:rsidRPr="00BF377C" w:rsidRDefault="002E2A64" w:rsidP="00296285">
            <w:pPr>
              <w:pStyle w:val="eceee-Tabletext"/>
              <w:jc w:val="center"/>
              <w:rPr>
                <w:lang w:eastAsia="en-GB"/>
              </w:rPr>
            </w:pPr>
            <w:r w:rsidRPr="00BF377C">
              <w:rPr>
                <w:lang w:eastAsia="en-GB"/>
              </w:rPr>
              <w:t>£0</w:t>
            </w:r>
          </w:p>
        </w:tc>
        <w:tc>
          <w:tcPr>
            <w:tcW w:w="535" w:type="pct"/>
            <w:tcBorders>
              <w:bottom w:val="nil"/>
            </w:tcBorders>
            <w:shd w:val="clear" w:color="auto" w:fill="auto"/>
            <w:noWrap/>
            <w:vAlign w:val="center"/>
            <w:hideMark/>
          </w:tcPr>
          <w:p w14:paraId="684F3A0A" w14:textId="77777777" w:rsidR="002E2A64" w:rsidRPr="00BF377C" w:rsidRDefault="002E2A64" w:rsidP="00296285">
            <w:pPr>
              <w:pStyle w:val="eceee-Tabletext"/>
              <w:jc w:val="center"/>
              <w:rPr>
                <w:lang w:eastAsia="en-GB"/>
              </w:rPr>
            </w:pPr>
            <w:r w:rsidRPr="00BF377C">
              <w:rPr>
                <w:lang w:eastAsia="en-GB"/>
              </w:rPr>
              <w:t>£0</w:t>
            </w:r>
          </w:p>
        </w:tc>
        <w:tc>
          <w:tcPr>
            <w:tcW w:w="895" w:type="pct"/>
            <w:tcBorders>
              <w:bottom w:val="nil"/>
            </w:tcBorders>
            <w:shd w:val="clear" w:color="auto" w:fill="auto"/>
            <w:noWrap/>
            <w:vAlign w:val="center"/>
            <w:hideMark/>
          </w:tcPr>
          <w:p w14:paraId="42729342" w14:textId="77777777" w:rsidR="002E2A64" w:rsidRPr="00BF377C" w:rsidRDefault="002E2A64" w:rsidP="00296285">
            <w:pPr>
              <w:pStyle w:val="eceee-Tabletext"/>
              <w:jc w:val="center"/>
              <w:rPr>
                <w:lang w:eastAsia="en-GB"/>
              </w:rPr>
            </w:pPr>
            <w:r w:rsidRPr="00BF377C">
              <w:rPr>
                <w:lang w:eastAsia="en-GB"/>
              </w:rPr>
              <w:t>£98,322</w:t>
            </w:r>
          </w:p>
        </w:tc>
      </w:tr>
      <w:tr w:rsidR="00296285" w:rsidRPr="00BF377C" w14:paraId="4F701A2B" w14:textId="77777777" w:rsidTr="00DB5D17">
        <w:trPr>
          <w:trHeight w:val="440"/>
        </w:trPr>
        <w:tc>
          <w:tcPr>
            <w:tcW w:w="1738" w:type="pct"/>
            <w:tcBorders>
              <w:top w:val="nil"/>
              <w:bottom w:val="nil"/>
            </w:tcBorders>
            <w:shd w:val="clear" w:color="auto" w:fill="auto"/>
            <w:noWrap/>
            <w:vAlign w:val="center"/>
            <w:hideMark/>
          </w:tcPr>
          <w:p w14:paraId="4357E7D2" w14:textId="77777777" w:rsidR="002E2A64" w:rsidRPr="00C45AEE" w:rsidRDefault="00296285" w:rsidP="00296285">
            <w:pPr>
              <w:pStyle w:val="eceee-Tabletext"/>
              <w:rPr>
                <w:lang w:eastAsia="en-GB"/>
              </w:rPr>
            </w:pPr>
            <w:r>
              <w:rPr>
                <w:lang w:eastAsia="en-GB"/>
              </w:rPr>
              <w:t xml:space="preserve">(2) </w:t>
            </w:r>
            <w:r w:rsidR="002E2A64" w:rsidRPr="00C45AEE">
              <w:rPr>
                <w:lang w:eastAsia="en-GB"/>
              </w:rPr>
              <w:t>Typical approach to electrifying heat (Heat pumps + Gas)</w:t>
            </w:r>
          </w:p>
        </w:tc>
        <w:tc>
          <w:tcPr>
            <w:tcW w:w="611" w:type="pct"/>
            <w:tcBorders>
              <w:top w:val="nil"/>
              <w:bottom w:val="nil"/>
            </w:tcBorders>
            <w:shd w:val="clear" w:color="auto" w:fill="auto"/>
            <w:noWrap/>
            <w:vAlign w:val="center"/>
            <w:hideMark/>
          </w:tcPr>
          <w:p w14:paraId="1E6538A2" w14:textId="77777777" w:rsidR="002E2A64" w:rsidRPr="00BF377C" w:rsidRDefault="002E2A64" w:rsidP="00296285">
            <w:pPr>
              <w:pStyle w:val="eceee-Tabletext"/>
              <w:jc w:val="center"/>
              <w:rPr>
                <w:lang w:eastAsia="en-GB"/>
              </w:rPr>
            </w:pPr>
            <w:r w:rsidRPr="00BF377C">
              <w:rPr>
                <w:lang w:eastAsia="en-GB"/>
              </w:rPr>
              <w:t>£49,095</w:t>
            </w:r>
          </w:p>
        </w:tc>
        <w:tc>
          <w:tcPr>
            <w:tcW w:w="611" w:type="pct"/>
            <w:tcBorders>
              <w:top w:val="nil"/>
              <w:bottom w:val="nil"/>
            </w:tcBorders>
            <w:shd w:val="clear" w:color="auto" w:fill="auto"/>
            <w:noWrap/>
            <w:vAlign w:val="center"/>
            <w:hideMark/>
          </w:tcPr>
          <w:p w14:paraId="2C3A746C" w14:textId="77777777" w:rsidR="002E2A64" w:rsidRPr="00BF377C" w:rsidRDefault="002E2A64" w:rsidP="00296285">
            <w:pPr>
              <w:pStyle w:val="eceee-Tabletext"/>
              <w:jc w:val="center"/>
              <w:rPr>
                <w:lang w:eastAsia="en-GB"/>
              </w:rPr>
            </w:pPr>
            <w:r w:rsidRPr="00BF377C">
              <w:rPr>
                <w:lang w:eastAsia="en-GB"/>
              </w:rPr>
              <w:t>£60,828</w:t>
            </w:r>
          </w:p>
        </w:tc>
        <w:tc>
          <w:tcPr>
            <w:tcW w:w="610" w:type="pct"/>
            <w:tcBorders>
              <w:top w:val="nil"/>
              <w:bottom w:val="nil"/>
            </w:tcBorders>
            <w:shd w:val="clear" w:color="auto" w:fill="auto"/>
            <w:noWrap/>
            <w:vAlign w:val="center"/>
            <w:hideMark/>
          </w:tcPr>
          <w:p w14:paraId="59911758" w14:textId="77777777" w:rsidR="002E2A64" w:rsidRPr="00BF377C" w:rsidRDefault="002E2A64" w:rsidP="00296285">
            <w:pPr>
              <w:pStyle w:val="eceee-Tabletext"/>
              <w:jc w:val="center"/>
              <w:rPr>
                <w:lang w:eastAsia="en-GB"/>
              </w:rPr>
            </w:pPr>
            <w:r w:rsidRPr="00BF377C">
              <w:rPr>
                <w:lang w:eastAsia="en-GB"/>
              </w:rPr>
              <w:t>£66,515</w:t>
            </w:r>
          </w:p>
        </w:tc>
        <w:tc>
          <w:tcPr>
            <w:tcW w:w="535" w:type="pct"/>
            <w:tcBorders>
              <w:top w:val="nil"/>
              <w:bottom w:val="nil"/>
            </w:tcBorders>
            <w:shd w:val="clear" w:color="auto" w:fill="auto"/>
            <w:noWrap/>
            <w:vAlign w:val="center"/>
            <w:hideMark/>
          </w:tcPr>
          <w:p w14:paraId="2E396915" w14:textId="77777777" w:rsidR="002E2A64" w:rsidRPr="00BF377C" w:rsidRDefault="002E2A64" w:rsidP="00296285">
            <w:pPr>
              <w:pStyle w:val="eceee-Tabletext"/>
              <w:jc w:val="center"/>
              <w:rPr>
                <w:lang w:eastAsia="en-GB"/>
              </w:rPr>
            </w:pPr>
            <w:r w:rsidRPr="00BF377C">
              <w:rPr>
                <w:lang w:eastAsia="en-GB"/>
              </w:rPr>
              <w:t>£0</w:t>
            </w:r>
          </w:p>
        </w:tc>
        <w:tc>
          <w:tcPr>
            <w:tcW w:w="895" w:type="pct"/>
            <w:tcBorders>
              <w:top w:val="nil"/>
              <w:bottom w:val="nil"/>
            </w:tcBorders>
            <w:shd w:val="clear" w:color="auto" w:fill="auto"/>
            <w:noWrap/>
            <w:vAlign w:val="center"/>
            <w:hideMark/>
          </w:tcPr>
          <w:p w14:paraId="6B81037F" w14:textId="77777777" w:rsidR="002E2A64" w:rsidRPr="00BF377C" w:rsidRDefault="002E2A64" w:rsidP="00296285">
            <w:pPr>
              <w:pStyle w:val="eceee-Tabletext"/>
              <w:jc w:val="center"/>
              <w:rPr>
                <w:lang w:eastAsia="en-GB"/>
              </w:rPr>
            </w:pPr>
            <w:r w:rsidRPr="00BF377C">
              <w:rPr>
                <w:lang w:eastAsia="en-GB"/>
              </w:rPr>
              <w:t>£43,408</w:t>
            </w:r>
          </w:p>
        </w:tc>
      </w:tr>
      <w:tr w:rsidR="00296285" w:rsidRPr="00BF377C" w14:paraId="4D3E7D28" w14:textId="77777777" w:rsidTr="00DB5D17">
        <w:trPr>
          <w:trHeight w:val="440"/>
        </w:trPr>
        <w:tc>
          <w:tcPr>
            <w:tcW w:w="1738" w:type="pct"/>
            <w:tcBorders>
              <w:top w:val="nil"/>
            </w:tcBorders>
            <w:shd w:val="clear" w:color="auto" w:fill="auto"/>
            <w:noWrap/>
            <w:vAlign w:val="center"/>
            <w:hideMark/>
          </w:tcPr>
          <w:p w14:paraId="1AA8C75A" w14:textId="77777777" w:rsidR="002E2A64" w:rsidRPr="00C45AEE" w:rsidRDefault="00296285" w:rsidP="00296285">
            <w:pPr>
              <w:pStyle w:val="eceee-Tabletext"/>
              <w:rPr>
                <w:lang w:eastAsia="en-GB"/>
              </w:rPr>
            </w:pPr>
            <w:r>
              <w:rPr>
                <w:lang w:eastAsia="en-GB"/>
              </w:rPr>
              <w:t xml:space="preserve">(3) </w:t>
            </w:r>
            <w:r w:rsidR="002E2A64" w:rsidRPr="00C45AEE">
              <w:rPr>
                <w:lang w:eastAsia="en-GB"/>
              </w:rPr>
              <w:t>BEN approach to electrifying heat (Heat pumps + Gas + DSR)</w:t>
            </w:r>
          </w:p>
        </w:tc>
        <w:tc>
          <w:tcPr>
            <w:tcW w:w="611" w:type="pct"/>
            <w:tcBorders>
              <w:top w:val="nil"/>
            </w:tcBorders>
            <w:shd w:val="clear" w:color="auto" w:fill="auto"/>
            <w:noWrap/>
            <w:vAlign w:val="center"/>
            <w:hideMark/>
          </w:tcPr>
          <w:p w14:paraId="57F49878" w14:textId="77777777" w:rsidR="002E2A64" w:rsidRPr="00BF377C" w:rsidRDefault="002E2A64" w:rsidP="00296285">
            <w:pPr>
              <w:pStyle w:val="eceee-Tabletext"/>
              <w:jc w:val="center"/>
              <w:rPr>
                <w:lang w:eastAsia="en-GB"/>
              </w:rPr>
            </w:pPr>
            <w:r w:rsidRPr="00BF377C">
              <w:rPr>
                <w:lang w:eastAsia="en-GB"/>
              </w:rPr>
              <w:t>£45,255</w:t>
            </w:r>
          </w:p>
        </w:tc>
        <w:tc>
          <w:tcPr>
            <w:tcW w:w="611" w:type="pct"/>
            <w:tcBorders>
              <w:top w:val="nil"/>
            </w:tcBorders>
            <w:shd w:val="clear" w:color="auto" w:fill="auto"/>
            <w:noWrap/>
            <w:vAlign w:val="center"/>
            <w:hideMark/>
          </w:tcPr>
          <w:p w14:paraId="5D8A0617" w14:textId="77777777" w:rsidR="002E2A64" w:rsidRPr="00BF377C" w:rsidRDefault="002E2A64" w:rsidP="00296285">
            <w:pPr>
              <w:pStyle w:val="eceee-Tabletext"/>
              <w:jc w:val="center"/>
              <w:rPr>
                <w:lang w:eastAsia="en-GB"/>
              </w:rPr>
            </w:pPr>
            <w:r w:rsidRPr="00BF377C">
              <w:rPr>
                <w:lang w:eastAsia="en-GB"/>
              </w:rPr>
              <w:t>£63,761</w:t>
            </w:r>
          </w:p>
        </w:tc>
        <w:tc>
          <w:tcPr>
            <w:tcW w:w="610" w:type="pct"/>
            <w:tcBorders>
              <w:top w:val="nil"/>
            </w:tcBorders>
            <w:shd w:val="clear" w:color="auto" w:fill="auto"/>
            <w:noWrap/>
            <w:vAlign w:val="center"/>
            <w:hideMark/>
          </w:tcPr>
          <w:p w14:paraId="131879AC" w14:textId="77777777" w:rsidR="002E2A64" w:rsidRPr="00BF377C" w:rsidRDefault="002E2A64" w:rsidP="00296285">
            <w:pPr>
              <w:pStyle w:val="eceee-Tabletext"/>
              <w:jc w:val="center"/>
              <w:rPr>
                <w:lang w:eastAsia="en-GB"/>
              </w:rPr>
            </w:pPr>
            <w:r w:rsidRPr="00BF377C">
              <w:rPr>
                <w:lang w:eastAsia="en-GB"/>
              </w:rPr>
              <w:t>£63,203</w:t>
            </w:r>
          </w:p>
        </w:tc>
        <w:tc>
          <w:tcPr>
            <w:tcW w:w="535" w:type="pct"/>
            <w:tcBorders>
              <w:top w:val="nil"/>
            </w:tcBorders>
            <w:shd w:val="clear" w:color="auto" w:fill="auto"/>
            <w:noWrap/>
            <w:vAlign w:val="center"/>
            <w:hideMark/>
          </w:tcPr>
          <w:p w14:paraId="2D0082BE" w14:textId="77777777" w:rsidR="002E2A64" w:rsidRPr="00BF377C" w:rsidRDefault="002E2A64" w:rsidP="00296285">
            <w:pPr>
              <w:pStyle w:val="eceee-Tabletext"/>
              <w:jc w:val="center"/>
              <w:rPr>
                <w:lang w:eastAsia="en-GB"/>
              </w:rPr>
            </w:pPr>
            <w:r w:rsidRPr="00BF377C">
              <w:rPr>
                <w:lang w:eastAsia="en-GB"/>
              </w:rPr>
              <w:t>£10,945</w:t>
            </w:r>
          </w:p>
        </w:tc>
        <w:tc>
          <w:tcPr>
            <w:tcW w:w="895" w:type="pct"/>
            <w:tcBorders>
              <w:top w:val="nil"/>
            </w:tcBorders>
            <w:shd w:val="clear" w:color="auto" w:fill="auto"/>
            <w:noWrap/>
            <w:vAlign w:val="center"/>
            <w:hideMark/>
          </w:tcPr>
          <w:p w14:paraId="07A482E7" w14:textId="77777777" w:rsidR="002E2A64" w:rsidRPr="00BF377C" w:rsidRDefault="002E2A64" w:rsidP="00296285">
            <w:pPr>
              <w:pStyle w:val="eceee-Tabletext"/>
              <w:jc w:val="center"/>
              <w:rPr>
                <w:lang w:eastAsia="en-GB"/>
              </w:rPr>
            </w:pPr>
            <w:r w:rsidRPr="00BF377C">
              <w:rPr>
                <w:lang w:eastAsia="en-GB"/>
              </w:rPr>
              <w:t>£34,868</w:t>
            </w:r>
          </w:p>
        </w:tc>
      </w:tr>
      <w:tr w:rsidR="002E2A64" w:rsidRPr="00BF377C" w14:paraId="62E8561F" w14:textId="77777777" w:rsidTr="00296285">
        <w:trPr>
          <w:trHeight w:val="465"/>
        </w:trPr>
        <w:tc>
          <w:tcPr>
            <w:tcW w:w="4105" w:type="pct"/>
            <w:gridSpan w:val="5"/>
            <w:shd w:val="clear" w:color="auto" w:fill="auto"/>
            <w:noWrap/>
            <w:vAlign w:val="center"/>
          </w:tcPr>
          <w:p w14:paraId="71544BEF" w14:textId="77777777" w:rsidR="002E2A64" w:rsidRPr="00BF377C" w:rsidRDefault="002E2A64" w:rsidP="00296285">
            <w:pPr>
              <w:pStyle w:val="eceee-Tabletext"/>
              <w:jc w:val="right"/>
              <w:rPr>
                <w:lang w:eastAsia="en-GB"/>
              </w:rPr>
            </w:pPr>
            <w:r>
              <w:rPr>
                <w:lang w:eastAsia="en-GB"/>
              </w:rPr>
              <w:t xml:space="preserve">(2) - (3) </w:t>
            </w:r>
            <w:r w:rsidRPr="004C1FDB">
              <w:rPr>
                <w:lang w:eastAsia="en-GB"/>
              </w:rPr>
              <w:t xml:space="preserve">Total </w:t>
            </w:r>
            <w:r>
              <w:rPr>
                <w:lang w:eastAsia="en-GB"/>
              </w:rPr>
              <w:t>Net DSR Revenue</w:t>
            </w:r>
          </w:p>
        </w:tc>
        <w:tc>
          <w:tcPr>
            <w:tcW w:w="895" w:type="pct"/>
            <w:shd w:val="clear" w:color="auto" w:fill="auto"/>
            <w:noWrap/>
            <w:vAlign w:val="center"/>
            <w:hideMark/>
          </w:tcPr>
          <w:p w14:paraId="49F1F8F3" w14:textId="77777777" w:rsidR="002E2A64" w:rsidRPr="00BF377C" w:rsidRDefault="002E2A64" w:rsidP="00296285">
            <w:pPr>
              <w:pStyle w:val="eceee-Tabletext"/>
              <w:jc w:val="center"/>
              <w:rPr>
                <w:lang w:eastAsia="en-GB"/>
              </w:rPr>
            </w:pPr>
            <w:r>
              <w:rPr>
                <w:lang w:eastAsia="en-GB"/>
              </w:rPr>
              <w:t>£8,540</w:t>
            </w:r>
          </w:p>
        </w:tc>
      </w:tr>
    </w:tbl>
    <w:p w14:paraId="063CC6EC" w14:textId="77777777" w:rsidR="002E2A64" w:rsidRDefault="002E2A64" w:rsidP="002E2A64"/>
    <w:p w14:paraId="64A7EF2C" w14:textId="77777777" w:rsidR="00274BE9" w:rsidRDefault="00274BE9" w:rsidP="00274BE9">
      <w:pPr>
        <w:pStyle w:val="eceee-BodyText"/>
      </w:pPr>
      <w:r>
        <w:t xml:space="preserve">The results in Table 7 give the modelled </w:t>
      </w:r>
      <w:r w:rsidRPr="00274BE9">
        <w:t>fuel costs for the buildings assuming a boiler efficiency of 88%, constant COP of 3.16 (In practice this will vary with well temperature, supply temperature, and load throughout the year.), gas costs 0.021 £/kWh, and electricity costs at 0.098 £/kWh.</w:t>
      </w:r>
      <w:r w:rsidRPr="00554817">
        <w:t xml:space="preserve"> </w:t>
      </w:r>
    </w:p>
    <w:p w14:paraId="198F67F8" w14:textId="77777777" w:rsidR="00274BE9" w:rsidRDefault="00274BE9" w:rsidP="00ED5D98">
      <w:pPr>
        <w:pStyle w:val="eceee-BodyText"/>
      </w:pPr>
    </w:p>
    <w:p w14:paraId="2D9447AC" w14:textId="77777777" w:rsidR="000F3119" w:rsidRDefault="004A1164" w:rsidP="00ED5D98">
      <w:pPr>
        <w:pStyle w:val="eceee-BodyText"/>
      </w:pPr>
      <w:r>
        <w:t xml:space="preserve">Current setup </w:t>
      </w:r>
      <w:r w:rsidR="00F4012B">
        <w:t xml:space="preserve">(1) in Table 7 is </w:t>
      </w:r>
      <w:r>
        <w:t xml:space="preserve">based on </w:t>
      </w:r>
      <w:r w:rsidR="00F4012B">
        <w:t xml:space="preserve">the specific </w:t>
      </w:r>
      <w:r>
        <w:t>heat loss</w:t>
      </w:r>
      <w:r w:rsidR="00F4012B">
        <w:t xml:space="preserve"> for the building</w:t>
      </w:r>
      <w:r>
        <w:t xml:space="preserve"> and hourly weather summed for year.</w:t>
      </w:r>
      <w:r w:rsidR="00F4012B">
        <w:t xml:space="preserve">  </w:t>
      </w:r>
      <w:r w:rsidR="00274BE9">
        <w:t>No heating is provided by heat pumps.</w:t>
      </w:r>
    </w:p>
    <w:p w14:paraId="2C8E5C44" w14:textId="77777777" w:rsidR="00F4012B" w:rsidRDefault="00F4012B" w:rsidP="00ED5D98">
      <w:pPr>
        <w:pStyle w:val="eceee-BodyText"/>
      </w:pPr>
      <w:r>
        <w:t>The Heat Pumps and Gas setup (2) includes the heat pumps as described in this paper, but doesn’t include revenue from DSR. The heat pumps are used as much as possible, and the remaining heating load is met with gas.</w:t>
      </w:r>
    </w:p>
    <w:p w14:paraId="6C765AD1" w14:textId="77777777" w:rsidR="004A1164" w:rsidRDefault="00F4012B" w:rsidP="00ED5D98">
      <w:pPr>
        <w:pStyle w:val="eceee-BodyText"/>
      </w:pPr>
      <w:r>
        <w:t>The BEN approach (3) includes the same assumptions as setup (2) but also includes the revenue of DSR services.  This results in shifting some of the heat pump load back to gas.  The total heating load is identical in all three cases.</w:t>
      </w:r>
    </w:p>
    <w:p w14:paraId="1386F406" w14:textId="77777777" w:rsidR="0078441D" w:rsidRDefault="002E2A64" w:rsidP="00ED5D98">
      <w:pPr>
        <w:pStyle w:val="eceee-BodyText"/>
      </w:pPr>
      <w:r>
        <w:t>Comparing the typical approach to electrifying heat (2) to the BEN approach (3) shows net revenue of £8,540 for the DSR services under this setup.</w:t>
      </w:r>
      <w:r w:rsidR="0058746E">
        <w:t xml:space="preserve">  Note that the results summarised in Table 7 represent one building only, and that the total cost savings for utilising DSR across both buildings would be approximately doubled.  A</w:t>
      </w:r>
      <w:r w:rsidR="0078441D">
        <w:t xml:space="preserve"> more detailed RHI calc</w:t>
      </w:r>
      <w:r w:rsidR="0058746E">
        <w:t>ulation is given</w:t>
      </w:r>
      <w:r w:rsidR="0078441D">
        <w:t xml:space="preserve"> in Appendix A.</w:t>
      </w:r>
    </w:p>
    <w:p w14:paraId="3B4C3377" w14:textId="77777777" w:rsidR="002201F1" w:rsidRDefault="002201F1" w:rsidP="002201F1">
      <w:pPr>
        <w:pStyle w:val="eceee-Heading1"/>
      </w:pPr>
      <w:r>
        <w:t>Discussion</w:t>
      </w:r>
    </w:p>
    <w:p w14:paraId="755F394A" w14:textId="77777777" w:rsidR="0058746E" w:rsidRDefault="0058746E" w:rsidP="0058746E">
      <w:pPr>
        <w:pStyle w:val="eceee-BodyText"/>
      </w:pPr>
      <w:r>
        <w:t>The calculation in this paper used a building specific heat loss of 80 kW/K and its sensitivity was tested in the 40-120 kW/K range as shown in Figure 7.  The results show that as the specific heat loss of the building decreases, the DRS revenue decreases, and that the rate of change is greater for lower building specific heat loss.  Regardless of the true values for the BEN buildings, the results of Figure 7 show that a 50% change in the specific heat loss would only result in an approximate 10% change in the anticipated revenue from DSR, meaning that the calculations presented in this paper provide a useful indication of the benefits of DSR services.</w:t>
      </w:r>
    </w:p>
    <w:p w14:paraId="6125BCA6" w14:textId="77777777" w:rsidR="00DB5D17" w:rsidRDefault="00B51C07" w:rsidP="00ED5D98">
      <w:pPr>
        <w:pStyle w:val="eceee-BodyText"/>
      </w:pPr>
      <w:r>
        <w:rPr>
          <w:noProof/>
          <w:lang w:eastAsia="en-GB"/>
        </w:rPr>
        <w:lastRenderedPageBreak/>
        <w:drawing>
          <wp:inline distT="0" distB="0" distL="0" distR="0" wp14:anchorId="4224BDFA" wp14:editId="1698F76A">
            <wp:extent cx="4859020" cy="3126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9020" cy="3126105"/>
                    </a:xfrm>
                    <a:prstGeom prst="rect">
                      <a:avLst/>
                    </a:prstGeom>
                    <a:noFill/>
                    <a:ln>
                      <a:noFill/>
                    </a:ln>
                  </pic:spPr>
                </pic:pic>
              </a:graphicData>
            </a:graphic>
          </wp:inline>
        </w:drawing>
      </w:r>
    </w:p>
    <w:p w14:paraId="7FC31460" w14:textId="77777777" w:rsidR="00AF00A0" w:rsidRDefault="0078441D" w:rsidP="00BE40BF">
      <w:pPr>
        <w:pStyle w:val="eceee-Figurecaption"/>
      </w:pPr>
      <w:r>
        <w:t>Figure 7: Building Specific Heat Loss Sensitivity Analysis.</w:t>
      </w:r>
    </w:p>
    <w:p w14:paraId="79F1B28A" w14:textId="77777777" w:rsidR="002E2A64" w:rsidRDefault="002E2A64" w:rsidP="00ED5D98">
      <w:pPr>
        <w:pStyle w:val="eceee-Heading1"/>
      </w:pPr>
      <w:r>
        <w:t>Conclusions</w:t>
      </w:r>
      <w:r w:rsidR="00CA725B">
        <w:t xml:space="preserve"> and outlook</w:t>
      </w:r>
    </w:p>
    <w:p w14:paraId="485B4827" w14:textId="77777777" w:rsidR="002E2A64" w:rsidRDefault="002E2A64" w:rsidP="00ED5D98">
      <w:pPr>
        <w:pStyle w:val="eceee-BodyText"/>
      </w:pPr>
      <w:r>
        <w:t>This paper has summarised the issues facing the UK in decarbonising</w:t>
      </w:r>
      <w:r w:rsidR="000B27DB">
        <w:t xml:space="preserve"> the heat supply by 2050.  </w:t>
      </w:r>
      <w:r w:rsidR="00843716">
        <w:t xml:space="preserve">Recent </w:t>
      </w:r>
      <w:r w:rsidR="000B27DB">
        <w:t>studies</w:t>
      </w:r>
      <w:r>
        <w:t xml:space="preserve"> show that electrifying heat through heat pumps is a critical element in this effort</w:t>
      </w:r>
      <w:r w:rsidR="000B27DB">
        <w:t>.  E</w:t>
      </w:r>
      <w:r>
        <w:t xml:space="preserve">arly modelling results from the BEN prototype heat </w:t>
      </w:r>
      <w:r w:rsidR="009B7B77">
        <w:t xml:space="preserve">network </w:t>
      </w:r>
      <w:r w:rsidR="0081256C">
        <w:t xml:space="preserve">indicate that </w:t>
      </w:r>
      <w:r w:rsidR="0058746E">
        <w:t>linking heat pumps to DSR services</w:t>
      </w:r>
      <w:r w:rsidR="0081256C">
        <w:t xml:space="preserve"> is</w:t>
      </w:r>
      <w:r>
        <w:t xml:space="preserve"> a smarter way to electrify heat and reduce total heating costs.</w:t>
      </w:r>
    </w:p>
    <w:p w14:paraId="70EBC8EC" w14:textId="77777777" w:rsidR="002E2A64" w:rsidRDefault="002E2A64" w:rsidP="00ED5D98">
      <w:pPr>
        <w:pStyle w:val="eceee-BodyText"/>
      </w:pPr>
      <w:r>
        <w:t>The results presented in this paper represent a low</w:t>
      </w:r>
      <w:r w:rsidR="00CA725B">
        <w:t>-</w:t>
      </w:r>
      <w:r>
        <w:t>end estimate of the</w:t>
      </w:r>
      <w:r w:rsidR="00AF3DE5">
        <w:t>se</w:t>
      </w:r>
      <w:r>
        <w:t xml:space="preserve"> benefits </w:t>
      </w:r>
      <w:r w:rsidR="00AF3DE5">
        <w:t>through a BEN style network.</w:t>
      </w:r>
      <w:r>
        <w:t xml:space="preserve">  Ongoing research is considering further DSR revenue streams which will be the subject of subsequent writing.  Furthermore, the design of the heat network itself offers potential storage options that are not possible through conventional sources of DSR balancing services such as batteries and standby generators.</w:t>
      </w:r>
      <w:r w:rsidR="00AF3DE5">
        <w:t xml:space="preserve"> </w:t>
      </w:r>
      <w:r>
        <w:t>This includes for example storing heat in the circulating fluid of the heat network itself</w:t>
      </w:r>
      <w:r w:rsidR="00AF3DE5">
        <w:t>, or d</w:t>
      </w:r>
      <w:r>
        <w:t>iurnal storage</w:t>
      </w:r>
      <w:r w:rsidR="0081256C">
        <w:t>, which</w:t>
      </w:r>
      <w:r>
        <w:t xml:space="preserve"> is possible by utilising the heat pumps during demand turn up events to store water in the aquifer for retrieval the next day.</w:t>
      </w:r>
    </w:p>
    <w:p w14:paraId="2087EDE3" w14:textId="77777777" w:rsidR="00573B4E" w:rsidRPr="00EA64D6" w:rsidRDefault="00EA64D6" w:rsidP="00EA64D6">
      <w:pPr>
        <w:pStyle w:val="eceee-BodyText"/>
      </w:pPr>
      <w:r>
        <w:t xml:space="preserve">The BEN system is a platform for testing the extent to which DSR services can be integrated into building and heat network services.  </w:t>
      </w:r>
      <w:r w:rsidR="00EC5B52" w:rsidRPr="00EA64D6">
        <w:t xml:space="preserve">Further work will expand on the results shown in Table </w:t>
      </w:r>
      <w:r w:rsidR="0058746E">
        <w:t>7</w:t>
      </w:r>
      <w:r w:rsidR="00EC5B52" w:rsidRPr="00EA64D6">
        <w:t xml:space="preserve"> and detail </w:t>
      </w:r>
      <w:r>
        <w:t>the</w:t>
      </w:r>
      <w:r w:rsidR="00EC5B52" w:rsidRPr="00EA64D6">
        <w:t xml:space="preserve"> changes in energy consumption </w:t>
      </w:r>
      <w:r w:rsidR="00EC5B52" w:rsidRPr="00EA64D6">
        <w:rPr>
          <w:lang w:eastAsia="en-GB"/>
        </w:rPr>
        <w:t xml:space="preserve">as a result of </w:t>
      </w:r>
      <w:r w:rsidR="00A477B6">
        <w:rPr>
          <w:lang w:eastAsia="en-GB"/>
        </w:rPr>
        <w:t>DSR</w:t>
      </w:r>
      <w:r w:rsidR="00EC5B52" w:rsidRPr="00EA64D6">
        <w:rPr>
          <w:lang w:eastAsia="en-GB"/>
        </w:rPr>
        <w:t xml:space="preserve">. Additionally, a sensitivity analysis will be carried out for a range of gas and electricity </w:t>
      </w:r>
      <w:r>
        <w:rPr>
          <w:lang w:eastAsia="en-GB"/>
        </w:rPr>
        <w:t>prices.  Logged data will replace the assumed data used to calculate the</w:t>
      </w:r>
      <w:r w:rsidR="00EC5B52" w:rsidRPr="00EA64D6">
        <w:rPr>
          <w:lang w:eastAsia="en-GB"/>
        </w:rPr>
        <w:t xml:space="preserve"> total energy consumption for the base case (gas only)</w:t>
      </w:r>
      <w:r w:rsidRPr="00EA64D6">
        <w:rPr>
          <w:lang w:eastAsia="en-GB"/>
        </w:rPr>
        <w:t xml:space="preserve">.  </w:t>
      </w:r>
      <w:r w:rsidR="00EC5B52" w:rsidRPr="00EA64D6">
        <w:rPr>
          <w:lang w:eastAsia="en-GB"/>
        </w:rPr>
        <w:t xml:space="preserve">This </w:t>
      </w:r>
      <w:r w:rsidR="00573B4E">
        <w:rPr>
          <w:lang w:eastAsia="en-GB"/>
        </w:rPr>
        <w:t xml:space="preserve">will </w:t>
      </w:r>
      <w:r w:rsidR="00EC5B52" w:rsidRPr="00EA64D6">
        <w:rPr>
          <w:lang w:eastAsia="en-GB"/>
        </w:rPr>
        <w:t>allow</w:t>
      </w:r>
      <w:r>
        <w:rPr>
          <w:lang w:eastAsia="en-GB"/>
        </w:rPr>
        <w:t xml:space="preserve"> an</w:t>
      </w:r>
      <w:r w:rsidR="00EC5B52" w:rsidRPr="00EA64D6">
        <w:rPr>
          <w:lang w:eastAsia="en-GB"/>
        </w:rPr>
        <w:t xml:space="preserve"> investigat</w:t>
      </w:r>
      <w:r>
        <w:rPr>
          <w:lang w:eastAsia="en-GB"/>
        </w:rPr>
        <w:t>ion into</w:t>
      </w:r>
      <w:r w:rsidR="00EC5B52" w:rsidRPr="00EA64D6">
        <w:rPr>
          <w:lang w:eastAsia="en-GB"/>
        </w:rPr>
        <w:t xml:space="preserve"> the optimum </w:t>
      </w:r>
      <w:r>
        <w:rPr>
          <w:lang w:eastAsia="en-GB"/>
        </w:rPr>
        <w:t>heat pump</w:t>
      </w:r>
      <w:r w:rsidR="00EC5B52" w:rsidRPr="00EA64D6">
        <w:rPr>
          <w:lang w:eastAsia="en-GB"/>
        </w:rPr>
        <w:t xml:space="preserve"> size based on NPV and LCOE calculations. </w:t>
      </w:r>
      <w:r w:rsidRPr="00EA64D6">
        <w:rPr>
          <w:lang w:eastAsia="en-GB"/>
        </w:rPr>
        <w:t xml:space="preserve">Current efforts are converting the heat model from static to dynamic, which will allow BEN to </w:t>
      </w:r>
      <w:r w:rsidR="00EC5B52" w:rsidRPr="00EA64D6">
        <w:rPr>
          <w:lang w:eastAsia="en-GB"/>
        </w:rPr>
        <w:t>take into account the heating schedule of the building</w:t>
      </w:r>
      <w:r w:rsidRPr="00EA64D6">
        <w:rPr>
          <w:lang w:eastAsia="en-GB"/>
        </w:rPr>
        <w:t>s</w:t>
      </w:r>
      <w:r w:rsidR="00EC5B52" w:rsidRPr="00EA64D6">
        <w:rPr>
          <w:lang w:eastAsia="en-GB"/>
        </w:rPr>
        <w:t xml:space="preserve"> </w:t>
      </w:r>
      <w:r w:rsidRPr="00EA64D6">
        <w:rPr>
          <w:lang w:eastAsia="en-GB"/>
        </w:rPr>
        <w:t xml:space="preserve">and </w:t>
      </w:r>
      <w:r w:rsidR="00EC5B52" w:rsidRPr="00EA64D6">
        <w:rPr>
          <w:lang w:eastAsia="en-GB"/>
        </w:rPr>
        <w:t>make better control decisions over the use of the building itself as a thermal store</w:t>
      </w:r>
      <w:r w:rsidRPr="00EA64D6">
        <w:rPr>
          <w:lang w:eastAsia="en-GB"/>
        </w:rPr>
        <w:t>.</w:t>
      </w:r>
      <w:r w:rsidR="00573B4E">
        <w:rPr>
          <w:lang w:eastAsia="en-GB"/>
        </w:rPr>
        <w:t xml:space="preserve">  </w:t>
      </w:r>
    </w:p>
    <w:p w14:paraId="19BDE387" w14:textId="77777777" w:rsidR="0081256C" w:rsidRDefault="0081256C" w:rsidP="002060C5">
      <w:pPr>
        <w:pStyle w:val="eceee-Heading1"/>
      </w:pPr>
      <w:r>
        <w:t>Acknowledgements</w:t>
      </w:r>
    </w:p>
    <w:p w14:paraId="24CE5F27" w14:textId="77777777" w:rsidR="0081256C" w:rsidRDefault="002060C5" w:rsidP="00EB7F55">
      <w:pPr>
        <w:pStyle w:val="eceee-BodyText"/>
      </w:pPr>
      <w:r>
        <w:t>The BEN project is</w:t>
      </w:r>
      <w:r w:rsidR="0081256C">
        <w:t xml:space="preserve"> supported by an Innovate UK Integrated Supply Chains for Energy Systems Grant, as well as by funding from each project partner in the consortium. </w:t>
      </w:r>
      <w:r w:rsidR="00ED4836">
        <w:t xml:space="preserve">Each component of the BEN system is an original design created specifically for the BEN project as the result of considerable research and innovation.  </w:t>
      </w:r>
      <w:r w:rsidR="0081256C">
        <w:t xml:space="preserve">The consortium consists of ICAX Ltd (project lead coordinators), </w:t>
      </w:r>
      <w:r w:rsidR="00ED4836">
        <w:t>who designed the Cold Water Heat Network (heat sharing) as well as the plant room interface strategies. T</w:t>
      </w:r>
      <w:r w:rsidR="0081256C">
        <w:t>erra Firma Ground Investigations</w:t>
      </w:r>
      <w:r w:rsidR="00ED4836">
        <w:t xml:space="preserve"> have created the borehole designs to link BEN to the chalk aquifer beneath London</w:t>
      </w:r>
      <w:r w:rsidR="0081256C">
        <w:t xml:space="preserve">, </w:t>
      </w:r>
      <w:r>
        <w:t>Upside Energy</w:t>
      </w:r>
      <w:r w:rsidR="00ED4836">
        <w:t xml:space="preserve"> created the DSR algorithms featured in this paper</w:t>
      </w:r>
      <w:r>
        <w:t>, Mixergy Ltd.</w:t>
      </w:r>
      <w:r w:rsidR="00ED4836">
        <w:t xml:space="preserve"> created the hot water storage cylinders also described in this paper</w:t>
      </w:r>
      <w:r>
        <w:t xml:space="preserve"> </w:t>
      </w:r>
      <w:r w:rsidR="00ED4836">
        <w:t xml:space="preserve">and finally </w:t>
      </w:r>
      <w:r>
        <w:t>Origen Power, and Cranfield University</w:t>
      </w:r>
      <w:r w:rsidR="00ED4836">
        <w:t xml:space="preserve"> are creating a fuel cell calciner that uses natural gas to create electricity while actively removing CO</w:t>
      </w:r>
      <w:r w:rsidR="00ED4836" w:rsidRPr="00ED4836">
        <w:rPr>
          <w:vertAlign w:val="subscript"/>
        </w:rPr>
        <w:t>2</w:t>
      </w:r>
      <w:r w:rsidR="00ED4836">
        <w:t xml:space="preserve"> from the atmosphere</w:t>
      </w:r>
      <w:r>
        <w:t>.  The authors are grateful for their support and input.</w:t>
      </w:r>
    </w:p>
    <w:p w14:paraId="1C251BFC" w14:textId="77777777" w:rsidR="00B87842" w:rsidRDefault="00B87842">
      <w:pPr>
        <w:pStyle w:val="Heading1"/>
      </w:pPr>
      <w:r>
        <w:lastRenderedPageBreak/>
        <w:t>References</w:t>
      </w:r>
    </w:p>
    <w:p w14:paraId="56AF4A98" w14:textId="77777777" w:rsidR="008B1A70" w:rsidRDefault="008B1A70" w:rsidP="008B1A70">
      <w:pPr>
        <w:pStyle w:val="eceee-References"/>
        <w:rPr>
          <w:noProof/>
        </w:rPr>
      </w:pPr>
      <w:r>
        <w:rPr>
          <w:noProof/>
        </w:rPr>
        <w:t xml:space="preserve">CCC, 2016. </w:t>
      </w:r>
      <w:r>
        <w:rPr>
          <w:i/>
          <w:iCs/>
          <w:noProof/>
        </w:rPr>
        <w:t xml:space="preserve">Next Steps for UK heat policy, </w:t>
      </w:r>
      <w:r>
        <w:rPr>
          <w:noProof/>
        </w:rPr>
        <w:t>London: Committee on Climate Change.</w:t>
      </w:r>
    </w:p>
    <w:p w14:paraId="1DCD7DF7" w14:textId="77777777" w:rsidR="008B1A70" w:rsidRDefault="008B1A70" w:rsidP="008B1A70">
      <w:pPr>
        <w:pStyle w:val="eceee-References"/>
        <w:rPr>
          <w:noProof/>
        </w:rPr>
      </w:pPr>
      <w:r>
        <w:rPr>
          <w:noProof/>
        </w:rPr>
        <w:t xml:space="preserve">CIBSE, 2006. </w:t>
      </w:r>
      <w:r>
        <w:rPr>
          <w:i/>
          <w:iCs/>
          <w:noProof/>
        </w:rPr>
        <w:t xml:space="preserve">CIBSE Guide A, </w:t>
      </w:r>
      <w:r>
        <w:rPr>
          <w:noProof/>
        </w:rPr>
        <w:t>London, UK: Chartered Institution of Building Services Engineering.</w:t>
      </w:r>
    </w:p>
    <w:p w14:paraId="6F6630EA" w14:textId="77777777" w:rsidR="008B1A70" w:rsidRDefault="008B1A70" w:rsidP="008B1A70">
      <w:pPr>
        <w:pStyle w:val="eceee-References"/>
        <w:rPr>
          <w:noProof/>
        </w:rPr>
      </w:pPr>
      <w:r>
        <w:rPr>
          <w:noProof/>
        </w:rPr>
        <w:t xml:space="preserve">DECC, 2012. </w:t>
      </w:r>
      <w:r>
        <w:rPr>
          <w:i/>
          <w:iCs/>
          <w:noProof/>
        </w:rPr>
        <w:t xml:space="preserve">The Future of Heating: A Strategic Framework for Low Carbon Heat in the UK, </w:t>
      </w:r>
      <w:r>
        <w:rPr>
          <w:noProof/>
        </w:rPr>
        <w:t>London: Department of Energy and Climate Change.</w:t>
      </w:r>
    </w:p>
    <w:p w14:paraId="3E6F6616" w14:textId="77777777" w:rsidR="008B1A70" w:rsidRDefault="008B1A70" w:rsidP="008B1A70">
      <w:pPr>
        <w:pStyle w:val="eceee-References"/>
        <w:rPr>
          <w:noProof/>
        </w:rPr>
      </w:pPr>
      <w:r>
        <w:rPr>
          <w:noProof/>
        </w:rPr>
        <w:t xml:space="preserve">DECC, 2013. </w:t>
      </w:r>
      <w:r>
        <w:rPr>
          <w:i/>
          <w:iCs/>
          <w:noProof/>
        </w:rPr>
        <w:t xml:space="preserve">The Future of Heating: Meeting the Challenge, </w:t>
      </w:r>
      <w:r>
        <w:rPr>
          <w:noProof/>
        </w:rPr>
        <w:t>London: DECC.</w:t>
      </w:r>
    </w:p>
    <w:p w14:paraId="52AC352E" w14:textId="77777777" w:rsidR="008B1A70" w:rsidRDefault="008B1A70" w:rsidP="008B1A70">
      <w:pPr>
        <w:pStyle w:val="eceee-References"/>
        <w:rPr>
          <w:noProof/>
        </w:rPr>
      </w:pPr>
      <w:r>
        <w:rPr>
          <w:noProof/>
        </w:rPr>
        <w:t xml:space="preserve">DECC, 2016. </w:t>
      </w:r>
      <w:r>
        <w:rPr>
          <w:i/>
          <w:iCs/>
          <w:noProof/>
        </w:rPr>
        <w:t xml:space="preserve">Heat Pumps in District Heating - Final Report, </w:t>
      </w:r>
      <w:r>
        <w:rPr>
          <w:noProof/>
        </w:rPr>
        <w:t>London: Element Energy and Carbon Alternatives on behalf of DECC.</w:t>
      </w:r>
    </w:p>
    <w:p w14:paraId="338101B9" w14:textId="77777777" w:rsidR="008B1A70" w:rsidRDefault="008B1A70" w:rsidP="008B1A70">
      <w:pPr>
        <w:pStyle w:val="eceee-References"/>
        <w:rPr>
          <w:noProof/>
        </w:rPr>
      </w:pPr>
      <w:r>
        <w:rPr>
          <w:noProof/>
        </w:rPr>
        <w:t xml:space="preserve">ElementEnergy, 2014. </w:t>
      </w:r>
      <w:r>
        <w:rPr>
          <w:i/>
          <w:iCs/>
          <w:noProof/>
        </w:rPr>
        <w:t xml:space="preserve">Incrastructure in a low carbon energy system in 2030: Transmission and distribution, </w:t>
      </w:r>
      <w:r>
        <w:rPr>
          <w:noProof/>
        </w:rPr>
        <w:t>London: Imperial College London and Element Energy on behalf of the Committee on Climate Change.</w:t>
      </w:r>
    </w:p>
    <w:p w14:paraId="772BF224" w14:textId="77777777" w:rsidR="008B1A70" w:rsidRDefault="008B1A70" w:rsidP="008B1A70">
      <w:pPr>
        <w:pStyle w:val="eceee-References"/>
        <w:rPr>
          <w:noProof/>
        </w:rPr>
      </w:pPr>
      <w:r>
        <w:rPr>
          <w:noProof/>
        </w:rPr>
        <w:t xml:space="preserve">Gelazanskas, L. &amp; Gamag, K., 2014. Demand side management in smart grid: A review and proposals for future direction. </w:t>
      </w:r>
      <w:r>
        <w:rPr>
          <w:i/>
          <w:iCs/>
          <w:noProof/>
        </w:rPr>
        <w:t xml:space="preserve">Suitable Cities and Society, </w:t>
      </w:r>
      <w:r>
        <w:rPr>
          <w:noProof/>
        </w:rPr>
        <w:t>Volume 11, pp. 22-30.</w:t>
      </w:r>
    </w:p>
    <w:p w14:paraId="6BF54A68" w14:textId="77777777" w:rsidR="008B1A70" w:rsidRDefault="008B1A70" w:rsidP="008B1A70">
      <w:pPr>
        <w:pStyle w:val="eceee-References"/>
        <w:rPr>
          <w:noProof/>
        </w:rPr>
      </w:pPr>
      <w:r>
        <w:rPr>
          <w:noProof/>
        </w:rPr>
        <w:t xml:space="preserve">Gillich, A., Ford, A., Hewitt, M. &amp; Thompson, E., 2016. </w:t>
      </w:r>
      <w:r>
        <w:rPr>
          <w:i/>
          <w:iCs/>
          <w:noProof/>
        </w:rPr>
        <w:t xml:space="preserve">Cold Water Heat Networks and the Thermal Storage Revolution. </w:t>
      </w:r>
      <w:r>
        <w:rPr>
          <w:noProof/>
        </w:rPr>
        <w:t>Aalbourg, Denmark, Proceedings from the CLIMA 2016 conference..</w:t>
      </w:r>
    </w:p>
    <w:p w14:paraId="3C347762" w14:textId="77777777" w:rsidR="008B1A70" w:rsidRDefault="008B1A70" w:rsidP="008B1A70">
      <w:pPr>
        <w:pStyle w:val="eceee-References"/>
        <w:rPr>
          <w:noProof/>
        </w:rPr>
      </w:pPr>
      <w:r>
        <w:rPr>
          <w:noProof/>
        </w:rPr>
        <w:t xml:space="preserve">Grunewald, P. &amp; Torriti, J., 2013. Demand response from the non-domestic sector: Early UK experiences and future opportunities. </w:t>
      </w:r>
      <w:r>
        <w:rPr>
          <w:i/>
          <w:iCs/>
          <w:noProof/>
        </w:rPr>
        <w:t xml:space="preserve">Energy Policy, </w:t>
      </w:r>
      <w:r>
        <w:rPr>
          <w:noProof/>
        </w:rPr>
        <w:t>Volume 61, pp. 423-429.</w:t>
      </w:r>
    </w:p>
    <w:p w14:paraId="43D4D154" w14:textId="77777777" w:rsidR="008B1A70" w:rsidRDefault="008B1A70" w:rsidP="008B1A70">
      <w:pPr>
        <w:pStyle w:val="eceee-References"/>
        <w:rPr>
          <w:noProof/>
        </w:rPr>
      </w:pPr>
      <w:r>
        <w:rPr>
          <w:noProof/>
        </w:rPr>
        <w:t xml:space="preserve">MacLean, K., Sansom, R., Watson, T. &amp; Gross, R., 2016. </w:t>
      </w:r>
      <w:r>
        <w:rPr>
          <w:i/>
          <w:iCs/>
          <w:noProof/>
        </w:rPr>
        <w:t xml:space="preserve">Managing Heat System Decarbonisation - Comparing the impacts and costs of transitions in heat infrastructure, </w:t>
      </w:r>
      <w:r>
        <w:rPr>
          <w:noProof/>
        </w:rPr>
        <w:t>London: Imperial College London.</w:t>
      </w:r>
    </w:p>
    <w:p w14:paraId="566F5E7A" w14:textId="77777777" w:rsidR="008B1A70" w:rsidRDefault="008B1A70" w:rsidP="008B1A70">
      <w:pPr>
        <w:pStyle w:val="eceee-References"/>
        <w:rPr>
          <w:noProof/>
        </w:rPr>
      </w:pPr>
      <w:r>
        <w:rPr>
          <w:noProof/>
        </w:rPr>
        <w:t xml:space="preserve">National Grid, 2012. </w:t>
      </w:r>
      <w:r>
        <w:rPr>
          <w:i/>
          <w:iCs/>
          <w:noProof/>
        </w:rPr>
        <w:t xml:space="preserve">Pathways for Decarbonising Heat, </w:t>
      </w:r>
      <w:r>
        <w:rPr>
          <w:noProof/>
        </w:rPr>
        <w:t>s.l.: Redpoint Energy Ltd on behalf of National Grid.</w:t>
      </w:r>
    </w:p>
    <w:p w14:paraId="09885BCB" w14:textId="77777777" w:rsidR="008B1A70" w:rsidRDefault="008B1A70" w:rsidP="008B1A70">
      <w:pPr>
        <w:pStyle w:val="eceee-References"/>
        <w:rPr>
          <w:noProof/>
        </w:rPr>
      </w:pPr>
      <w:r>
        <w:rPr>
          <w:noProof/>
        </w:rPr>
        <w:t xml:space="preserve">National Grid, 2016. </w:t>
      </w:r>
      <w:r>
        <w:rPr>
          <w:i/>
          <w:iCs/>
          <w:noProof/>
        </w:rPr>
        <w:t xml:space="preserve">National Grid - Short Term Operating Reserve. </w:t>
      </w:r>
      <w:r>
        <w:rPr>
          <w:noProof/>
        </w:rPr>
        <w:t xml:space="preserve">[Online] </w:t>
      </w:r>
      <w:r>
        <w:rPr>
          <w:noProof/>
        </w:rPr>
        <w:br/>
        <w:t xml:space="preserve">Available at: </w:t>
      </w:r>
      <w:r>
        <w:rPr>
          <w:noProof/>
          <w:u w:val="single"/>
        </w:rPr>
        <w:t>http://www2.nationalgrid.com/uk/services/balancing-services/reserve-services/short-term-operating-reserve/</w:t>
      </w:r>
      <w:r>
        <w:rPr>
          <w:noProof/>
        </w:rPr>
        <w:br/>
        <w:t>[Accessed 06 01 2017].</w:t>
      </w:r>
    </w:p>
    <w:p w14:paraId="4F363CAF" w14:textId="77777777" w:rsidR="008B1A70" w:rsidRDefault="008B1A70" w:rsidP="008B1A70">
      <w:pPr>
        <w:pStyle w:val="eceee-References"/>
        <w:rPr>
          <w:noProof/>
        </w:rPr>
      </w:pPr>
      <w:r>
        <w:rPr>
          <w:noProof/>
        </w:rPr>
        <w:t xml:space="preserve">Ofgem, 2016. </w:t>
      </w:r>
      <w:r>
        <w:rPr>
          <w:i/>
          <w:iCs/>
          <w:noProof/>
        </w:rPr>
        <w:t xml:space="preserve">OFGEM - Aggregators - Barriers and External Impacts, </w:t>
      </w:r>
      <w:r>
        <w:rPr>
          <w:noProof/>
        </w:rPr>
        <w:t>London: OFGEM.</w:t>
      </w:r>
    </w:p>
    <w:p w14:paraId="6EC2D96B" w14:textId="77777777" w:rsidR="008B1A70" w:rsidRDefault="008B1A70" w:rsidP="008B1A70">
      <w:pPr>
        <w:pStyle w:val="eceee-References"/>
        <w:rPr>
          <w:noProof/>
        </w:rPr>
      </w:pPr>
      <w:r>
        <w:rPr>
          <w:noProof/>
        </w:rPr>
        <w:t xml:space="preserve">Palensky, P. &amp; Dietrich, D., 2011. Demand Side Management: Demand Response, Intelligent Energy Systems, and Smart Loads. </w:t>
      </w:r>
      <w:r>
        <w:rPr>
          <w:i/>
          <w:iCs/>
          <w:noProof/>
        </w:rPr>
        <w:t xml:space="preserve">IEEE Transaction on Industrial Infomratics, </w:t>
      </w:r>
      <w:r>
        <w:rPr>
          <w:noProof/>
        </w:rPr>
        <w:t>7(3), pp. 381-388.</w:t>
      </w:r>
    </w:p>
    <w:p w14:paraId="441BC187" w14:textId="77777777" w:rsidR="008B1A70" w:rsidRDefault="008B1A70" w:rsidP="008B1A70">
      <w:pPr>
        <w:pStyle w:val="eceee-References"/>
        <w:rPr>
          <w:noProof/>
        </w:rPr>
      </w:pPr>
      <w:r>
        <w:rPr>
          <w:noProof/>
        </w:rPr>
        <w:t xml:space="preserve">Power Responsive, 2016. </w:t>
      </w:r>
      <w:r>
        <w:rPr>
          <w:i/>
          <w:iCs/>
          <w:noProof/>
        </w:rPr>
        <w:t xml:space="preserve">Power Responsive DSR Product Map Glossary, </w:t>
      </w:r>
      <w:r>
        <w:rPr>
          <w:noProof/>
        </w:rPr>
        <w:t>http://www2.nationalgrid.com/WorkArea/DownloadAsset.aspx?id=8589935075: National Grid.</w:t>
      </w:r>
    </w:p>
    <w:p w14:paraId="77DC21FE" w14:textId="77777777" w:rsidR="008B1A70" w:rsidRDefault="008B1A70" w:rsidP="008B1A70">
      <w:pPr>
        <w:pStyle w:val="eceee-References"/>
        <w:rPr>
          <w:noProof/>
        </w:rPr>
      </w:pPr>
      <w:r>
        <w:rPr>
          <w:noProof/>
        </w:rPr>
        <w:t xml:space="preserve">REA, 2015. </w:t>
      </w:r>
      <w:r>
        <w:rPr>
          <w:i/>
          <w:iCs/>
          <w:noProof/>
        </w:rPr>
        <w:t xml:space="preserve">Energy Storage in the UK - An Overview, </w:t>
      </w:r>
      <w:r>
        <w:rPr>
          <w:noProof/>
        </w:rPr>
        <w:t>London: Renewable Energy Association.</w:t>
      </w:r>
    </w:p>
    <w:p w14:paraId="53111831" w14:textId="77777777" w:rsidR="008B1A70" w:rsidRDefault="008B1A70" w:rsidP="008B1A70">
      <w:pPr>
        <w:pStyle w:val="eceee-References"/>
        <w:rPr>
          <w:noProof/>
        </w:rPr>
      </w:pPr>
      <w:r>
        <w:rPr>
          <w:noProof/>
        </w:rPr>
        <w:t xml:space="preserve">Strbac, G. et al., 2015. </w:t>
      </w:r>
      <w:r>
        <w:rPr>
          <w:i/>
          <w:iCs/>
          <w:noProof/>
        </w:rPr>
        <w:t xml:space="preserve">Value of Flexibility in a Decarbonised Grid and System Externalities of Low-Carbon Generation Technologies, </w:t>
      </w:r>
      <w:r>
        <w:rPr>
          <w:noProof/>
        </w:rPr>
        <w:t>London: Imperial College London and Nera consulting on behalf of the Committee on Climate Change.</w:t>
      </w:r>
    </w:p>
    <w:p w14:paraId="51D9E0A6" w14:textId="77777777" w:rsidR="008B1A70" w:rsidRDefault="008B1A70" w:rsidP="008B1A70"/>
    <w:p w14:paraId="2E8C19C5" w14:textId="77777777" w:rsidR="008B1A70" w:rsidRDefault="008B1A70" w:rsidP="00B87842">
      <w:pPr>
        <w:pStyle w:val="eceee-References"/>
        <w:rPr>
          <w:noProof/>
        </w:rPr>
      </w:pPr>
    </w:p>
    <w:p w14:paraId="4FC56FC2" w14:textId="77777777" w:rsidR="00C80649" w:rsidRDefault="00C80649" w:rsidP="00C80649">
      <w:pPr>
        <w:pStyle w:val="eceee-Heading1"/>
      </w:pPr>
      <w:r>
        <w:t>Appendix A</w:t>
      </w:r>
    </w:p>
    <w:p w14:paraId="645D5378" w14:textId="77777777" w:rsidR="00C80649" w:rsidRDefault="00C80649" w:rsidP="00B87842"/>
    <w:p w14:paraId="6B58154F" w14:textId="77777777" w:rsidR="00C80649" w:rsidRDefault="00C80649" w:rsidP="00C80649">
      <w:pPr>
        <w:pStyle w:val="eceee-BodyText"/>
      </w:pPr>
      <w:r>
        <w:t xml:space="preserve">Should the grid frequency fall below 49.7Hz, a low frequency event is triggered. If the grid frequency rises above 50.3Hz, a high frequency event is triggered. A low frequency event requires a decrease in demand, while a high frequency event requires an increase in demand in order to help stabilise the grid. Low and High FFR is further characterised by response duration: Primary FFR must last 30 seconds and Secondary FFR 30 minutes. A primary FFR response time is 1 second, and spinning reserve is unable to respond that quickly.  </w:t>
      </w:r>
    </w:p>
    <w:p w14:paraId="2D365510" w14:textId="77777777" w:rsidR="00BD17E2" w:rsidRDefault="00BD17E2" w:rsidP="00C80649">
      <w:pPr>
        <w:pStyle w:val="eceee-BodyText"/>
      </w:pPr>
      <w:r>
        <w:t>Table A1 gives a more detailed calculation for the potential RHI revenue available for the BEN project.  This was carried out as a separate calculation exercise to the DSR work in the body text and is given for illustration of how the RHI revenues increase with heat pump size.</w:t>
      </w:r>
    </w:p>
    <w:p w14:paraId="186A06E1" w14:textId="77777777" w:rsidR="000E561C" w:rsidRDefault="000E561C" w:rsidP="000E561C">
      <w:pPr>
        <w:pStyle w:val="eceee-Tableheading"/>
      </w:pPr>
      <w:commentRangeStart w:id="16"/>
      <w:commentRangeStart w:id="17"/>
      <w:r>
        <w:t xml:space="preserve">Table A1: </w:t>
      </w:r>
      <w:r w:rsidR="00573B4E">
        <w:t xml:space="preserve">Supplementary </w:t>
      </w:r>
      <w:commentRangeEnd w:id="16"/>
      <w:r w:rsidR="00CA725B">
        <w:rPr>
          <w:rStyle w:val="CommentReference"/>
          <w:b w:val="0"/>
        </w:rPr>
        <w:commentReference w:id="16"/>
      </w:r>
      <w:commentRangeEnd w:id="17"/>
      <w:r w:rsidR="00BD17E2">
        <w:rPr>
          <w:rStyle w:val="CommentReference"/>
          <w:b w:val="0"/>
        </w:rPr>
        <w:commentReference w:id="17"/>
      </w:r>
      <w:r w:rsidR="00573B4E">
        <w:t xml:space="preserve">Calculations for </w:t>
      </w:r>
      <w:r>
        <w:t>Renewable Heat Incentive for BEN project.</w:t>
      </w: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094"/>
        <w:gridCol w:w="3095"/>
        <w:gridCol w:w="3093"/>
      </w:tblGrid>
      <w:tr w:rsidR="000E561C" w:rsidRPr="008B1A70" w14:paraId="6A5AC11A" w14:textId="77777777" w:rsidTr="000E561C">
        <w:trPr>
          <w:trHeight w:val="110"/>
        </w:trPr>
        <w:tc>
          <w:tcPr>
            <w:tcW w:w="1667" w:type="pct"/>
          </w:tcPr>
          <w:p w14:paraId="3696A4D4" w14:textId="77777777" w:rsidR="000E561C" w:rsidRPr="008B1A70" w:rsidRDefault="000E561C" w:rsidP="000E561C">
            <w:pPr>
              <w:pStyle w:val="eceee-Tabletext"/>
              <w:rPr>
                <w:b/>
                <w:lang w:eastAsia="en-GB"/>
              </w:rPr>
            </w:pPr>
            <w:r w:rsidRPr="008B1A70">
              <w:rPr>
                <w:b/>
                <w:lang w:eastAsia="en-GB"/>
              </w:rPr>
              <w:t>GSHP size (kW)</w:t>
            </w:r>
          </w:p>
        </w:tc>
        <w:tc>
          <w:tcPr>
            <w:tcW w:w="1667" w:type="pct"/>
          </w:tcPr>
          <w:p w14:paraId="4C3E309B" w14:textId="77777777" w:rsidR="000E561C" w:rsidRPr="008B1A70" w:rsidRDefault="000E561C" w:rsidP="000E561C">
            <w:pPr>
              <w:pStyle w:val="eceee-Tabletext"/>
              <w:rPr>
                <w:b/>
                <w:lang w:eastAsia="en-GB"/>
              </w:rPr>
            </w:pPr>
            <w:r w:rsidRPr="008B1A70">
              <w:rPr>
                <w:b/>
                <w:lang w:eastAsia="en-GB"/>
              </w:rPr>
              <w:t>1000</w:t>
            </w:r>
          </w:p>
        </w:tc>
        <w:tc>
          <w:tcPr>
            <w:tcW w:w="1666" w:type="pct"/>
          </w:tcPr>
          <w:p w14:paraId="08DB911D" w14:textId="77777777" w:rsidR="000E561C" w:rsidRPr="008B1A70" w:rsidRDefault="000E561C" w:rsidP="000E561C">
            <w:pPr>
              <w:pStyle w:val="eceee-Tabletext"/>
              <w:rPr>
                <w:b/>
                <w:lang w:eastAsia="en-GB"/>
              </w:rPr>
            </w:pPr>
            <w:r w:rsidRPr="008B1A70">
              <w:rPr>
                <w:b/>
                <w:lang w:eastAsia="en-GB"/>
              </w:rPr>
              <w:t>600</w:t>
            </w:r>
          </w:p>
        </w:tc>
      </w:tr>
      <w:tr w:rsidR="000E561C" w:rsidRPr="000E561C" w14:paraId="2A906B00" w14:textId="77777777" w:rsidTr="008B1A70">
        <w:trPr>
          <w:trHeight w:val="110"/>
        </w:trPr>
        <w:tc>
          <w:tcPr>
            <w:tcW w:w="1667" w:type="pct"/>
            <w:tcBorders>
              <w:bottom w:val="nil"/>
            </w:tcBorders>
          </w:tcPr>
          <w:p w14:paraId="36AEEBCC" w14:textId="77777777" w:rsidR="000E561C" w:rsidRPr="000E561C" w:rsidRDefault="000E561C" w:rsidP="000E561C">
            <w:pPr>
              <w:pStyle w:val="eceee-Tabletext"/>
              <w:rPr>
                <w:lang w:eastAsia="en-GB"/>
              </w:rPr>
            </w:pPr>
            <w:r w:rsidRPr="000E561C">
              <w:rPr>
                <w:lang w:eastAsia="en-GB"/>
              </w:rPr>
              <w:t>Total</w:t>
            </w:r>
            <w:r>
              <w:rPr>
                <w:lang w:eastAsia="en-GB"/>
              </w:rPr>
              <w:t xml:space="preserve"> Annual Heating</w:t>
            </w:r>
          </w:p>
        </w:tc>
        <w:tc>
          <w:tcPr>
            <w:tcW w:w="1667" w:type="pct"/>
            <w:tcBorders>
              <w:bottom w:val="nil"/>
            </w:tcBorders>
          </w:tcPr>
          <w:p w14:paraId="6F98B36B" w14:textId="77777777" w:rsidR="000E561C" w:rsidRPr="000E561C" w:rsidRDefault="000E561C" w:rsidP="000E561C">
            <w:pPr>
              <w:pStyle w:val="eceee-Tabletext"/>
              <w:rPr>
                <w:lang w:eastAsia="en-GB"/>
              </w:rPr>
            </w:pPr>
            <w:r w:rsidRPr="000E561C">
              <w:rPr>
                <w:lang w:eastAsia="en-GB"/>
              </w:rPr>
              <w:t>2,110,664</w:t>
            </w:r>
          </w:p>
        </w:tc>
        <w:tc>
          <w:tcPr>
            <w:tcW w:w="1666" w:type="pct"/>
            <w:tcBorders>
              <w:bottom w:val="nil"/>
            </w:tcBorders>
          </w:tcPr>
          <w:p w14:paraId="5028068F" w14:textId="77777777" w:rsidR="000E561C" w:rsidRPr="000E561C" w:rsidRDefault="000E561C" w:rsidP="000E561C">
            <w:pPr>
              <w:pStyle w:val="eceee-Tabletext"/>
              <w:rPr>
                <w:lang w:eastAsia="en-GB"/>
              </w:rPr>
            </w:pPr>
            <w:r w:rsidRPr="000E561C">
              <w:rPr>
                <w:lang w:eastAsia="en-GB"/>
              </w:rPr>
              <w:t>2,110,664</w:t>
            </w:r>
          </w:p>
        </w:tc>
      </w:tr>
      <w:tr w:rsidR="000E561C" w:rsidRPr="000E561C" w14:paraId="536FA4FA" w14:textId="77777777" w:rsidTr="008B1A70">
        <w:trPr>
          <w:trHeight w:val="110"/>
        </w:trPr>
        <w:tc>
          <w:tcPr>
            <w:tcW w:w="1667" w:type="pct"/>
            <w:tcBorders>
              <w:top w:val="nil"/>
              <w:bottom w:val="nil"/>
            </w:tcBorders>
          </w:tcPr>
          <w:p w14:paraId="0165AAAF" w14:textId="77777777" w:rsidR="000E561C" w:rsidRPr="000E561C" w:rsidRDefault="000E561C" w:rsidP="006E56C9">
            <w:pPr>
              <w:pStyle w:val="eceee-Tabletext"/>
              <w:rPr>
                <w:lang w:eastAsia="en-GB"/>
              </w:rPr>
            </w:pPr>
            <w:r w:rsidRPr="000E561C">
              <w:rPr>
                <w:lang w:eastAsia="en-GB"/>
              </w:rPr>
              <w:t xml:space="preserve">RHI </w:t>
            </w:r>
            <w:r w:rsidR="006E56C9">
              <w:rPr>
                <w:lang w:eastAsia="en-GB"/>
              </w:rPr>
              <w:t>T</w:t>
            </w:r>
            <w:r w:rsidRPr="000E561C">
              <w:rPr>
                <w:lang w:eastAsia="en-GB"/>
              </w:rPr>
              <w:t>ier 1 (kW</w:t>
            </w:r>
            <w:r w:rsidR="006E56C9">
              <w:rPr>
                <w:lang w:eastAsia="en-GB"/>
              </w:rPr>
              <w:t>h</w:t>
            </w:r>
            <w:r w:rsidRPr="000E561C">
              <w:rPr>
                <w:lang w:eastAsia="en-GB"/>
              </w:rPr>
              <w:t>)</w:t>
            </w:r>
          </w:p>
        </w:tc>
        <w:tc>
          <w:tcPr>
            <w:tcW w:w="1667" w:type="pct"/>
            <w:tcBorders>
              <w:top w:val="nil"/>
              <w:bottom w:val="nil"/>
            </w:tcBorders>
          </w:tcPr>
          <w:p w14:paraId="34519A39" w14:textId="77777777" w:rsidR="000E561C" w:rsidRPr="000E561C" w:rsidRDefault="000E561C" w:rsidP="000E561C">
            <w:pPr>
              <w:pStyle w:val="eceee-Tabletext"/>
              <w:rPr>
                <w:lang w:eastAsia="en-GB"/>
              </w:rPr>
            </w:pPr>
            <w:r w:rsidRPr="000E561C">
              <w:rPr>
                <w:lang w:eastAsia="en-GB"/>
              </w:rPr>
              <w:t>1,314,000</w:t>
            </w:r>
          </w:p>
        </w:tc>
        <w:tc>
          <w:tcPr>
            <w:tcW w:w="1666" w:type="pct"/>
            <w:tcBorders>
              <w:top w:val="nil"/>
              <w:bottom w:val="nil"/>
            </w:tcBorders>
          </w:tcPr>
          <w:p w14:paraId="39963B59" w14:textId="77777777" w:rsidR="000E561C" w:rsidRPr="000E561C" w:rsidRDefault="000E561C" w:rsidP="000E561C">
            <w:pPr>
              <w:pStyle w:val="eceee-Tabletext"/>
              <w:rPr>
                <w:lang w:eastAsia="en-GB"/>
              </w:rPr>
            </w:pPr>
            <w:r w:rsidRPr="000E561C">
              <w:rPr>
                <w:lang w:eastAsia="en-GB"/>
              </w:rPr>
              <w:t>788,400</w:t>
            </w:r>
          </w:p>
        </w:tc>
      </w:tr>
      <w:tr w:rsidR="000E561C" w:rsidRPr="000E561C" w14:paraId="065A30B1" w14:textId="77777777" w:rsidTr="008B1A70">
        <w:trPr>
          <w:trHeight w:val="110"/>
        </w:trPr>
        <w:tc>
          <w:tcPr>
            <w:tcW w:w="1667" w:type="pct"/>
            <w:tcBorders>
              <w:top w:val="nil"/>
            </w:tcBorders>
          </w:tcPr>
          <w:p w14:paraId="7D18F2AB" w14:textId="77777777" w:rsidR="000E561C" w:rsidRPr="000E561C" w:rsidRDefault="000E561C" w:rsidP="006E56C9">
            <w:pPr>
              <w:pStyle w:val="eceee-Tabletext"/>
              <w:rPr>
                <w:lang w:eastAsia="en-GB"/>
              </w:rPr>
            </w:pPr>
            <w:r w:rsidRPr="000E561C">
              <w:rPr>
                <w:lang w:eastAsia="en-GB"/>
              </w:rPr>
              <w:t>RHI Tier 2 (kW</w:t>
            </w:r>
            <w:r w:rsidR="006E56C9">
              <w:rPr>
                <w:lang w:eastAsia="en-GB"/>
              </w:rPr>
              <w:t>h</w:t>
            </w:r>
            <w:r w:rsidRPr="000E561C">
              <w:rPr>
                <w:lang w:eastAsia="en-GB"/>
              </w:rPr>
              <w:t>)</w:t>
            </w:r>
          </w:p>
        </w:tc>
        <w:tc>
          <w:tcPr>
            <w:tcW w:w="1667" w:type="pct"/>
            <w:tcBorders>
              <w:top w:val="nil"/>
            </w:tcBorders>
          </w:tcPr>
          <w:p w14:paraId="412280E2" w14:textId="77777777" w:rsidR="000E561C" w:rsidRPr="000E561C" w:rsidRDefault="000E561C" w:rsidP="000E561C">
            <w:pPr>
              <w:pStyle w:val="eceee-Tabletext"/>
              <w:rPr>
                <w:lang w:eastAsia="en-GB"/>
              </w:rPr>
            </w:pPr>
            <w:r w:rsidRPr="000E561C">
              <w:rPr>
                <w:lang w:eastAsia="en-GB"/>
              </w:rPr>
              <w:t>796,664</w:t>
            </w:r>
          </w:p>
        </w:tc>
        <w:tc>
          <w:tcPr>
            <w:tcW w:w="1666" w:type="pct"/>
            <w:tcBorders>
              <w:top w:val="nil"/>
            </w:tcBorders>
          </w:tcPr>
          <w:p w14:paraId="63B73431" w14:textId="77777777" w:rsidR="000E561C" w:rsidRPr="000E561C" w:rsidRDefault="000E561C" w:rsidP="000E561C">
            <w:pPr>
              <w:pStyle w:val="eceee-Tabletext"/>
              <w:rPr>
                <w:lang w:eastAsia="en-GB"/>
              </w:rPr>
            </w:pPr>
            <w:r w:rsidRPr="000E561C">
              <w:rPr>
                <w:lang w:eastAsia="en-GB"/>
              </w:rPr>
              <w:t>1,322,264</w:t>
            </w:r>
          </w:p>
        </w:tc>
      </w:tr>
      <w:tr w:rsidR="000E561C" w:rsidRPr="008B1A70" w14:paraId="4DE4A9CC" w14:textId="77777777" w:rsidTr="000E561C">
        <w:trPr>
          <w:trHeight w:val="110"/>
        </w:trPr>
        <w:tc>
          <w:tcPr>
            <w:tcW w:w="1667" w:type="pct"/>
          </w:tcPr>
          <w:p w14:paraId="4D0AB790" w14:textId="77777777" w:rsidR="000E561C" w:rsidRPr="008B1A70" w:rsidRDefault="000E561C" w:rsidP="000E561C">
            <w:pPr>
              <w:pStyle w:val="eceee-Tabletext"/>
              <w:rPr>
                <w:b/>
                <w:lang w:eastAsia="en-GB"/>
              </w:rPr>
            </w:pPr>
            <w:r w:rsidRPr="008B1A70">
              <w:rPr>
                <w:b/>
                <w:lang w:eastAsia="en-GB"/>
              </w:rPr>
              <w:t>Total RHI income</w:t>
            </w:r>
          </w:p>
        </w:tc>
        <w:tc>
          <w:tcPr>
            <w:tcW w:w="1667" w:type="pct"/>
          </w:tcPr>
          <w:p w14:paraId="2F30F12C" w14:textId="77777777" w:rsidR="000E561C" w:rsidRPr="008B1A70" w:rsidRDefault="000E561C" w:rsidP="000E561C">
            <w:pPr>
              <w:pStyle w:val="eceee-Tabletext"/>
              <w:rPr>
                <w:b/>
                <w:lang w:eastAsia="en-GB"/>
              </w:rPr>
            </w:pPr>
            <w:r w:rsidRPr="008B1A70">
              <w:rPr>
                <w:b/>
                <w:lang w:eastAsia="en-GB"/>
              </w:rPr>
              <w:t>£135,031</w:t>
            </w:r>
          </w:p>
        </w:tc>
        <w:tc>
          <w:tcPr>
            <w:tcW w:w="1666" w:type="pct"/>
          </w:tcPr>
          <w:p w14:paraId="03A0E102" w14:textId="77777777" w:rsidR="000E561C" w:rsidRPr="008B1A70" w:rsidRDefault="000E561C" w:rsidP="000E561C">
            <w:pPr>
              <w:pStyle w:val="eceee-Tabletext"/>
              <w:rPr>
                <w:b/>
                <w:lang w:eastAsia="en-GB"/>
              </w:rPr>
            </w:pPr>
            <w:r w:rsidRPr="008B1A70">
              <w:rPr>
                <w:b/>
                <w:lang w:eastAsia="en-GB"/>
              </w:rPr>
              <w:t>£102,970</w:t>
            </w:r>
          </w:p>
        </w:tc>
      </w:tr>
    </w:tbl>
    <w:p w14:paraId="5852C70F" w14:textId="77777777" w:rsidR="000E561C" w:rsidRDefault="000E561C" w:rsidP="00C80649">
      <w:pPr>
        <w:pStyle w:val="eceee-BodyText"/>
      </w:pPr>
    </w:p>
    <w:p w14:paraId="7AAB5D04" w14:textId="77777777" w:rsidR="00ED5D98" w:rsidRDefault="00ED5D98" w:rsidP="00EB7F55">
      <w:pPr>
        <w:pStyle w:val="eceee-BodyText"/>
      </w:pPr>
    </w:p>
    <w:sectPr w:rsidR="00ED5D98" w:rsidSect="00260358">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dberg Karen Byskov" w:date="2017-03-09T14:24:00Z" w:initials="LKB">
    <w:p w14:paraId="3A71E39A" w14:textId="77777777" w:rsidR="00AE2D91" w:rsidRDefault="00AE2D91" w:rsidP="00AE2D91">
      <w:pPr>
        <w:pStyle w:val="CommentText"/>
      </w:pPr>
      <w:r>
        <w:rPr>
          <w:rStyle w:val="CommentReference"/>
        </w:rPr>
        <w:annotationRef/>
      </w:r>
      <w:r>
        <w:t>Please revise whether to use TNUoS or DNUoS in this paragraph. It seems like you are explaining DNUoS, so why are you talking about TNUoS in the beginning?</w:t>
      </w:r>
    </w:p>
    <w:p w14:paraId="3E355B45" w14:textId="77777777" w:rsidR="00AE2D91" w:rsidRDefault="00AE2D91" w:rsidP="00AE2D91">
      <w:pPr>
        <w:pStyle w:val="CommentText"/>
      </w:pPr>
      <w:r>
        <w:t>If this is made on purpose, could you please add a sentence on how the TNUoS and DNUoS are linked?</w:t>
      </w:r>
    </w:p>
    <w:p w14:paraId="1FFB351E" w14:textId="77777777" w:rsidR="00AE2D91" w:rsidRDefault="00AE2D91" w:rsidP="00AE2D91">
      <w:pPr>
        <w:pStyle w:val="CommentText"/>
      </w:pPr>
      <w:r>
        <w:t>Who places the bill for TNUoS and who pays?</w:t>
      </w:r>
    </w:p>
    <w:p w14:paraId="03318B94" w14:textId="77777777" w:rsidR="00AE2D91" w:rsidRDefault="00AE2D91" w:rsidP="00AE2D91">
      <w:pPr>
        <w:pStyle w:val="CommentText"/>
      </w:pPr>
      <w:r>
        <w:t>Who places the bill for DNUoS and who pays?</w:t>
      </w:r>
    </w:p>
  </w:comment>
  <w:comment w:id="1" w:author="Gillich, Aaron" w:date="2017-03-10T15:24:00Z" w:initials="AG">
    <w:p w14:paraId="1EC471C7" w14:textId="77777777" w:rsidR="000A1EA6" w:rsidRDefault="000A1EA6">
      <w:pPr>
        <w:pStyle w:val="CommentText"/>
      </w:pPr>
      <w:r>
        <w:rPr>
          <w:rStyle w:val="CommentReference"/>
        </w:rPr>
        <w:annotationRef/>
      </w:r>
      <w:r>
        <w:t>Paragraph re-sequenced for clarity.</w:t>
      </w:r>
    </w:p>
  </w:comment>
  <w:comment w:id="2" w:author="Lindberg Karen Byskov" w:date="2017-03-06T15:34:00Z" w:initials="LKB">
    <w:p w14:paraId="714D9DEF" w14:textId="77777777" w:rsidR="008021DF" w:rsidRDefault="008021DF">
      <w:pPr>
        <w:pStyle w:val="CommentText"/>
      </w:pPr>
      <w:r>
        <w:rPr>
          <w:rStyle w:val="CommentReference"/>
        </w:rPr>
        <w:annotationRef/>
      </w:r>
      <w:r>
        <w:t>Please explain the financial modelling within BEN.</w:t>
      </w:r>
    </w:p>
    <w:p w14:paraId="49B0C4F9" w14:textId="77777777" w:rsidR="008021DF" w:rsidRDefault="008021DF">
      <w:pPr>
        <w:pStyle w:val="CommentText"/>
      </w:pPr>
      <w:r>
        <w:t>How are the revenues calculated?</w:t>
      </w:r>
    </w:p>
    <w:p w14:paraId="1D8154B5" w14:textId="77777777" w:rsidR="008021DF" w:rsidRDefault="008021DF">
      <w:pPr>
        <w:pStyle w:val="CommentText"/>
      </w:pPr>
      <w:r>
        <w:t>Write down the formulas.</w:t>
      </w:r>
    </w:p>
    <w:p w14:paraId="059B6BD7" w14:textId="77777777" w:rsidR="008021DF" w:rsidRDefault="008021DF">
      <w:pPr>
        <w:pStyle w:val="CommentText"/>
      </w:pPr>
    </w:p>
    <w:p w14:paraId="3684C08B" w14:textId="77777777" w:rsidR="008021DF" w:rsidRDefault="008021DF">
      <w:pPr>
        <w:pStyle w:val="CommentText"/>
      </w:pPr>
      <w:r>
        <w:t>e.g. something like this:</w:t>
      </w:r>
    </w:p>
    <w:p w14:paraId="1DDB5922" w14:textId="77777777" w:rsidR="008021DF" w:rsidRDefault="008021DF">
      <w:pPr>
        <w:pStyle w:val="CommentText"/>
      </w:pPr>
    </w:p>
    <w:p w14:paraId="02F72F84" w14:textId="77777777" w:rsidR="008021DF" w:rsidRDefault="008021DF">
      <w:pPr>
        <w:pStyle w:val="CommentText"/>
      </w:pPr>
      <w:r>
        <w:t>minimising (operational cost) = fixed operational cost + variable operational cost =</w:t>
      </w:r>
    </w:p>
    <w:p w14:paraId="5FE69D57" w14:textId="77777777" w:rsidR="008021DF" w:rsidRDefault="008021DF">
      <w:pPr>
        <w:pStyle w:val="CommentText"/>
      </w:pPr>
      <w:r>
        <w:t>x*y + heat demand / COP * electricity price</w:t>
      </w:r>
    </w:p>
  </w:comment>
  <w:comment w:id="3" w:author="Gillich, Aaron" w:date="2017-03-10T16:17:00Z" w:initials="AG">
    <w:p w14:paraId="2D2EE9E7" w14:textId="77777777" w:rsidR="00274BE9" w:rsidRDefault="00274BE9">
      <w:pPr>
        <w:pStyle w:val="CommentText"/>
      </w:pPr>
      <w:r>
        <w:rPr>
          <w:rStyle w:val="CommentReference"/>
        </w:rPr>
        <w:annotationRef/>
      </w:r>
      <w:r w:rsidR="00E276AF">
        <w:t>This has been addressed in more detail</w:t>
      </w:r>
    </w:p>
  </w:comment>
  <w:comment w:id="5" w:author="Lindberg Karen Byskov" w:date="2017-03-14T16:28:00Z" w:initials="LKB">
    <w:p w14:paraId="7BCFFE7C" w14:textId="77777777" w:rsidR="00285751" w:rsidRDefault="00285751" w:rsidP="00285751">
      <w:pPr>
        <w:pStyle w:val="CommentText"/>
      </w:pPr>
      <w:r>
        <w:rPr>
          <w:rStyle w:val="CommentReference"/>
        </w:rPr>
        <w:annotationRef/>
      </w:r>
      <w:r>
        <w:rPr>
          <w:rStyle w:val="CommentReference"/>
        </w:rPr>
        <w:annotationRef/>
      </w:r>
      <w:r>
        <w:t>Please use the equation-format in word (or MathType)</w:t>
      </w:r>
    </w:p>
    <w:p w14:paraId="7562C465" w14:textId="77777777" w:rsidR="00285751" w:rsidRDefault="00285751" w:rsidP="00285751">
      <w:pPr>
        <w:pStyle w:val="CommentText"/>
      </w:pPr>
    </w:p>
    <w:p w14:paraId="69153F84" w14:textId="77777777" w:rsidR="00285751" w:rsidRDefault="00285751" w:rsidP="00285751">
      <w:pPr>
        <w:pStyle w:val="CommentText"/>
      </w:pPr>
      <w:r>
        <w:t>And use symbols instead of “Plant size” and “Specific heat load”, and add the symbols in a Nomenclature where you state the units for each of them.</w:t>
      </w:r>
    </w:p>
    <w:p w14:paraId="6F328949" w14:textId="77777777" w:rsidR="00285751" w:rsidRDefault="00285751">
      <w:pPr>
        <w:pStyle w:val="CommentText"/>
      </w:pPr>
    </w:p>
  </w:comment>
  <w:comment w:id="6" w:author="Gillich, Aaron" w:date="2017-03-10T16:17:00Z" w:initials="AG">
    <w:p w14:paraId="00C9A9AA" w14:textId="77777777" w:rsidR="00E276AF" w:rsidRDefault="00E276AF">
      <w:pPr>
        <w:pStyle w:val="CommentText"/>
      </w:pPr>
      <w:r>
        <w:rPr>
          <w:rStyle w:val="CommentReference"/>
        </w:rPr>
        <w:annotationRef/>
      </w:r>
      <w:r>
        <w:t>This has been addressed in more detail.</w:t>
      </w:r>
    </w:p>
  </w:comment>
  <w:comment w:id="7" w:author="Lindberg Karen Byskov" w:date="2017-03-14T16:29:00Z" w:initials="LKB">
    <w:p w14:paraId="537E80D9" w14:textId="77777777" w:rsidR="00285751" w:rsidRDefault="00285751">
      <w:pPr>
        <w:pStyle w:val="CommentText"/>
      </w:pPr>
      <w:r>
        <w:rPr>
          <w:rStyle w:val="CommentReference"/>
        </w:rPr>
        <w:annotationRef/>
      </w:r>
      <w:r>
        <w:t>This is ok now.</w:t>
      </w:r>
    </w:p>
  </w:comment>
  <w:comment w:id="8" w:author="Lindberg Karen Byskov" w:date="2017-03-10T15:49:00Z" w:initials="LKB">
    <w:p w14:paraId="3721F779" w14:textId="77777777" w:rsidR="000F3119" w:rsidRDefault="000F3119" w:rsidP="000F3119">
      <w:pPr>
        <w:pStyle w:val="CommentText"/>
      </w:pPr>
      <w:r>
        <w:rPr>
          <w:rStyle w:val="CommentReference"/>
        </w:rPr>
        <w:annotationRef/>
      </w:r>
      <w:r>
        <w:t>Same comment as from review 1:</w:t>
      </w:r>
    </w:p>
    <w:p w14:paraId="2D1FBED1" w14:textId="77777777" w:rsidR="000F3119" w:rsidRDefault="000F3119" w:rsidP="000F3119">
      <w:pPr>
        <w:pStyle w:val="CommentText"/>
      </w:pPr>
      <w:r>
        <w:t>Please explain how you determine the heat demand of the building more clearly and preferably with some equations. This is difficult to understand. (how is the 80 kW/K used further?)</w:t>
      </w:r>
    </w:p>
    <w:p w14:paraId="35E813F2" w14:textId="77777777" w:rsidR="000F3119" w:rsidRDefault="000F3119" w:rsidP="000F3119">
      <w:pPr>
        <w:pStyle w:val="CommentText"/>
      </w:pPr>
    </w:p>
    <w:p w14:paraId="2351F159" w14:textId="77777777" w:rsidR="000F3119" w:rsidRDefault="000F3119" w:rsidP="000F3119">
      <w:pPr>
        <w:pStyle w:val="CommentText"/>
      </w:pPr>
      <w:r>
        <w:t>Start with:</w:t>
      </w:r>
    </w:p>
    <w:p w14:paraId="19A4B348" w14:textId="77777777" w:rsidR="000F3119" w:rsidRDefault="000F3119" w:rsidP="000F3119">
      <w:pPr>
        <w:pStyle w:val="CommentText"/>
      </w:pPr>
      <w:r>
        <w:t>“The heat demand is based on an assumption of 80 kW/K (from source: xx).….”</w:t>
      </w:r>
    </w:p>
    <w:p w14:paraId="5E7EA3BA" w14:textId="77777777" w:rsidR="000F3119" w:rsidRDefault="000F3119" w:rsidP="000F3119">
      <w:pPr>
        <w:pStyle w:val="CommentText"/>
      </w:pPr>
    </w:p>
    <w:p w14:paraId="3B5BF6DB" w14:textId="77777777" w:rsidR="000F3119" w:rsidRDefault="000F3119" w:rsidP="000F3119">
      <w:pPr>
        <w:pStyle w:val="CommentText"/>
      </w:pPr>
      <w:r>
        <w:t>What is the ‘rule of thumb’ method in CIBSE Guide A? (move CIBSE Guide A to reference list) Explain!</w:t>
      </w:r>
    </w:p>
  </w:comment>
  <w:comment w:id="9" w:author="Lindberg Karen Byskov" w:date="2017-03-06T15:10:00Z" w:initials="LKB">
    <w:p w14:paraId="5219F2B2" w14:textId="77777777" w:rsidR="00881FD8" w:rsidRDefault="00881FD8" w:rsidP="00881FD8">
      <w:pPr>
        <w:pStyle w:val="CommentText"/>
      </w:pPr>
      <w:r>
        <w:rPr>
          <w:rStyle w:val="CommentReference"/>
        </w:rPr>
        <w:annotationRef/>
      </w:r>
      <w:r>
        <w:t>Please explain what RHI is the first time it is mentioned!</w:t>
      </w:r>
    </w:p>
    <w:p w14:paraId="488066E9" w14:textId="77777777" w:rsidR="00881FD8" w:rsidRDefault="00881FD8" w:rsidP="00881FD8">
      <w:pPr>
        <w:pStyle w:val="CommentText"/>
      </w:pPr>
      <w:r>
        <w:t>Also explain what Tier 1 and Tier 2 is.</w:t>
      </w:r>
    </w:p>
    <w:p w14:paraId="00F8E718" w14:textId="77777777" w:rsidR="00881FD8" w:rsidRDefault="00881FD8" w:rsidP="00881FD8">
      <w:pPr>
        <w:pStyle w:val="CommentText"/>
      </w:pPr>
    </w:p>
  </w:comment>
  <w:comment w:id="10" w:author="Gillich, Aaron" w:date="2017-03-08T18:05:00Z" w:initials="AG">
    <w:p w14:paraId="67C62D27" w14:textId="77777777" w:rsidR="00BD17E2" w:rsidRDefault="00BD17E2">
      <w:pPr>
        <w:pStyle w:val="CommentText"/>
      </w:pPr>
      <w:r>
        <w:rPr>
          <w:rStyle w:val="CommentReference"/>
        </w:rPr>
        <w:annotationRef/>
      </w:r>
      <w:r>
        <w:t>Paragraph has been reordered for clarity</w:t>
      </w:r>
    </w:p>
  </w:comment>
  <w:comment w:id="11" w:author="Lindberg Karen Byskov" w:date="2017-03-14T16:24:00Z" w:initials="LKB">
    <w:p w14:paraId="38BF1C2B" w14:textId="77777777" w:rsidR="00285751" w:rsidRDefault="00285751">
      <w:pPr>
        <w:pStyle w:val="CommentText"/>
      </w:pPr>
      <w:r>
        <w:rPr>
          <w:rStyle w:val="CommentReference"/>
        </w:rPr>
        <w:annotationRef/>
      </w:r>
      <w:r>
        <w:t xml:space="preserve">You still need to explain what “Tier” is. </w:t>
      </w:r>
      <w:r w:rsidR="00B35BE9">
        <w:t>Please be aware that the readers of the conference papers are not familiar with british terminology on market design. (</w:t>
      </w:r>
      <w:r>
        <w:t xml:space="preserve">I </w:t>
      </w:r>
      <w:r w:rsidR="00B35BE9">
        <w:t>have never heard about Tier myself…)</w:t>
      </w:r>
      <w:r>
        <w:t xml:space="preserve"> </w:t>
      </w:r>
    </w:p>
  </w:comment>
  <w:comment w:id="12" w:author="Lindberg Karen Byskov" w:date="2017-03-14T16:20:00Z" w:initials="LKB">
    <w:p w14:paraId="16A86B40" w14:textId="77777777" w:rsidR="00285751" w:rsidRDefault="00285751">
      <w:pPr>
        <w:pStyle w:val="CommentText"/>
      </w:pPr>
      <w:r>
        <w:rPr>
          <w:rStyle w:val="CommentReference"/>
        </w:rPr>
        <w:annotationRef/>
      </w:r>
      <w:r>
        <w:t>How does this algorithm work?</w:t>
      </w:r>
    </w:p>
    <w:p w14:paraId="5627309E" w14:textId="77777777" w:rsidR="00285751" w:rsidRDefault="00285751">
      <w:pPr>
        <w:pStyle w:val="CommentText"/>
      </w:pPr>
      <w:r>
        <w:t>Explain with equations, e.g. like:</w:t>
      </w:r>
    </w:p>
    <w:p w14:paraId="38810A58" w14:textId="77777777" w:rsidR="00285751" w:rsidRDefault="00285751">
      <w:pPr>
        <w:pStyle w:val="CommentText"/>
      </w:pPr>
      <w:r>
        <w:t>Max (revenue) =   income – cost</w:t>
      </w:r>
    </w:p>
    <w:p w14:paraId="4976AFDB" w14:textId="77777777" w:rsidR="00285751" w:rsidRDefault="00285751">
      <w:pPr>
        <w:pStyle w:val="CommentText"/>
      </w:pPr>
    </w:p>
    <w:p w14:paraId="69452EE3" w14:textId="77777777" w:rsidR="00285751" w:rsidRDefault="00285751">
      <w:pPr>
        <w:pStyle w:val="CommentText"/>
      </w:pPr>
      <w:r>
        <w:t>and explain thoroughly how the income and costs are calculated. (per hour, or annually, or monthly?)</w:t>
      </w:r>
    </w:p>
  </w:comment>
  <w:comment w:id="13" w:author="Lindberg Karen Byskov" w:date="2017-03-06T15:11:00Z" w:initials="LKB">
    <w:p w14:paraId="1E249B80" w14:textId="77777777" w:rsidR="00815D79" w:rsidRDefault="00815D79">
      <w:pPr>
        <w:pStyle w:val="CommentText"/>
      </w:pPr>
      <w:r>
        <w:rPr>
          <w:rStyle w:val="CommentReference"/>
        </w:rPr>
        <w:annotationRef/>
      </w:r>
      <w:r>
        <w:t>Please confer comments on this from the first review.</w:t>
      </w:r>
    </w:p>
    <w:p w14:paraId="7D6E3997" w14:textId="77777777" w:rsidR="001A363F" w:rsidRDefault="001A363F" w:rsidP="001A363F">
      <w:pPr>
        <w:pStyle w:val="PlainText"/>
      </w:pPr>
      <w:r>
        <w:t>comment from the first review:</w:t>
      </w:r>
    </w:p>
    <w:p w14:paraId="08A449A0" w14:textId="77777777" w:rsidR="001A363F" w:rsidRDefault="001A363F" w:rsidP="001A363F">
      <w:pPr>
        <w:pStyle w:val="CommentText"/>
      </w:pPr>
      <w:r>
        <w:t>"The methodology (model set up, and objective function) needs to be better explained. Please describe the system set-up (with a figure ?), and the physical and financial modelling in more detail (preferably with equations of the objective function), and cut down on text in the introduction and literature-section. Combining FFR, STOR and UoS services is very interesting, however the optimisation methodology is not described, neither in words nor in equations".</w:t>
      </w:r>
    </w:p>
  </w:comment>
  <w:comment w:id="14" w:author="Gillich, Aaron" w:date="2017-03-10T15:57:00Z" w:initials="AG">
    <w:p w14:paraId="21A924AB" w14:textId="77777777" w:rsidR="00274BE9" w:rsidRDefault="00274BE9">
      <w:pPr>
        <w:pStyle w:val="CommentText"/>
      </w:pPr>
      <w:r>
        <w:rPr>
          <w:rStyle w:val="CommentReference"/>
        </w:rPr>
        <w:annotationRef/>
      </w:r>
      <w:r>
        <w:t>There is a section above Figure 5 that gives the ranking and decision making for how the model stacked the services.  I think the figures provided explain this well enough, but I’m happy to add more explanation  if you feel that further clarification is needed.</w:t>
      </w:r>
    </w:p>
  </w:comment>
  <w:comment w:id="15" w:author="Lindberg Karen Byskov" w:date="2017-03-14T16:22:00Z" w:initials="LKB">
    <w:p w14:paraId="70F067AB" w14:textId="77777777" w:rsidR="00285751" w:rsidRDefault="00285751">
      <w:pPr>
        <w:pStyle w:val="CommentText"/>
      </w:pPr>
      <w:r>
        <w:rPr>
          <w:rStyle w:val="CommentReference"/>
        </w:rPr>
        <w:annotationRef/>
      </w:r>
      <w:r>
        <w:t xml:space="preserve">Please see comment above fig 5. </w:t>
      </w:r>
    </w:p>
  </w:comment>
  <w:comment w:id="16" w:author="Lindberg Karen Byskov" w:date="2017-03-06T15:19:00Z" w:initials="LKB">
    <w:p w14:paraId="51C60A20" w14:textId="77777777" w:rsidR="00CA725B" w:rsidRDefault="00CA725B">
      <w:pPr>
        <w:pStyle w:val="CommentText"/>
      </w:pPr>
      <w:r>
        <w:rPr>
          <w:rStyle w:val="CommentReference"/>
        </w:rPr>
        <w:annotationRef/>
      </w:r>
      <w:r>
        <w:t xml:space="preserve">The text in the Appendix is not attached to the table. </w:t>
      </w:r>
    </w:p>
    <w:p w14:paraId="357F42F8" w14:textId="77777777" w:rsidR="00CA725B" w:rsidRDefault="00CA725B">
      <w:pPr>
        <w:pStyle w:val="CommentText"/>
      </w:pPr>
      <w:r>
        <w:t>Please add some text explaining and introducing Table A1.</w:t>
      </w:r>
    </w:p>
  </w:comment>
  <w:comment w:id="17" w:author="Gillich, Aaron" w:date="2017-03-08T18:07:00Z" w:initials="AG">
    <w:p w14:paraId="6E38F9A9" w14:textId="77777777" w:rsidR="00BD17E2" w:rsidRDefault="00BD17E2">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318B94" w15:done="0"/>
  <w15:commentEx w15:paraId="1EC471C7" w15:done="0"/>
  <w15:commentEx w15:paraId="5FE69D57" w15:done="0"/>
  <w15:commentEx w15:paraId="2D2EE9E7" w15:done="0"/>
  <w15:commentEx w15:paraId="6F328949" w15:done="0"/>
  <w15:commentEx w15:paraId="00C9A9AA" w15:done="0"/>
  <w15:commentEx w15:paraId="537E80D9" w15:done="0"/>
  <w15:commentEx w15:paraId="3B5BF6DB" w15:done="0"/>
  <w15:commentEx w15:paraId="00F8E718" w15:done="0"/>
  <w15:commentEx w15:paraId="67C62D27" w15:done="0"/>
  <w15:commentEx w15:paraId="38BF1C2B" w15:done="0"/>
  <w15:commentEx w15:paraId="69452EE3" w15:done="0"/>
  <w15:commentEx w15:paraId="08A449A0" w15:done="0"/>
  <w15:commentEx w15:paraId="21A924AB" w15:done="0"/>
  <w15:commentEx w15:paraId="70F067AB" w15:done="0"/>
  <w15:commentEx w15:paraId="357F42F8" w15:done="0"/>
  <w15:commentEx w15:paraId="6E38F9A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31327" w14:textId="77777777" w:rsidR="0002417D" w:rsidRDefault="0002417D" w:rsidP="007816E2">
      <w:r>
        <w:separator/>
      </w:r>
    </w:p>
  </w:endnote>
  <w:endnote w:type="continuationSeparator" w:id="0">
    <w:p w14:paraId="1DA39549" w14:textId="77777777" w:rsidR="0002417D" w:rsidRDefault="0002417D" w:rsidP="0078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open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U1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CCD6" w14:textId="77777777" w:rsidR="0002417D" w:rsidRDefault="0002417D" w:rsidP="007816E2">
      <w:r>
        <w:separator/>
      </w:r>
    </w:p>
  </w:footnote>
  <w:footnote w:type="continuationSeparator" w:id="0">
    <w:p w14:paraId="1CDD3DAE" w14:textId="77777777" w:rsidR="0002417D" w:rsidRDefault="0002417D" w:rsidP="007816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1A4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426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CA0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64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2E6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DA0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ED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E3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E0BC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E0B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3DBCDA52"/>
    <w:lvl w:ilvl="0">
      <w:start w:val="1"/>
      <w:numFmt w:val="bullet"/>
      <w:pStyle w:val="eceee-Bulletlist"/>
      <w:lvlText w:val=""/>
      <w:lvlJc w:val="left"/>
      <w:pPr>
        <w:tabs>
          <w:tab w:val="num" w:pos="360"/>
        </w:tabs>
        <w:ind w:left="360" w:hanging="360"/>
      </w:pPr>
      <w:rPr>
        <w:rFonts w:ascii="Symbol" w:hAnsi="Symbol" w:hint="default"/>
      </w:rPr>
    </w:lvl>
  </w:abstractNum>
  <w:abstractNum w:abstractNumId="11" w15:restartNumberingAfterBreak="0">
    <w:nsid w:val="1A37628F"/>
    <w:multiLevelType w:val="hybridMultilevel"/>
    <w:tmpl w:val="85A2FEC8"/>
    <w:lvl w:ilvl="0" w:tplc="F0A6CC9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C2689"/>
    <w:multiLevelType w:val="hybridMultilevel"/>
    <w:tmpl w:val="0C2094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AD46C20"/>
    <w:multiLevelType w:val="hybridMultilevel"/>
    <w:tmpl w:val="67F49A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9119DD"/>
    <w:multiLevelType w:val="hybridMultilevel"/>
    <w:tmpl w:val="9A346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704BC"/>
    <w:multiLevelType w:val="hybridMultilevel"/>
    <w:tmpl w:val="862023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w:hAnsi="Courier"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w:hAnsi="Courier"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w:hAnsi="Courier"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15E0FAA"/>
    <w:multiLevelType w:val="multilevel"/>
    <w:tmpl w:val="FFFFFFFF"/>
    <w:lvl w:ilvl="0">
      <w:start w:val="1"/>
      <w:numFmt w:val="decimal"/>
      <w:pStyle w:val="eceee-Numberlis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4BC16921"/>
    <w:multiLevelType w:val="hybridMultilevel"/>
    <w:tmpl w:val="B022795C"/>
    <w:lvl w:ilvl="0" w:tplc="F0A6CC9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B7437"/>
    <w:multiLevelType w:val="hybridMultilevel"/>
    <w:tmpl w:val="1D2EF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0249C"/>
    <w:multiLevelType w:val="hybridMultilevel"/>
    <w:tmpl w:val="7BE8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361E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555E365D"/>
    <w:multiLevelType w:val="hybridMultilevel"/>
    <w:tmpl w:val="0D34C36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2" w15:restartNumberingAfterBreak="0">
    <w:nsid w:val="5FA212EE"/>
    <w:multiLevelType w:val="hybridMultilevel"/>
    <w:tmpl w:val="C066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936AE"/>
    <w:multiLevelType w:val="multilevel"/>
    <w:tmpl w:val="CB8C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19"/>
  </w:num>
  <w:num w:numId="18">
    <w:abstractNumId w:val="11"/>
  </w:num>
  <w:num w:numId="19">
    <w:abstractNumId w:val="17"/>
  </w:num>
  <w:num w:numId="20">
    <w:abstractNumId w:val="13"/>
  </w:num>
  <w:num w:numId="21">
    <w:abstractNumId w:val="14"/>
  </w:num>
  <w:num w:numId="22">
    <w:abstractNumId w:val="22"/>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CF"/>
    <w:rsid w:val="0000081B"/>
    <w:rsid w:val="0002417D"/>
    <w:rsid w:val="000450F7"/>
    <w:rsid w:val="00046A22"/>
    <w:rsid w:val="0005674E"/>
    <w:rsid w:val="000606BA"/>
    <w:rsid w:val="000617D0"/>
    <w:rsid w:val="00065F1F"/>
    <w:rsid w:val="000800D8"/>
    <w:rsid w:val="00080AC3"/>
    <w:rsid w:val="000826BB"/>
    <w:rsid w:val="00094DF7"/>
    <w:rsid w:val="00095845"/>
    <w:rsid w:val="000A1E13"/>
    <w:rsid w:val="000A1EA6"/>
    <w:rsid w:val="000B27DB"/>
    <w:rsid w:val="000C285F"/>
    <w:rsid w:val="000E561C"/>
    <w:rsid w:val="000F3119"/>
    <w:rsid w:val="0012344E"/>
    <w:rsid w:val="00125216"/>
    <w:rsid w:val="001264E3"/>
    <w:rsid w:val="00134450"/>
    <w:rsid w:val="001369E8"/>
    <w:rsid w:val="0014636E"/>
    <w:rsid w:val="00146E17"/>
    <w:rsid w:val="00174838"/>
    <w:rsid w:val="00180CEF"/>
    <w:rsid w:val="00183EC8"/>
    <w:rsid w:val="0018738A"/>
    <w:rsid w:val="00193E3C"/>
    <w:rsid w:val="001A363F"/>
    <w:rsid w:val="001B1AA2"/>
    <w:rsid w:val="001C3231"/>
    <w:rsid w:val="001D2CCC"/>
    <w:rsid w:val="001D5285"/>
    <w:rsid w:val="002060C5"/>
    <w:rsid w:val="002139D2"/>
    <w:rsid w:val="002201F1"/>
    <w:rsid w:val="00220AF6"/>
    <w:rsid w:val="002276EE"/>
    <w:rsid w:val="002364AF"/>
    <w:rsid w:val="002474AA"/>
    <w:rsid w:val="00260358"/>
    <w:rsid w:val="002634FF"/>
    <w:rsid w:val="00266457"/>
    <w:rsid w:val="00274BE9"/>
    <w:rsid w:val="002848DA"/>
    <w:rsid w:val="00285751"/>
    <w:rsid w:val="00294844"/>
    <w:rsid w:val="00296285"/>
    <w:rsid w:val="002C1C30"/>
    <w:rsid w:val="002E2A64"/>
    <w:rsid w:val="002F7D4B"/>
    <w:rsid w:val="00307870"/>
    <w:rsid w:val="00315638"/>
    <w:rsid w:val="00320774"/>
    <w:rsid w:val="0034792A"/>
    <w:rsid w:val="00361E05"/>
    <w:rsid w:val="00373C53"/>
    <w:rsid w:val="003802A9"/>
    <w:rsid w:val="00381EBA"/>
    <w:rsid w:val="00390897"/>
    <w:rsid w:val="00391D4E"/>
    <w:rsid w:val="00395140"/>
    <w:rsid w:val="00395F01"/>
    <w:rsid w:val="003A508C"/>
    <w:rsid w:val="003C1191"/>
    <w:rsid w:val="003F79EF"/>
    <w:rsid w:val="00431A31"/>
    <w:rsid w:val="0044639B"/>
    <w:rsid w:val="004478F4"/>
    <w:rsid w:val="00452646"/>
    <w:rsid w:val="00460EE5"/>
    <w:rsid w:val="004815F4"/>
    <w:rsid w:val="00481FCF"/>
    <w:rsid w:val="004929C3"/>
    <w:rsid w:val="004A1164"/>
    <w:rsid w:val="004A1C86"/>
    <w:rsid w:val="004C6107"/>
    <w:rsid w:val="004D7C36"/>
    <w:rsid w:val="004F1B48"/>
    <w:rsid w:val="00510476"/>
    <w:rsid w:val="00511555"/>
    <w:rsid w:val="00544DF6"/>
    <w:rsid w:val="00554817"/>
    <w:rsid w:val="00554F2E"/>
    <w:rsid w:val="00567A50"/>
    <w:rsid w:val="00572775"/>
    <w:rsid w:val="00572DDC"/>
    <w:rsid w:val="00573B4E"/>
    <w:rsid w:val="00574465"/>
    <w:rsid w:val="0058746E"/>
    <w:rsid w:val="005909DA"/>
    <w:rsid w:val="005B3374"/>
    <w:rsid w:val="005B4E86"/>
    <w:rsid w:val="005B5DE4"/>
    <w:rsid w:val="005C4317"/>
    <w:rsid w:val="005F08C2"/>
    <w:rsid w:val="005F69E0"/>
    <w:rsid w:val="005F7AA4"/>
    <w:rsid w:val="006009AD"/>
    <w:rsid w:val="00613896"/>
    <w:rsid w:val="00632F6C"/>
    <w:rsid w:val="00652E15"/>
    <w:rsid w:val="00655E1B"/>
    <w:rsid w:val="0066548D"/>
    <w:rsid w:val="00670B3C"/>
    <w:rsid w:val="00692308"/>
    <w:rsid w:val="00696A03"/>
    <w:rsid w:val="006A3F8F"/>
    <w:rsid w:val="006B2C93"/>
    <w:rsid w:val="006C148A"/>
    <w:rsid w:val="006D0CC4"/>
    <w:rsid w:val="006D5F27"/>
    <w:rsid w:val="006E0BE4"/>
    <w:rsid w:val="006E56C9"/>
    <w:rsid w:val="006F4437"/>
    <w:rsid w:val="006F4616"/>
    <w:rsid w:val="00717ECB"/>
    <w:rsid w:val="00724801"/>
    <w:rsid w:val="00727AAC"/>
    <w:rsid w:val="00736AB1"/>
    <w:rsid w:val="00743A89"/>
    <w:rsid w:val="007524A2"/>
    <w:rsid w:val="00773352"/>
    <w:rsid w:val="007776D0"/>
    <w:rsid w:val="007816E2"/>
    <w:rsid w:val="0078398E"/>
    <w:rsid w:val="0078441D"/>
    <w:rsid w:val="007A11A1"/>
    <w:rsid w:val="007B3D6D"/>
    <w:rsid w:val="007D22D4"/>
    <w:rsid w:val="007D5595"/>
    <w:rsid w:val="007D63B3"/>
    <w:rsid w:val="007F3FFF"/>
    <w:rsid w:val="00800A62"/>
    <w:rsid w:val="008021DF"/>
    <w:rsid w:val="0081256C"/>
    <w:rsid w:val="00815D79"/>
    <w:rsid w:val="00820197"/>
    <w:rsid w:val="0083050A"/>
    <w:rsid w:val="00834DA1"/>
    <w:rsid w:val="00843716"/>
    <w:rsid w:val="00844FF4"/>
    <w:rsid w:val="008576F8"/>
    <w:rsid w:val="00861A18"/>
    <w:rsid w:val="00867492"/>
    <w:rsid w:val="00881FD8"/>
    <w:rsid w:val="00893BD2"/>
    <w:rsid w:val="008B1A70"/>
    <w:rsid w:val="008B62C6"/>
    <w:rsid w:val="008C2C11"/>
    <w:rsid w:val="008D4936"/>
    <w:rsid w:val="008F314C"/>
    <w:rsid w:val="00900553"/>
    <w:rsid w:val="00924E9F"/>
    <w:rsid w:val="009572BD"/>
    <w:rsid w:val="009756CF"/>
    <w:rsid w:val="00977841"/>
    <w:rsid w:val="009808A0"/>
    <w:rsid w:val="00980D3C"/>
    <w:rsid w:val="0098287A"/>
    <w:rsid w:val="00991423"/>
    <w:rsid w:val="009B0DE5"/>
    <w:rsid w:val="009B7B77"/>
    <w:rsid w:val="009D16CD"/>
    <w:rsid w:val="009D7335"/>
    <w:rsid w:val="009E290E"/>
    <w:rsid w:val="009E3551"/>
    <w:rsid w:val="00A03F2A"/>
    <w:rsid w:val="00A044A5"/>
    <w:rsid w:val="00A23493"/>
    <w:rsid w:val="00A25969"/>
    <w:rsid w:val="00A261B7"/>
    <w:rsid w:val="00A370FF"/>
    <w:rsid w:val="00A42151"/>
    <w:rsid w:val="00A477B6"/>
    <w:rsid w:val="00A60CD8"/>
    <w:rsid w:val="00A70ACE"/>
    <w:rsid w:val="00AA66D4"/>
    <w:rsid w:val="00AB6556"/>
    <w:rsid w:val="00AC2A39"/>
    <w:rsid w:val="00AC3753"/>
    <w:rsid w:val="00AC4587"/>
    <w:rsid w:val="00AC46A4"/>
    <w:rsid w:val="00AC5A06"/>
    <w:rsid w:val="00AD5D9B"/>
    <w:rsid w:val="00AE2D91"/>
    <w:rsid w:val="00AE7B65"/>
    <w:rsid w:val="00AF00A0"/>
    <w:rsid w:val="00AF3DE5"/>
    <w:rsid w:val="00B02CD1"/>
    <w:rsid w:val="00B04CCF"/>
    <w:rsid w:val="00B11D83"/>
    <w:rsid w:val="00B253D7"/>
    <w:rsid w:val="00B35BE9"/>
    <w:rsid w:val="00B423E0"/>
    <w:rsid w:val="00B47CC0"/>
    <w:rsid w:val="00B51C07"/>
    <w:rsid w:val="00B5546F"/>
    <w:rsid w:val="00B557F0"/>
    <w:rsid w:val="00B6065F"/>
    <w:rsid w:val="00B63957"/>
    <w:rsid w:val="00B76BEB"/>
    <w:rsid w:val="00B87842"/>
    <w:rsid w:val="00BA41FC"/>
    <w:rsid w:val="00BB2298"/>
    <w:rsid w:val="00BC5414"/>
    <w:rsid w:val="00BD17E2"/>
    <w:rsid w:val="00BE40BF"/>
    <w:rsid w:val="00C15D70"/>
    <w:rsid w:val="00C3628C"/>
    <w:rsid w:val="00C45823"/>
    <w:rsid w:val="00C46AC1"/>
    <w:rsid w:val="00C5101A"/>
    <w:rsid w:val="00C80649"/>
    <w:rsid w:val="00C90004"/>
    <w:rsid w:val="00CA725B"/>
    <w:rsid w:val="00CA78CA"/>
    <w:rsid w:val="00CB05B8"/>
    <w:rsid w:val="00CB0671"/>
    <w:rsid w:val="00CB1557"/>
    <w:rsid w:val="00CB63AF"/>
    <w:rsid w:val="00CC4F84"/>
    <w:rsid w:val="00CC78AB"/>
    <w:rsid w:val="00D21A16"/>
    <w:rsid w:val="00D24E6D"/>
    <w:rsid w:val="00D40EA2"/>
    <w:rsid w:val="00D55503"/>
    <w:rsid w:val="00D756A5"/>
    <w:rsid w:val="00D82E87"/>
    <w:rsid w:val="00D84962"/>
    <w:rsid w:val="00DA6298"/>
    <w:rsid w:val="00DB5D17"/>
    <w:rsid w:val="00DB6EDD"/>
    <w:rsid w:val="00DC3F74"/>
    <w:rsid w:val="00DE0178"/>
    <w:rsid w:val="00E16FF7"/>
    <w:rsid w:val="00E276AF"/>
    <w:rsid w:val="00E31D81"/>
    <w:rsid w:val="00E32C25"/>
    <w:rsid w:val="00E32DAC"/>
    <w:rsid w:val="00E431F1"/>
    <w:rsid w:val="00E5059D"/>
    <w:rsid w:val="00E80A72"/>
    <w:rsid w:val="00E86957"/>
    <w:rsid w:val="00EA64D6"/>
    <w:rsid w:val="00EB1FA4"/>
    <w:rsid w:val="00EB5734"/>
    <w:rsid w:val="00EB58E6"/>
    <w:rsid w:val="00EB7F55"/>
    <w:rsid w:val="00EC5B52"/>
    <w:rsid w:val="00ED4836"/>
    <w:rsid w:val="00ED5D98"/>
    <w:rsid w:val="00ED6C8F"/>
    <w:rsid w:val="00EE6112"/>
    <w:rsid w:val="00EF6923"/>
    <w:rsid w:val="00F01523"/>
    <w:rsid w:val="00F02541"/>
    <w:rsid w:val="00F101BE"/>
    <w:rsid w:val="00F21AE6"/>
    <w:rsid w:val="00F27725"/>
    <w:rsid w:val="00F310AF"/>
    <w:rsid w:val="00F324C7"/>
    <w:rsid w:val="00F4012B"/>
    <w:rsid w:val="00F54DC6"/>
    <w:rsid w:val="00F6042C"/>
    <w:rsid w:val="00F9564D"/>
    <w:rsid w:val="00FA5C19"/>
    <w:rsid w:val="00FB388C"/>
    <w:rsid w:val="00FB5AB5"/>
    <w:rsid w:val="00FB7B2F"/>
    <w:rsid w:val="00FE34BA"/>
    <w:rsid w:val="00FE7D2B"/>
    <w:rsid w:val="00FF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49A5E"/>
  <w14:defaultImageDpi w14:val="300"/>
  <w15:docId w15:val="{F50E523E-DEB5-407E-B485-76B84D38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C6"/>
    <w:rPr>
      <w:rFonts w:ascii="Times New Roman" w:hAnsi="Times New Roman"/>
      <w:szCs w:val="24"/>
      <w:lang w:eastAsia="sv-SE"/>
    </w:rPr>
  </w:style>
  <w:style w:type="paragraph" w:styleId="Heading1">
    <w:name w:val="heading 1"/>
    <w:next w:val="Normal"/>
    <w:link w:val="Heading1Char"/>
    <w:uiPriority w:val="9"/>
    <w:qFormat/>
    <w:locked/>
    <w:rsid w:val="00B557F0"/>
    <w:pPr>
      <w:spacing w:before="240" w:line="240" w:lineRule="atLeast"/>
      <w:outlineLvl w:val="0"/>
    </w:pPr>
    <w:rPr>
      <w:rFonts w:ascii="Arial Black" w:hAnsi="Arial Black"/>
      <w:b/>
      <w:sz w:val="24"/>
      <w:lang w:eastAsia="sv-SE"/>
    </w:rPr>
  </w:style>
  <w:style w:type="paragraph" w:styleId="Heading2">
    <w:name w:val="heading 2"/>
    <w:next w:val="Normal"/>
    <w:qFormat/>
    <w:locked/>
    <w:rsid w:val="00B557F0"/>
    <w:pPr>
      <w:spacing w:before="120" w:line="240" w:lineRule="atLeast"/>
      <w:outlineLvl w:val="1"/>
    </w:pPr>
    <w:rPr>
      <w:rFonts w:ascii="Times New Roman" w:hAnsi="Times New Roman"/>
      <w:b/>
      <w:i/>
      <w:sz w:val="24"/>
      <w:lang w:eastAsia="sv-SE"/>
    </w:rPr>
  </w:style>
  <w:style w:type="paragraph" w:styleId="Heading3">
    <w:name w:val="heading 3"/>
    <w:next w:val="Normal"/>
    <w:qFormat/>
    <w:locked/>
    <w:rsid w:val="00AC2A39"/>
    <w:pPr>
      <w:spacing w:before="120" w:line="240" w:lineRule="atLeast"/>
      <w:outlineLvl w:val="2"/>
    </w:pPr>
    <w:rPr>
      <w:rFonts w:ascii="Times New Roman" w:hAnsi="Times New Roman"/>
      <w:b/>
      <w:lang w:eastAsia="sv-SE"/>
    </w:rPr>
  </w:style>
  <w:style w:type="paragraph" w:styleId="Heading4">
    <w:name w:val="heading 4"/>
    <w:next w:val="Normal"/>
    <w:qFormat/>
    <w:locked/>
    <w:rsid w:val="00C3628C"/>
    <w:pPr>
      <w:spacing w:before="120" w:line="240" w:lineRule="atLeast"/>
      <w:outlineLvl w:val="3"/>
    </w:pPr>
    <w:rPr>
      <w:rFonts w:ascii="Times New Roman" w:hAnsi="Times New Roman"/>
      <w:i/>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ee-Tabletext">
    <w:name w:val="_eceee - Table text"/>
    <w:basedOn w:val="Normal"/>
    <w:rsid w:val="00980D3C"/>
    <w:pPr>
      <w:tabs>
        <w:tab w:val="left" w:pos="1440"/>
        <w:tab w:val="left" w:pos="5040"/>
      </w:tabs>
      <w:spacing w:line="220" w:lineRule="atLeast"/>
    </w:pPr>
    <w:rPr>
      <w:rFonts w:ascii="Arial" w:eastAsia="Times New Roman" w:hAnsi="Arial"/>
      <w:sz w:val="16"/>
      <w:szCs w:val="20"/>
    </w:rPr>
  </w:style>
  <w:style w:type="paragraph" w:customStyle="1" w:styleId="eceee-Tableheading">
    <w:name w:val="_eceee - Table heading"/>
    <w:basedOn w:val="Normal"/>
    <w:rsid w:val="008B62C6"/>
    <w:pPr>
      <w:spacing w:before="160" w:after="60" w:line="240" w:lineRule="atLeast"/>
      <w:jc w:val="both"/>
    </w:pPr>
    <w:rPr>
      <w:b/>
      <w:szCs w:val="20"/>
    </w:rPr>
  </w:style>
  <w:style w:type="paragraph" w:customStyle="1" w:styleId="eceee-Bulletlist">
    <w:name w:val="_eceee - Bullet list"/>
    <w:basedOn w:val="Normal"/>
    <w:rsid w:val="007816E2"/>
    <w:pPr>
      <w:numPr>
        <w:numId w:val="1"/>
      </w:numPr>
      <w:spacing w:before="40" w:after="40" w:line="240" w:lineRule="exact"/>
    </w:pPr>
    <w:rPr>
      <w:szCs w:val="20"/>
    </w:rPr>
  </w:style>
  <w:style w:type="character" w:styleId="FootnoteReference">
    <w:name w:val="footnote reference"/>
    <w:semiHidden/>
    <w:rsid w:val="007816E2"/>
    <w:rPr>
      <w:vertAlign w:val="superscript"/>
    </w:rPr>
  </w:style>
  <w:style w:type="paragraph" w:customStyle="1" w:styleId="Footnote">
    <w:name w:val="Footnote"/>
    <w:basedOn w:val="FootnoteText"/>
    <w:semiHidden/>
    <w:rsid w:val="007816E2"/>
    <w:rPr>
      <w:rFonts w:ascii="Times" w:eastAsia="Times New Roman" w:hAnsi="Times"/>
      <w:szCs w:val="20"/>
    </w:rPr>
  </w:style>
  <w:style w:type="paragraph" w:styleId="FootnoteText">
    <w:name w:val="footnote text"/>
    <w:basedOn w:val="Normal"/>
    <w:link w:val="FootnoteTextChar"/>
    <w:semiHidden/>
    <w:rsid w:val="007816E2"/>
  </w:style>
  <w:style w:type="character" w:customStyle="1" w:styleId="FootnoteTextChar">
    <w:name w:val="Footnote Text Char"/>
    <w:link w:val="FootnoteText"/>
    <w:semiHidden/>
    <w:locked/>
    <w:rsid w:val="007816E2"/>
    <w:rPr>
      <w:rFonts w:cs="Times New Roman"/>
    </w:rPr>
  </w:style>
  <w:style w:type="paragraph" w:customStyle="1" w:styleId="eceee-References">
    <w:name w:val="_eceee - References"/>
    <w:basedOn w:val="Normal"/>
    <w:rsid w:val="00991423"/>
    <w:pPr>
      <w:spacing w:line="260" w:lineRule="atLeast"/>
      <w:ind w:left="709" w:hanging="709"/>
    </w:pPr>
    <w:rPr>
      <w:rFonts w:eastAsia="Times New Roman"/>
      <w:szCs w:val="20"/>
    </w:rPr>
  </w:style>
  <w:style w:type="paragraph" w:customStyle="1" w:styleId="eceee-Numberlist">
    <w:name w:val="_eceee - Number list"/>
    <w:basedOn w:val="eceee-Bulletlist"/>
    <w:rsid w:val="00B6065F"/>
    <w:pPr>
      <w:numPr>
        <w:numId w:val="4"/>
      </w:numPr>
      <w:tabs>
        <w:tab w:val="clear" w:pos="720"/>
      </w:tabs>
      <w:spacing w:line="240" w:lineRule="atLeast"/>
      <w:ind w:left="357" w:hanging="357"/>
    </w:pPr>
  </w:style>
  <w:style w:type="paragraph" w:customStyle="1" w:styleId="BodyText1">
    <w:name w:val="Body Text1"/>
    <w:basedOn w:val="Normal"/>
    <w:semiHidden/>
    <w:rsid w:val="007816E2"/>
    <w:pPr>
      <w:spacing w:before="60" w:after="60" w:line="240" w:lineRule="exact"/>
    </w:pPr>
    <w:rPr>
      <w:szCs w:val="20"/>
      <w:lang w:val="en-US"/>
    </w:rPr>
  </w:style>
  <w:style w:type="paragraph" w:customStyle="1" w:styleId="eceee-Author">
    <w:name w:val="_eceee - Author"/>
    <w:basedOn w:val="Normal"/>
    <w:rsid w:val="007816E2"/>
    <w:pPr>
      <w:jc w:val="both"/>
    </w:pPr>
    <w:rPr>
      <w:szCs w:val="20"/>
      <w:lang w:val="en-US"/>
    </w:rPr>
  </w:style>
  <w:style w:type="paragraph" w:customStyle="1" w:styleId="eceee-Figurecaption">
    <w:name w:val="_eceee - Figure caption"/>
    <w:basedOn w:val="Normal"/>
    <w:rsid w:val="007816E2"/>
    <w:pPr>
      <w:spacing w:before="60" w:after="60"/>
      <w:jc w:val="both"/>
    </w:pPr>
    <w:rPr>
      <w:i/>
      <w:szCs w:val="20"/>
      <w:lang w:val="en-US"/>
    </w:rPr>
  </w:style>
  <w:style w:type="paragraph" w:styleId="BalloonText">
    <w:name w:val="Balloon Text"/>
    <w:basedOn w:val="Normal"/>
    <w:link w:val="BalloonTextChar"/>
    <w:semiHidden/>
    <w:rsid w:val="007816E2"/>
    <w:rPr>
      <w:rFonts w:ascii="Lucida Grande" w:hAnsi="Lucida Grande" w:cs="Lucida Grande"/>
      <w:sz w:val="18"/>
      <w:szCs w:val="18"/>
    </w:rPr>
  </w:style>
  <w:style w:type="character" w:customStyle="1" w:styleId="BalloonTextChar">
    <w:name w:val="Balloon Text Char"/>
    <w:link w:val="BalloonText"/>
    <w:semiHidden/>
    <w:locked/>
    <w:rsid w:val="007816E2"/>
    <w:rPr>
      <w:rFonts w:ascii="Lucida Grande" w:hAnsi="Lucida Grande"/>
      <w:sz w:val="18"/>
    </w:rPr>
  </w:style>
  <w:style w:type="paragraph" w:styleId="Header">
    <w:name w:val="header"/>
    <w:basedOn w:val="Normal"/>
    <w:link w:val="HeaderChar"/>
    <w:semiHidden/>
    <w:rsid w:val="005B4E86"/>
    <w:pPr>
      <w:tabs>
        <w:tab w:val="center" w:pos="4536"/>
        <w:tab w:val="right" w:pos="9072"/>
      </w:tabs>
    </w:pPr>
  </w:style>
  <w:style w:type="character" w:customStyle="1" w:styleId="HeaderChar">
    <w:name w:val="Header Char"/>
    <w:link w:val="Header"/>
    <w:locked/>
    <w:rsid w:val="005B4E86"/>
    <w:rPr>
      <w:rFonts w:cs="Times New Roman"/>
    </w:rPr>
  </w:style>
  <w:style w:type="paragraph" w:styleId="Footer">
    <w:name w:val="footer"/>
    <w:basedOn w:val="Normal"/>
    <w:link w:val="FooterChar"/>
    <w:semiHidden/>
    <w:rsid w:val="005B4E86"/>
    <w:pPr>
      <w:tabs>
        <w:tab w:val="center" w:pos="4536"/>
        <w:tab w:val="right" w:pos="9072"/>
      </w:tabs>
    </w:pPr>
  </w:style>
  <w:style w:type="character" w:customStyle="1" w:styleId="FooterChar">
    <w:name w:val="Footer Char"/>
    <w:link w:val="Footer"/>
    <w:locked/>
    <w:rsid w:val="005B4E86"/>
    <w:rPr>
      <w:rFonts w:cs="Times New Roman"/>
    </w:rPr>
  </w:style>
  <w:style w:type="paragraph" w:styleId="BodyText">
    <w:name w:val="Body Text"/>
    <w:basedOn w:val="Normal"/>
    <w:link w:val="BodyTextChar"/>
    <w:semiHidden/>
    <w:rsid w:val="00717ECB"/>
    <w:pPr>
      <w:spacing w:before="80" w:after="80" w:line="240" w:lineRule="atLeast"/>
    </w:pPr>
    <w:rPr>
      <w:szCs w:val="20"/>
    </w:rPr>
  </w:style>
  <w:style w:type="character" w:customStyle="1" w:styleId="BodyTextChar">
    <w:name w:val="Body Text Char"/>
    <w:link w:val="BodyText"/>
    <w:semiHidden/>
    <w:rsid w:val="00991423"/>
    <w:rPr>
      <w:rFonts w:ascii="Times New Roman" w:hAnsi="Times New Roman"/>
      <w:lang w:val="en-GB" w:eastAsia="sv-SE"/>
    </w:rPr>
  </w:style>
  <w:style w:type="paragraph" w:customStyle="1" w:styleId="eceee-PaperID">
    <w:name w:val="_eceee - Paper ID"/>
    <w:basedOn w:val="Normal"/>
    <w:rsid w:val="00991423"/>
    <w:pPr>
      <w:jc w:val="center"/>
    </w:pPr>
    <w:rPr>
      <w:rFonts w:eastAsia="Times New Roman"/>
      <w:sz w:val="24"/>
    </w:rPr>
  </w:style>
  <w:style w:type="paragraph" w:styleId="BodyText2">
    <w:name w:val="Body Text 2"/>
    <w:basedOn w:val="Normal"/>
    <w:semiHidden/>
    <w:rsid w:val="00EB1FA4"/>
    <w:pPr>
      <w:spacing w:after="120" w:line="480" w:lineRule="auto"/>
    </w:pPr>
  </w:style>
  <w:style w:type="paragraph" w:customStyle="1" w:styleId="eceee-BodyText">
    <w:name w:val="_eceee - Body Text"/>
    <w:basedOn w:val="BodyText"/>
    <w:rsid w:val="009572BD"/>
  </w:style>
  <w:style w:type="paragraph" w:customStyle="1" w:styleId="eceee-Heading1">
    <w:name w:val="_eceee - Heading 1"/>
    <w:basedOn w:val="Heading1"/>
    <w:next w:val="eceee-BodyText"/>
    <w:rsid w:val="00EB7F55"/>
  </w:style>
  <w:style w:type="paragraph" w:customStyle="1" w:styleId="eceee-Heading2">
    <w:name w:val="_eceee - Heading 2"/>
    <w:basedOn w:val="Heading2"/>
    <w:next w:val="eceee-BodyText"/>
    <w:rsid w:val="00EB7F55"/>
  </w:style>
  <w:style w:type="paragraph" w:customStyle="1" w:styleId="eceee-Heading3">
    <w:name w:val="_eceee - Heading 3"/>
    <w:basedOn w:val="Heading3"/>
    <w:next w:val="eceee-BodyText"/>
    <w:rsid w:val="00EB7F55"/>
  </w:style>
  <w:style w:type="paragraph" w:customStyle="1" w:styleId="eceee-Heading4">
    <w:name w:val="_eceee - Heading 4"/>
    <w:basedOn w:val="Heading4"/>
    <w:next w:val="eceee-BodyText"/>
    <w:rsid w:val="00EB7F55"/>
  </w:style>
  <w:style w:type="paragraph" w:customStyle="1" w:styleId="eceee-Title">
    <w:name w:val="_eceee - Title"/>
    <w:basedOn w:val="Normal"/>
    <w:rsid w:val="00991423"/>
    <w:pPr>
      <w:jc w:val="center"/>
    </w:pPr>
    <w:rPr>
      <w:rFonts w:eastAsia="Times New Roman"/>
      <w:sz w:val="40"/>
      <w:szCs w:val="20"/>
    </w:rPr>
  </w:style>
  <w:style w:type="paragraph" w:styleId="Title">
    <w:name w:val="Title"/>
    <w:basedOn w:val="Normal"/>
    <w:next w:val="Normal"/>
    <w:link w:val="TitleChar"/>
    <w:uiPriority w:val="10"/>
    <w:qFormat/>
    <w:locked/>
    <w:rsid w:val="002E2A64"/>
    <w:pPr>
      <w:spacing w:after="200" w:line="276" w:lineRule="auto"/>
      <w:jc w:val="center"/>
    </w:pPr>
    <w:rPr>
      <w:rFonts w:eastAsia="Calibri"/>
      <w:sz w:val="40"/>
      <w:szCs w:val="20"/>
      <w:lang w:eastAsia="en-US"/>
    </w:rPr>
  </w:style>
  <w:style w:type="character" w:customStyle="1" w:styleId="TitleChar">
    <w:name w:val="Title Char"/>
    <w:link w:val="Title"/>
    <w:uiPriority w:val="10"/>
    <w:rsid w:val="002E2A64"/>
    <w:rPr>
      <w:rFonts w:ascii="Times New Roman" w:eastAsia="Calibri" w:hAnsi="Times New Roman"/>
      <w:sz w:val="40"/>
      <w:lang w:eastAsia="en-US"/>
    </w:rPr>
  </w:style>
  <w:style w:type="paragraph" w:styleId="ListParagraph">
    <w:name w:val="List Paragraph"/>
    <w:basedOn w:val="Normal"/>
    <w:uiPriority w:val="34"/>
    <w:qFormat/>
    <w:rsid w:val="002E2A64"/>
    <w:pPr>
      <w:spacing w:after="200" w:line="276" w:lineRule="auto"/>
      <w:ind w:left="720"/>
      <w:contextualSpacing/>
    </w:pPr>
    <w:rPr>
      <w:rFonts w:eastAsia="Calibri"/>
      <w:szCs w:val="20"/>
      <w:lang w:eastAsia="en-US"/>
    </w:rPr>
  </w:style>
  <w:style w:type="character" w:customStyle="1" w:styleId="apple-converted-space">
    <w:name w:val="apple-converted-space"/>
    <w:rsid w:val="002E2A64"/>
  </w:style>
  <w:style w:type="table" w:styleId="TableGrid">
    <w:name w:val="Table Grid"/>
    <w:basedOn w:val="TableNormal"/>
    <w:uiPriority w:val="59"/>
    <w:locked/>
    <w:rsid w:val="002E2A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D5D98"/>
    <w:rPr>
      <w:rFonts w:ascii="Arial Black" w:hAnsi="Arial Black"/>
      <w:b/>
      <w:sz w:val="24"/>
      <w:lang w:eastAsia="sv-SE"/>
    </w:rPr>
  </w:style>
  <w:style w:type="paragraph" w:styleId="Bibliography">
    <w:name w:val="Bibliography"/>
    <w:basedOn w:val="Normal"/>
    <w:next w:val="Normal"/>
    <w:uiPriority w:val="70"/>
    <w:rsid w:val="00ED5D98"/>
  </w:style>
  <w:style w:type="paragraph" w:styleId="CommentText">
    <w:name w:val="annotation text"/>
    <w:basedOn w:val="Normal"/>
    <w:link w:val="CommentTextChar"/>
    <w:rsid w:val="00F310AF"/>
    <w:rPr>
      <w:szCs w:val="20"/>
    </w:rPr>
  </w:style>
  <w:style w:type="character" w:customStyle="1" w:styleId="CommentTextChar">
    <w:name w:val="Comment Text Char"/>
    <w:link w:val="CommentText"/>
    <w:rsid w:val="00F310AF"/>
    <w:rPr>
      <w:rFonts w:ascii="Times New Roman" w:hAnsi="Times New Roman"/>
      <w:lang w:eastAsia="sv-SE"/>
    </w:rPr>
  </w:style>
  <w:style w:type="paragraph" w:customStyle="1" w:styleId="Default">
    <w:name w:val="Default"/>
    <w:rsid w:val="003C1191"/>
    <w:pPr>
      <w:autoSpaceDE w:val="0"/>
      <w:autoSpaceDN w:val="0"/>
      <w:adjustRightInd w:val="0"/>
    </w:pPr>
    <w:rPr>
      <w:rFonts w:ascii="Times New Roman" w:hAnsi="Times New Roman"/>
      <w:color w:val="000000"/>
      <w:sz w:val="24"/>
      <w:szCs w:val="24"/>
    </w:rPr>
  </w:style>
  <w:style w:type="character" w:styleId="CommentReference">
    <w:name w:val="annotation reference"/>
    <w:rsid w:val="00F54DC6"/>
    <w:rPr>
      <w:sz w:val="16"/>
      <w:szCs w:val="16"/>
    </w:rPr>
  </w:style>
  <w:style w:type="paragraph" w:styleId="CommentSubject">
    <w:name w:val="annotation subject"/>
    <w:basedOn w:val="CommentText"/>
    <w:next w:val="CommentText"/>
    <w:link w:val="CommentSubjectChar"/>
    <w:rsid w:val="00F54DC6"/>
    <w:rPr>
      <w:b/>
      <w:bCs/>
    </w:rPr>
  </w:style>
  <w:style w:type="character" w:customStyle="1" w:styleId="CommentSubjectChar">
    <w:name w:val="Comment Subject Char"/>
    <w:link w:val="CommentSubject"/>
    <w:rsid w:val="00F54DC6"/>
    <w:rPr>
      <w:rFonts w:ascii="Times New Roman" w:hAnsi="Times New Roman"/>
      <w:b/>
      <w:bCs/>
      <w:lang w:val="en-GB" w:eastAsia="sv-SE"/>
    </w:rPr>
  </w:style>
  <w:style w:type="paragraph" w:styleId="PlainText">
    <w:name w:val="Plain Text"/>
    <w:basedOn w:val="Normal"/>
    <w:link w:val="PlainTextChar"/>
    <w:uiPriority w:val="99"/>
    <w:unhideWhenUsed/>
    <w:rsid w:val="001A363F"/>
    <w:rPr>
      <w:rFonts w:ascii="Arial" w:eastAsia="Calibri" w:hAnsi="Arial" w:cs="Arial"/>
      <w:sz w:val="22"/>
      <w:szCs w:val="22"/>
      <w:lang w:eastAsia="en-US"/>
    </w:rPr>
  </w:style>
  <w:style w:type="character" w:customStyle="1" w:styleId="PlainTextChar">
    <w:name w:val="Plain Text Char"/>
    <w:link w:val="PlainText"/>
    <w:uiPriority w:val="99"/>
    <w:rsid w:val="001A363F"/>
    <w:rPr>
      <w:rFonts w:ascii="Arial" w:eastAsia="Calibri" w:hAnsi="Arial" w:cs="Arial"/>
      <w:sz w:val="22"/>
      <w:szCs w:val="22"/>
      <w:lang w:eastAsia="en-US"/>
    </w:rPr>
  </w:style>
  <w:style w:type="character" w:styleId="PlaceholderText">
    <w:name w:val="Placeholder Text"/>
    <w:basedOn w:val="DefaultParagraphFont"/>
    <w:uiPriority w:val="99"/>
    <w:unhideWhenUsed/>
    <w:rsid w:val="00820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2142">
      <w:bodyDiv w:val="1"/>
      <w:marLeft w:val="0"/>
      <w:marRight w:val="0"/>
      <w:marTop w:val="0"/>
      <w:marBottom w:val="0"/>
      <w:divBdr>
        <w:top w:val="none" w:sz="0" w:space="0" w:color="auto"/>
        <w:left w:val="none" w:sz="0" w:space="0" w:color="auto"/>
        <w:bottom w:val="none" w:sz="0" w:space="0" w:color="auto"/>
        <w:right w:val="none" w:sz="0" w:space="0" w:color="auto"/>
      </w:divBdr>
    </w:div>
    <w:div w:id="194392952">
      <w:bodyDiv w:val="1"/>
      <w:marLeft w:val="0"/>
      <w:marRight w:val="0"/>
      <w:marTop w:val="0"/>
      <w:marBottom w:val="0"/>
      <w:divBdr>
        <w:top w:val="none" w:sz="0" w:space="0" w:color="auto"/>
        <w:left w:val="none" w:sz="0" w:space="0" w:color="auto"/>
        <w:bottom w:val="none" w:sz="0" w:space="0" w:color="auto"/>
        <w:right w:val="none" w:sz="0" w:space="0" w:color="auto"/>
      </w:divBdr>
    </w:div>
    <w:div w:id="204216783">
      <w:bodyDiv w:val="1"/>
      <w:marLeft w:val="0"/>
      <w:marRight w:val="0"/>
      <w:marTop w:val="0"/>
      <w:marBottom w:val="0"/>
      <w:divBdr>
        <w:top w:val="none" w:sz="0" w:space="0" w:color="auto"/>
        <w:left w:val="none" w:sz="0" w:space="0" w:color="auto"/>
        <w:bottom w:val="none" w:sz="0" w:space="0" w:color="auto"/>
        <w:right w:val="none" w:sz="0" w:space="0" w:color="auto"/>
      </w:divBdr>
    </w:div>
    <w:div w:id="372274318">
      <w:bodyDiv w:val="1"/>
      <w:marLeft w:val="0"/>
      <w:marRight w:val="0"/>
      <w:marTop w:val="0"/>
      <w:marBottom w:val="0"/>
      <w:divBdr>
        <w:top w:val="none" w:sz="0" w:space="0" w:color="auto"/>
        <w:left w:val="none" w:sz="0" w:space="0" w:color="auto"/>
        <w:bottom w:val="none" w:sz="0" w:space="0" w:color="auto"/>
        <w:right w:val="none" w:sz="0" w:space="0" w:color="auto"/>
      </w:divBdr>
    </w:div>
    <w:div w:id="387799114">
      <w:bodyDiv w:val="1"/>
      <w:marLeft w:val="0"/>
      <w:marRight w:val="0"/>
      <w:marTop w:val="0"/>
      <w:marBottom w:val="0"/>
      <w:divBdr>
        <w:top w:val="none" w:sz="0" w:space="0" w:color="auto"/>
        <w:left w:val="none" w:sz="0" w:space="0" w:color="auto"/>
        <w:bottom w:val="none" w:sz="0" w:space="0" w:color="auto"/>
        <w:right w:val="none" w:sz="0" w:space="0" w:color="auto"/>
      </w:divBdr>
    </w:div>
    <w:div w:id="424157414">
      <w:bodyDiv w:val="1"/>
      <w:marLeft w:val="0"/>
      <w:marRight w:val="0"/>
      <w:marTop w:val="0"/>
      <w:marBottom w:val="0"/>
      <w:divBdr>
        <w:top w:val="none" w:sz="0" w:space="0" w:color="auto"/>
        <w:left w:val="none" w:sz="0" w:space="0" w:color="auto"/>
        <w:bottom w:val="none" w:sz="0" w:space="0" w:color="auto"/>
        <w:right w:val="none" w:sz="0" w:space="0" w:color="auto"/>
      </w:divBdr>
    </w:div>
    <w:div w:id="708140468">
      <w:bodyDiv w:val="1"/>
      <w:marLeft w:val="0"/>
      <w:marRight w:val="0"/>
      <w:marTop w:val="0"/>
      <w:marBottom w:val="0"/>
      <w:divBdr>
        <w:top w:val="none" w:sz="0" w:space="0" w:color="auto"/>
        <w:left w:val="none" w:sz="0" w:space="0" w:color="auto"/>
        <w:bottom w:val="none" w:sz="0" w:space="0" w:color="auto"/>
        <w:right w:val="none" w:sz="0" w:space="0" w:color="auto"/>
      </w:divBdr>
    </w:div>
    <w:div w:id="889653467">
      <w:bodyDiv w:val="1"/>
      <w:marLeft w:val="0"/>
      <w:marRight w:val="0"/>
      <w:marTop w:val="0"/>
      <w:marBottom w:val="0"/>
      <w:divBdr>
        <w:top w:val="none" w:sz="0" w:space="0" w:color="auto"/>
        <w:left w:val="none" w:sz="0" w:space="0" w:color="auto"/>
        <w:bottom w:val="none" w:sz="0" w:space="0" w:color="auto"/>
        <w:right w:val="none" w:sz="0" w:space="0" w:color="auto"/>
      </w:divBdr>
    </w:div>
    <w:div w:id="1033577045">
      <w:bodyDiv w:val="1"/>
      <w:marLeft w:val="0"/>
      <w:marRight w:val="0"/>
      <w:marTop w:val="0"/>
      <w:marBottom w:val="0"/>
      <w:divBdr>
        <w:top w:val="none" w:sz="0" w:space="0" w:color="auto"/>
        <w:left w:val="none" w:sz="0" w:space="0" w:color="auto"/>
        <w:bottom w:val="none" w:sz="0" w:space="0" w:color="auto"/>
        <w:right w:val="none" w:sz="0" w:space="0" w:color="auto"/>
      </w:divBdr>
    </w:div>
    <w:div w:id="1067259961">
      <w:bodyDiv w:val="1"/>
      <w:marLeft w:val="0"/>
      <w:marRight w:val="0"/>
      <w:marTop w:val="0"/>
      <w:marBottom w:val="0"/>
      <w:divBdr>
        <w:top w:val="none" w:sz="0" w:space="0" w:color="auto"/>
        <w:left w:val="none" w:sz="0" w:space="0" w:color="auto"/>
        <w:bottom w:val="none" w:sz="0" w:space="0" w:color="auto"/>
        <w:right w:val="none" w:sz="0" w:space="0" w:color="auto"/>
      </w:divBdr>
    </w:div>
    <w:div w:id="1129593281">
      <w:bodyDiv w:val="1"/>
      <w:marLeft w:val="0"/>
      <w:marRight w:val="0"/>
      <w:marTop w:val="0"/>
      <w:marBottom w:val="0"/>
      <w:divBdr>
        <w:top w:val="none" w:sz="0" w:space="0" w:color="auto"/>
        <w:left w:val="none" w:sz="0" w:space="0" w:color="auto"/>
        <w:bottom w:val="none" w:sz="0" w:space="0" w:color="auto"/>
        <w:right w:val="none" w:sz="0" w:space="0" w:color="auto"/>
      </w:divBdr>
    </w:div>
    <w:div w:id="1218513960">
      <w:bodyDiv w:val="1"/>
      <w:marLeft w:val="0"/>
      <w:marRight w:val="0"/>
      <w:marTop w:val="0"/>
      <w:marBottom w:val="0"/>
      <w:divBdr>
        <w:top w:val="none" w:sz="0" w:space="0" w:color="auto"/>
        <w:left w:val="none" w:sz="0" w:space="0" w:color="auto"/>
        <w:bottom w:val="none" w:sz="0" w:space="0" w:color="auto"/>
        <w:right w:val="none" w:sz="0" w:space="0" w:color="auto"/>
      </w:divBdr>
    </w:div>
    <w:div w:id="1265459949">
      <w:bodyDiv w:val="1"/>
      <w:marLeft w:val="0"/>
      <w:marRight w:val="0"/>
      <w:marTop w:val="0"/>
      <w:marBottom w:val="0"/>
      <w:divBdr>
        <w:top w:val="none" w:sz="0" w:space="0" w:color="auto"/>
        <w:left w:val="none" w:sz="0" w:space="0" w:color="auto"/>
        <w:bottom w:val="none" w:sz="0" w:space="0" w:color="auto"/>
        <w:right w:val="none" w:sz="0" w:space="0" w:color="auto"/>
      </w:divBdr>
    </w:div>
    <w:div w:id="1322461825">
      <w:bodyDiv w:val="1"/>
      <w:marLeft w:val="0"/>
      <w:marRight w:val="0"/>
      <w:marTop w:val="0"/>
      <w:marBottom w:val="0"/>
      <w:divBdr>
        <w:top w:val="none" w:sz="0" w:space="0" w:color="auto"/>
        <w:left w:val="none" w:sz="0" w:space="0" w:color="auto"/>
        <w:bottom w:val="none" w:sz="0" w:space="0" w:color="auto"/>
        <w:right w:val="none" w:sz="0" w:space="0" w:color="auto"/>
      </w:divBdr>
    </w:div>
    <w:div w:id="1397321167">
      <w:bodyDiv w:val="1"/>
      <w:marLeft w:val="0"/>
      <w:marRight w:val="0"/>
      <w:marTop w:val="0"/>
      <w:marBottom w:val="0"/>
      <w:divBdr>
        <w:top w:val="none" w:sz="0" w:space="0" w:color="auto"/>
        <w:left w:val="none" w:sz="0" w:space="0" w:color="auto"/>
        <w:bottom w:val="none" w:sz="0" w:space="0" w:color="auto"/>
        <w:right w:val="none" w:sz="0" w:space="0" w:color="auto"/>
      </w:divBdr>
    </w:div>
    <w:div w:id="1562014471">
      <w:bodyDiv w:val="1"/>
      <w:marLeft w:val="0"/>
      <w:marRight w:val="0"/>
      <w:marTop w:val="0"/>
      <w:marBottom w:val="0"/>
      <w:divBdr>
        <w:top w:val="none" w:sz="0" w:space="0" w:color="auto"/>
        <w:left w:val="none" w:sz="0" w:space="0" w:color="auto"/>
        <w:bottom w:val="none" w:sz="0" w:space="0" w:color="auto"/>
        <w:right w:val="none" w:sz="0" w:space="0" w:color="auto"/>
      </w:divBdr>
    </w:div>
    <w:div w:id="1665084572">
      <w:bodyDiv w:val="1"/>
      <w:marLeft w:val="0"/>
      <w:marRight w:val="0"/>
      <w:marTop w:val="0"/>
      <w:marBottom w:val="0"/>
      <w:divBdr>
        <w:top w:val="none" w:sz="0" w:space="0" w:color="auto"/>
        <w:left w:val="none" w:sz="0" w:space="0" w:color="auto"/>
        <w:bottom w:val="none" w:sz="0" w:space="0" w:color="auto"/>
        <w:right w:val="none" w:sz="0" w:space="0" w:color="auto"/>
      </w:divBdr>
    </w:div>
    <w:div w:id="1838888003">
      <w:bodyDiv w:val="1"/>
      <w:marLeft w:val="0"/>
      <w:marRight w:val="0"/>
      <w:marTop w:val="0"/>
      <w:marBottom w:val="0"/>
      <w:divBdr>
        <w:top w:val="none" w:sz="0" w:space="0" w:color="auto"/>
        <w:left w:val="none" w:sz="0" w:space="0" w:color="auto"/>
        <w:bottom w:val="none" w:sz="0" w:space="0" w:color="auto"/>
        <w:right w:val="none" w:sz="0" w:space="0" w:color="auto"/>
      </w:divBdr>
    </w:div>
    <w:div w:id="1962304772">
      <w:bodyDiv w:val="1"/>
      <w:marLeft w:val="0"/>
      <w:marRight w:val="0"/>
      <w:marTop w:val="0"/>
      <w:marBottom w:val="0"/>
      <w:divBdr>
        <w:top w:val="none" w:sz="0" w:space="0" w:color="auto"/>
        <w:left w:val="none" w:sz="0" w:space="0" w:color="auto"/>
        <w:bottom w:val="none" w:sz="0" w:space="0" w:color="auto"/>
        <w:right w:val="none" w:sz="0" w:space="0" w:color="auto"/>
      </w:divBdr>
    </w:div>
    <w:div w:id="2128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CCC16</b:Tag>
    <b:SourceType>Report</b:SourceType>
    <b:Guid>{02A375BA-B37D-4C7A-928A-BD3C29CF877A}</b:Guid>
    <b:Author>
      <b:Author>
        <b:Corporate>CCC</b:Corporate>
      </b:Author>
    </b:Author>
    <b:Title>Next Steps for UK heat policy</b:Title>
    <b:Year>2016</b:Year>
    <b:City>London</b:City>
    <b:Publisher>Committee on Climate Change</b:Publisher>
    <b:RefOrder>1</b:RefOrder>
  </b:Source>
  <b:Source>
    <b:Tag>Ofg16</b:Tag>
    <b:SourceType>Report</b:SourceType>
    <b:Guid>{68135185-7FA5-4021-94A5-7B36563B8BF9}</b:Guid>
    <b:Author>
      <b:Author>
        <b:Corporate>Ofgem</b:Corporate>
      </b:Author>
    </b:Author>
    <b:Title>OFGEM - Aggregators - Barriers and External Impacts</b:Title>
    <b:Year>2016</b:Year>
    <b:Publisher>OFGEM</b:Publisher>
    <b:City>London</b:City>
    <b:RefOrder>2</b:RefOrder>
  </b:Source>
  <b:Source>
    <b:Tag>Pow16</b:Tag>
    <b:SourceType>Report</b:SourceType>
    <b:Guid>{AC8D0992-84E3-4A54-893E-00A88599F001}</b:Guid>
    <b:Author>
      <b:Author>
        <b:Corporate>Power Responsive</b:Corporate>
      </b:Author>
    </b:Author>
    <b:Title>Power Responsive DSR Product Map Glossary</b:Title>
    <b:Year>2016</b:Year>
    <b:Publisher>National Grid</b:Publisher>
    <b:City>http://www2.nationalgrid.com/WorkArea/DownloadAsset.aspx?id=8589935075</b:City>
    <b:RefOrder>3</b:RefOrder>
  </b:Source>
  <b:Source>
    <b:Tag>Nat16</b:Tag>
    <b:SourceType>InternetSite</b:SourceType>
    <b:Guid>{3C780A2E-1E40-4362-AB33-118FDFA4555F}</b:Guid>
    <b:Title>National Grid - Short Term Operating Reserve</b:Title>
    <b:Year>2016</b:Year>
    <b:Author>
      <b:Author>
        <b:Corporate>National Grid</b:Corporate>
      </b:Author>
    </b:Author>
    <b:YearAccessed>2017</b:YearAccessed>
    <b:MonthAccessed>01</b:MonthAccessed>
    <b:DayAccessed>06</b:DayAccessed>
    <b:URL>http://www2.nationalgrid.com/uk/services/balancing-services/reserve-services/short-term-operating-reserve/</b:URL>
    <b:RefOrder>4</b:RefOrder>
  </b:Source>
  <b:Source>
    <b:Tag>Gil161</b:Tag>
    <b:SourceType>ConferenceProceedings</b:SourceType>
    <b:Guid>{E6C6FB47-5AAB-475A-87F6-CB05068AC9F7}</b:Guid>
    <b:Title>Cold Water Heat Networks and the Thermal Storage Revolution</b:Title>
    <b:Year>2016</b:Year>
    <b:Publisher>Proceedings from the CLIMA 2016 conference.</b:Publisher>
    <b:City>Aalbourg, Denmark</b:City>
    <b:Author>
      <b:Author>
        <b:NameList>
          <b:Person>
            <b:Last>Gillich</b:Last>
            <b:First>A</b:First>
          </b:Person>
          <b:Person>
            <b:Last>Ford</b:Last>
            <b:First>A</b:First>
          </b:Person>
          <b:Person>
            <b:Last>Hewitt</b:Last>
            <b:First>M</b:First>
          </b:Person>
          <b:Person>
            <b:Last>Thompson</b:Last>
            <b:First>E</b:First>
          </b:Person>
        </b:NameList>
      </b:Author>
    </b:Author>
    <b:RefOrder>5</b:RefOrder>
  </b:Source>
  <b:Source>
    <b:Tag>Mac16</b:Tag>
    <b:SourceType>Report</b:SourceType>
    <b:Guid>{1A626447-90BB-4AB4-974A-21B2EDF8A468}</b:Guid>
    <b:Title>Managing Heat System Decarbonisation - Comparing the impacts and costs of transitions in heat infrastructure</b:Title>
    <b:Year>2016</b:Year>
    <b:City>London</b:City>
    <b:Publisher>Imperial College London</b:Publisher>
    <b:Author>
      <b:Author>
        <b:NameList>
          <b:Person>
            <b:Last>MacLean</b:Last>
            <b:First>Keith</b:First>
          </b:Person>
          <b:Person>
            <b:Last>Sansom</b:Last>
            <b:First>Robert</b:First>
          </b:Person>
          <b:Person>
            <b:Last>Watson</b:Last>
            <b:First>Tom</b:First>
          </b:Person>
          <b:Person>
            <b:Last>Gross</b:Last>
            <b:First>Rob</b:First>
          </b:Person>
        </b:NameList>
      </b:Author>
    </b:Author>
    <b:RefOrder>6</b:RefOrder>
  </b:Source>
  <b:Source>
    <b:Tag>DEC122</b:Tag>
    <b:SourceType>Report</b:SourceType>
    <b:Guid>{18BA746C-FAF7-47C6-81CC-AD3E51E01B79}</b:Guid>
    <b:Author>
      <b:Author>
        <b:NameList>
          <b:Person>
            <b:Last>DECC</b:Last>
          </b:Person>
        </b:NameList>
      </b:Author>
    </b:Author>
    <b:Title>The Future of Heating: A Strategic Framework for Low Carbon Heat in the UK</b:Title>
    <b:Year>2012</b:Year>
    <b:Publisher>Department of Energy and Climate Change</b:Publisher>
    <b:City>London</b:City>
    <b:RefOrder>7</b:RefOrder>
  </b:Source>
  <b:Source>
    <b:Tag>Ele14</b:Tag>
    <b:SourceType>Report</b:SourceType>
    <b:Guid>{D159F16A-5483-44E6-AEA6-52F6DFF4CA83}</b:Guid>
    <b:Author>
      <b:Author>
        <b:NameList>
          <b:Person>
            <b:Last>ElementEnergy</b:Last>
          </b:Person>
        </b:NameList>
      </b:Author>
    </b:Author>
    <b:Title>Incrastructure in a low carbon energy system in 2030: Transmission and distribution</b:Title>
    <b:Year>2014</b:Year>
    <b:Publisher>Imperial College London and Element Energy on behalf of the Committee on Climate Change</b:Publisher>
    <b:City>London</b:City>
    <b:RefOrder>8</b:RefOrder>
  </b:Source>
  <b:Source>
    <b:Tag>DEC13</b:Tag>
    <b:SourceType>Report</b:SourceType>
    <b:Guid>{BE3F7D51-C52B-4074-B643-B8B951B7EACF}</b:Guid>
    <b:Author>
      <b:Author>
        <b:NameList>
          <b:Person>
            <b:Last>DECC</b:Last>
          </b:Person>
        </b:NameList>
      </b:Author>
    </b:Author>
    <b:Title>The Future of Heating: Meeting the Challenge</b:Title>
    <b:Year>2013</b:Year>
    <b:Publisher>DECC</b:Publisher>
    <b:City>London</b:City>
    <b:RefOrder>9</b:RefOrder>
  </b:Source>
  <b:Source>
    <b:Tag>DEC16</b:Tag>
    <b:SourceType>Report</b:SourceType>
    <b:Guid>{D54774F0-F914-456F-A4A3-323D31455689}</b:Guid>
    <b:Author>
      <b:Author>
        <b:NameList>
          <b:Person>
            <b:Last>DECC</b:Last>
          </b:Person>
        </b:NameList>
      </b:Author>
    </b:Author>
    <b:Title>Heat Pumps in District Heating - Final Report</b:Title>
    <b:Year>2016</b:Year>
    <b:Publisher>Element Energy and Carbon Alternatives on behalf of DECC</b:Publisher>
    <b:City>London</b:City>
    <b:RefOrder>10</b:RefOrder>
  </b:Source>
  <b:Source>
    <b:Tag>Pal11</b:Tag>
    <b:SourceType>JournalArticle</b:SourceType>
    <b:Guid>{737EFE23-42D4-45FA-807A-C1C8DD8CA948}</b:Guid>
    <b:Author>
      <b:Author>
        <b:NameList>
          <b:Person>
            <b:Last>Palensky</b:Last>
            <b:First>Peter</b:First>
          </b:Person>
          <b:Person>
            <b:Last>Dietrich</b:Last>
            <b:First>Dietmar</b:First>
          </b:Person>
        </b:NameList>
      </b:Author>
    </b:Author>
    <b:Title>Demand Side Management: Demand Response, Intelligent Energy Systems, and Smart Loads</b:Title>
    <b:Year>2011</b:Year>
    <b:JournalName>IEEE Transaction on Industrial Infomratics</b:JournalName>
    <b:Pages>381-388</b:Pages>
    <b:Volume>7</b:Volume>
    <b:Issue>3</b:Issue>
    <b:RefOrder>11</b:RefOrder>
  </b:Source>
  <b:Source>
    <b:Tag>Nat12</b:Tag>
    <b:SourceType>Report</b:SourceType>
    <b:Guid>{9598D377-01F7-47A9-96CB-84F139CBED46}</b:Guid>
    <b:Author>
      <b:Author>
        <b:Corporate>National Grid</b:Corporate>
      </b:Author>
    </b:Author>
    <b:Title>Pathways for Decarbonising Heat</b:Title>
    <b:Year>2012</b:Year>
    <b:Publisher>Redpoint Energy Ltd on behalf of National Grid</b:Publisher>
    <b:RefOrder>12</b:RefOrder>
  </b:Source>
  <b:Source>
    <b:Tag>Gru131</b:Tag>
    <b:SourceType>JournalArticle</b:SourceType>
    <b:Guid>{34288185-9ED2-4A10-B409-715FBD0FDD41}</b:Guid>
    <b:Title>Demand response from the non-domestic sector: Early UK experiences and future opportunities</b:Title>
    <b:Year>2013</b:Year>
    <b:Author>
      <b:Author>
        <b:NameList>
          <b:Person>
            <b:Last>Grunewald</b:Last>
            <b:First>Philipp</b:First>
          </b:Person>
          <b:Person>
            <b:Last>Torriti</b:Last>
            <b:First>Jacopo</b:First>
          </b:Person>
        </b:NameList>
      </b:Author>
    </b:Author>
    <b:JournalName>Energy Policy</b:JournalName>
    <b:Pages>423-429</b:Pages>
    <b:Volume>61</b:Volume>
    <b:RefOrder>13</b:RefOrder>
  </b:Source>
  <b:Source>
    <b:Tag>REA15</b:Tag>
    <b:SourceType>Report</b:SourceType>
    <b:Guid>{0283B58A-7BA7-4603-ABB7-8DD887C98447}</b:Guid>
    <b:Author>
      <b:Author>
        <b:NameList>
          <b:Person>
            <b:Last>REA</b:Last>
          </b:Person>
        </b:NameList>
      </b:Author>
    </b:Author>
    <b:Title>Energy Storage in the UK - An Overview</b:Title>
    <b:Year>2015</b:Year>
    <b:Publisher>Renewable Energy Association</b:Publisher>
    <b:City>London</b:City>
    <b:RefOrder>14</b:RefOrder>
  </b:Source>
  <b:Source>
    <b:Tag>Gel14</b:Tag>
    <b:SourceType>JournalArticle</b:SourceType>
    <b:Guid>{43574472-8A1E-49F2-81A3-0BF3F16855B8}</b:Guid>
    <b:Title>Demand side management in smart grid: A review and proposals for future direction</b:Title>
    <b:Year>2014</b:Year>
    <b:Author>
      <b:Author>
        <b:NameList>
          <b:Person>
            <b:Last>Gelazanskas</b:Last>
            <b:First>Linas</b:First>
          </b:Person>
          <b:Person>
            <b:Last>Gamag</b:Last>
            <b:First>Kelum</b:First>
          </b:Person>
        </b:NameList>
      </b:Author>
    </b:Author>
    <b:JournalName>Suitable Cities and Society</b:JournalName>
    <b:Pages>22-30</b:Pages>
    <b:Volume>11</b:Volume>
    <b:RefOrder>15</b:RefOrder>
  </b:Source>
  <b:Source>
    <b:Tag>Str15</b:Tag>
    <b:SourceType>Report</b:SourceType>
    <b:Guid>{BF82CED6-F37F-4011-892C-E12EA0F55751}</b:Guid>
    <b:Author>
      <b:Author>
        <b:NameList>
          <b:Person>
            <b:Last>Strbac</b:Last>
            <b:First>Goran</b:First>
          </b:Person>
          <b:Person>
            <b:Last>Aunedi</b:Last>
            <b:First>Marko</b:First>
          </b:Person>
          <b:Person>
            <b:Last>Pudjianto</b:Last>
            <b:First>Danny</b:First>
          </b:Person>
          <b:Person>
            <b:Last>Teng</b:Last>
            <b:First>Fei</b:First>
          </b:Person>
          <b:Person>
            <b:Last>Djapic</b:Last>
            <b:First>Predrag</b:First>
          </b:Person>
        </b:NameList>
      </b:Author>
    </b:Author>
    <b:Title>Value of Flexibility in a Decarbonised Grid and System Externalities of Low-Carbon Generation Technologies</b:Title>
    <b:Year>2015</b:Year>
    <b:Publisher>Imperial College London and Nera consulting on behalf of the Committee on Climate Change</b:Publisher>
    <b:City>London</b:City>
    <b:RefOrder>16</b:RefOrder>
  </b:Source>
  <b:Source>
    <b:Tag>CIB06</b:Tag>
    <b:SourceType>Report</b:SourceType>
    <b:Guid>{4D9B814C-65A2-4222-A5B4-2C47D6CCC5A2}</b:Guid>
    <b:Title>CIBSE Guide A</b:Title>
    <b:Year>2006</b:Year>
    <b:Author>
      <b:Author>
        <b:Corporate>CIBSE</b:Corporate>
      </b:Author>
    </b:Author>
    <b:Publisher>Chartered Institution of Building Services Engineering</b:Publisher>
    <b:City>London, UK</b:City>
    <b:RefOrder>17</b:RefOrder>
  </b:Source>
</b:Sources>
</file>

<file path=customXml/itemProps1.xml><?xml version="1.0" encoding="utf-8"?>
<ds:datastoreItem xmlns:ds="http://schemas.openxmlformats.org/officeDocument/2006/customXml" ds:itemID="{985B6142-3BFA-48C3-BDC4-37BBEE92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6009</Words>
  <Characters>34253</Characters>
  <Application>Microsoft Office Word</Application>
  <DocSecurity>0</DocSecurity>
  <Lines>285</Lines>
  <Paragraphs>80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This is the template for Papers and Short Papers (to accompany posters) to be submitted to the eceee Summer Study</vt:lpstr>
      <vt:lpstr>This is the template for Papers and Short Papers (to accompany posters) to be submitted to the eceee Summer Study</vt:lpstr>
    </vt:vector>
  </TitlesOfParts>
  <Company>..</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Papers and Short Papers (to accompany posters) to be submitted to the eceee Summer Study</dc:title>
  <dc:creator>Therese Laitinen Lindström</dc:creator>
  <cp:lastModifiedBy>Gillich, Aaron</cp:lastModifiedBy>
  <cp:revision>8</cp:revision>
  <dcterms:created xsi:type="dcterms:W3CDTF">2017-03-14T16:07:00Z</dcterms:created>
  <dcterms:modified xsi:type="dcterms:W3CDTF">2017-03-17T13:28:00Z</dcterms:modified>
</cp:coreProperties>
</file>