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D7AE2" w14:textId="77777777" w:rsidR="00810E26" w:rsidRDefault="00810E26" w:rsidP="00093EE1">
      <w:pPr>
        <w:outlineLvl w:val="0"/>
        <w:rPr>
          <w:b/>
        </w:rPr>
      </w:pPr>
      <w:bookmarkStart w:id="0" w:name="_GoBack"/>
      <w:bookmarkEnd w:id="0"/>
    </w:p>
    <w:p w14:paraId="72CB9313" w14:textId="77777777" w:rsidR="00A33C49" w:rsidRDefault="00A33C49" w:rsidP="00A33C49">
      <w:pPr>
        <w:jc w:val="center"/>
        <w:outlineLvl w:val="0"/>
        <w:rPr>
          <w:b/>
        </w:rPr>
      </w:pPr>
      <w:r>
        <w:rPr>
          <w:b/>
        </w:rPr>
        <w:t>Making Sense of</w:t>
      </w:r>
      <w:r w:rsidRPr="00E35199">
        <w:rPr>
          <w:b/>
        </w:rPr>
        <w:t xml:space="preserve"> </w:t>
      </w:r>
      <w:r>
        <w:rPr>
          <w:b/>
        </w:rPr>
        <w:t xml:space="preserve">Common </w:t>
      </w:r>
      <w:r w:rsidRPr="00E35199">
        <w:rPr>
          <w:b/>
        </w:rPr>
        <w:t>Dirichlet Deviations</w:t>
      </w:r>
    </w:p>
    <w:p w14:paraId="06D6394A" w14:textId="77777777" w:rsidR="00CB76D7" w:rsidRPr="00D07677" w:rsidRDefault="00CB76D7" w:rsidP="00CB76D7">
      <w:pPr>
        <w:jc w:val="center"/>
        <w:rPr>
          <w:b/>
          <w:u w:val="single"/>
        </w:rPr>
      </w:pPr>
    </w:p>
    <w:p w14:paraId="6360893F" w14:textId="77777777" w:rsidR="00CB76D7" w:rsidRDefault="00CB76D7" w:rsidP="00CB76D7">
      <w:pPr>
        <w:jc w:val="center"/>
        <w:rPr>
          <w:b/>
          <w:u w:val="single"/>
        </w:rPr>
      </w:pPr>
    </w:p>
    <w:p w14:paraId="26BCF32A" w14:textId="77777777" w:rsidR="00A67FD5" w:rsidRPr="00D07677" w:rsidRDefault="00A67FD5" w:rsidP="007759F2">
      <w:pPr>
        <w:rPr>
          <w:b/>
          <w:u w:val="single"/>
        </w:rPr>
      </w:pPr>
    </w:p>
    <w:p w14:paraId="39C95984" w14:textId="77777777" w:rsidR="00CB76D7" w:rsidRPr="003E5B16" w:rsidRDefault="003E5B16" w:rsidP="00FD4439">
      <w:pPr>
        <w:outlineLvl w:val="0"/>
        <w:rPr>
          <w:b/>
        </w:rPr>
      </w:pPr>
      <w:r>
        <w:rPr>
          <w:b/>
        </w:rPr>
        <w:t xml:space="preserve">1. </w:t>
      </w:r>
      <w:r w:rsidR="00CB76D7" w:rsidRPr="003E5B16">
        <w:rPr>
          <w:b/>
        </w:rPr>
        <w:t>Introduction</w:t>
      </w:r>
    </w:p>
    <w:p w14:paraId="7C7BECD3" w14:textId="77777777" w:rsidR="00CB76D7" w:rsidRPr="00D07677" w:rsidRDefault="00CB76D7" w:rsidP="00CB76D7">
      <w:pPr>
        <w:rPr>
          <w:b/>
          <w:u w:val="single"/>
        </w:rPr>
      </w:pPr>
    </w:p>
    <w:p w14:paraId="56F5A9D7" w14:textId="77777777" w:rsidR="00D6178F" w:rsidRDefault="00D6178F" w:rsidP="00D6178F">
      <w:pPr>
        <w:widowControl w:val="0"/>
        <w:autoSpaceDE w:val="0"/>
        <w:autoSpaceDN w:val="0"/>
        <w:adjustRightInd w:val="0"/>
        <w:spacing w:after="240" w:line="480" w:lineRule="auto"/>
      </w:pPr>
      <w:r w:rsidRPr="00A605AD">
        <w:t xml:space="preserve">Managers concerned with setting strategic objectives in </w:t>
      </w:r>
      <w:r>
        <w:t xml:space="preserve">consumer packaged goods (CPG) categories must first </w:t>
      </w:r>
      <w:r w:rsidRPr="00A605AD">
        <w:t xml:space="preserve">consider how consumer choice behaviour defines competitive market structure. Is a brand growing because it has reached more buyers, or because its customer base is </w:t>
      </w:r>
      <w:r>
        <w:t xml:space="preserve">becoming </w:t>
      </w:r>
      <w:r w:rsidRPr="00A605AD">
        <w:t xml:space="preserve">more loyal? Which competing brands pose more (or less) of a threat? Since market share is most frequently a zero sum measure it is </w:t>
      </w:r>
      <w:r>
        <w:t>important</w:t>
      </w:r>
      <w:r w:rsidRPr="00A605AD">
        <w:t xml:space="preserve"> for managers to understand brand performance in its competitive context </w:t>
      </w:r>
      <w:r w:rsidRPr="0049306E">
        <w:rPr>
          <w:lang w:val="en-US" w:eastAsia="en-US"/>
        </w:rPr>
        <w:t xml:space="preserve">(Franses, Srinivasan &amp; Boswijk, 2001) </w:t>
      </w:r>
      <w:r w:rsidRPr="00A605AD">
        <w:t>because the underlying metrics of buyer behaviour (purchase frequency, penetration, switching, distribution of heavy and light buyers by brand) can only be improved at the expense of competitors</w:t>
      </w:r>
      <w:r>
        <w:t>.</w:t>
      </w:r>
      <w:r w:rsidRPr="00A605AD">
        <w:t xml:space="preserve"> </w:t>
      </w:r>
    </w:p>
    <w:p w14:paraId="29819405" w14:textId="6E671D59" w:rsidR="00D6178F" w:rsidRPr="0030264B" w:rsidRDefault="00D6178F" w:rsidP="00D6178F">
      <w:pPr>
        <w:widowControl w:val="0"/>
        <w:autoSpaceDE w:val="0"/>
        <w:autoSpaceDN w:val="0"/>
        <w:adjustRightInd w:val="0"/>
        <w:spacing w:after="240" w:line="480" w:lineRule="auto"/>
        <w:rPr>
          <w:rFonts w:ascii="Times" w:hAnsi="Times" w:cs="Times"/>
          <w:lang w:val="en-US" w:eastAsia="en-US"/>
        </w:rPr>
      </w:pPr>
      <w:r>
        <w:t>One</w:t>
      </w:r>
      <w:r w:rsidRPr="00A605AD">
        <w:t xml:space="preserve"> model that </w:t>
      </w:r>
      <w:r>
        <w:t>has been</w:t>
      </w:r>
      <w:r>
        <w:rPr>
          <w:rFonts w:ascii="Times" w:hAnsi="Times" w:cs="Times"/>
          <w:lang w:val="en-US" w:eastAsia="en-US"/>
        </w:rPr>
        <w:t xml:space="preserve"> </w:t>
      </w:r>
      <w:r w:rsidRPr="0030264B">
        <w:t xml:space="preserve">extensively </w:t>
      </w:r>
      <w:r>
        <w:t xml:space="preserve">adopted </w:t>
      </w:r>
      <w:r w:rsidRPr="0030264B">
        <w:t xml:space="preserve">in industry (Kennedy &amp; McColl, </w:t>
      </w:r>
      <w:r w:rsidR="00E111E8" w:rsidRPr="0030264B">
        <w:t>201</w:t>
      </w:r>
      <w:r w:rsidR="00E111E8">
        <w:t>2</w:t>
      </w:r>
      <w:r w:rsidRPr="0030264B">
        <w:t xml:space="preserve">; Sharp 2010) </w:t>
      </w:r>
      <w:r w:rsidRPr="00A605AD">
        <w:t>is the NBD-Dirichlet (</w:t>
      </w:r>
      <w:r>
        <w:t>Goodhardt, Ehrenberg &amp; Chatfield 1984</w:t>
      </w:r>
      <w:r w:rsidRPr="00A605AD">
        <w:t>)</w:t>
      </w:r>
      <w:r>
        <w:t xml:space="preserve">, because </w:t>
      </w:r>
      <w:r w:rsidRPr="0030264B">
        <w:t>(a) it closely describes how consumers buy and brands compete (Ehren</w:t>
      </w:r>
      <w:r>
        <w:t>berg, Uncles &amp; Goodhardt, 2004)</w:t>
      </w:r>
      <w:r w:rsidRPr="0030264B">
        <w:t xml:space="preserve"> and (b) because it is parsimonious</w:t>
      </w:r>
      <w:r>
        <w:t>,</w:t>
      </w:r>
      <w:r w:rsidRPr="0030264B">
        <w:t xml:space="preserve"> </w:t>
      </w:r>
      <w:r>
        <w:t>depending on just a handful of</w:t>
      </w:r>
      <w:r w:rsidRPr="0030264B">
        <w:t xml:space="preserve"> </w:t>
      </w:r>
      <w:r>
        <w:t xml:space="preserve">theoretical assumptions concerning the distribution of brand purchase probabilities (Ehrenberg &amp; Sharp, 2000), and (c) because its output then incorporates many well-established empirical generalisations in repeat-buying across competing brands. These norms include the laws of Double Jeopardy, Natural Monopoly and Duplication of Purchase, and the invariant patterns of consumer heterogeneity (Ehrenberg, Barnard &amp; Sharp, 2000).  </w:t>
      </w:r>
    </w:p>
    <w:p w14:paraId="6B184168" w14:textId="04DDC3BD" w:rsidR="00D6178F" w:rsidRDefault="00D6178F" w:rsidP="00D6178F">
      <w:pPr>
        <w:spacing w:line="480" w:lineRule="auto"/>
      </w:pPr>
      <w:r w:rsidRPr="00073BAD">
        <w:t>Dirichlet modelling</w:t>
      </w:r>
      <w:r>
        <w:t xml:space="preserve"> is descriptive, not </w:t>
      </w:r>
      <w:r w:rsidR="00E111E8">
        <w:t>prescriptive</w:t>
      </w:r>
      <w:r>
        <w:t>. It seeks to uncover the main effects in</w:t>
      </w:r>
      <w:r w:rsidRPr="00376D20">
        <w:t xml:space="preserve"> </w:t>
      </w:r>
      <w:r>
        <w:t>observed data, rather than</w:t>
      </w:r>
      <w:r w:rsidRPr="00073BAD">
        <w:t xml:space="preserve"> </w:t>
      </w:r>
      <w:r>
        <w:t xml:space="preserve">to obtain a </w:t>
      </w:r>
      <w:r w:rsidRPr="00073BAD">
        <w:t>best fit</w:t>
      </w:r>
      <w:r>
        <w:t>. Its main use is to</w:t>
      </w:r>
      <w:r w:rsidRPr="00073BAD">
        <w:t xml:space="preserve"> </w:t>
      </w:r>
      <w:r>
        <w:t>benchmark</w:t>
      </w:r>
      <w:r w:rsidRPr="00073BAD">
        <w:t xml:space="preserve"> </w:t>
      </w:r>
      <w:r w:rsidRPr="00073BAD">
        <w:lastRenderedPageBreak/>
        <w:t xml:space="preserve">observed outcomes </w:t>
      </w:r>
      <w:r>
        <w:t xml:space="preserve">against </w:t>
      </w:r>
      <w:r w:rsidRPr="00073BAD">
        <w:t xml:space="preserve">what </w:t>
      </w:r>
      <w:r>
        <w:t>would be</w:t>
      </w:r>
      <w:r w:rsidRPr="00073BAD">
        <w:t xml:space="preserve"> expected to happen in theory</w:t>
      </w:r>
      <w:r>
        <w:t>, in order to evaluate past performance,</w:t>
      </w:r>
      <w:r w:rsidRPr="00073BAD">
        <w:t xml:space="preserve"> set realistic brand performance objectives</w:t>
      </w:r>
      <w:r>
        <w:t>, and develop insights in behavioural loyalty.</w:t>
      </w:r>
      <w:r w:rsidRPr="00073BAD">
        <w:t> </w:t>
      </w:r>
      <w:r>
        <w:t xml:space="preserve">Since most brand performance measures are about normal most of the time, when a deviation is observed it is not a call to reject the fitting, but rather to investigate </w:t>
      </w:r>
      <w:r w:rsidRPr="0030050D">
        <w:rPr>
          <w:i/>
        </w:rPr>
        <w:t>why</w:t>
      </w:r>
      <w:r>
        <w:t xml:space="preserve"> such a variance occurred. Indeed one of the main benefits of any Dirichlet fitting is the framework it provides from which to develop useful managerial insight.</w:t>
      </w:r>
    </w:p>
    <w:p w14:paraId="1C921876" w14:textId="77777777" w:rsidR="00D6178F" w:rsidRDefault="00D6178F" w:rsidP="00D6178F">
      <w:pPr>
        <w:spacing w:line="480" w:lineRule="auto"/>
      </w:pPr>
    </w:p>
    <w:p w14:paraId="2BC12D14" w14:textId="77777777" w:rsidR="00D6178F" w:rsidRDefault="00D6178F" w:rsidP="00D6178F">
      <w:pPr>
        <w:spacing w:line="480" w:lineRule="auto"/>
      </w:pPr>
      <w:r>
        <w:t>O</w:t>
      </w:r>
      <w:r w:rsidRPr="00073BAD">
        <w:t>ver time</w:t>
      </w:r>
      <w:r>
        <w:t>, and as</w:t>
      </w:r>
      <w:r w:rsidRPr="00073BAD">
        <w:t xml:space="preserve"> </w:t>
      </w:r>
      <w:r>
        <w:t>a result</w:t>
      </w:r>
      <w:r w:rsidRPr="00073BAD">
        <w:t xml:space="preserve"> </w:t>
      </w:r>
      <w:r>
        <w:t xml:space="preserve">of the model’s </w:t>
      </w:r>
      <w:r w:rsidRPr="00073BAD">
        <w:t>wide generalis</w:t>
      </w:r>
      <w:r>
        <w:t xml:space="preserve">ation, </w:t>
      </w:r>
      <w:r w:rsidRPr="00073BAD">
        <w:t xml:space="preserve">a number of </w:t>
      </w:r>
      <w:r>
        <w:t xml:space="preserve">regular </w:t>
      </w:r>
      <w:r w:rsidRPr="00073BAD">
        <w:t xml:space="preserve">deviations have been </w:t>
      </w:r>
      <w:r>
        <w:t xml:space="preserve">repeatedly </w:t>
      </w:r>
      <w:r w:rsidRPr="00073BAD">
        <w:t>documented</w:t>
      </w:r>
      <w:r>
        <w:t xml:space="preserve"> between expected and observed performance metrics.</w:t>
      </w:r>
      <w:r w:rsidRPr="00073BAD">
        <w:t xml:space="preserve"> </w:t>
      </w:r>
      <w:r>
        <w:t xml:space="preserve">Some, such as an excess loyalty described for many high share brands (e.g. Fader and Schmittlein, 1993; Pare &amp; Dawes, 2012) have attracted much attention; others such as the Erosion of Repeat Purchase Loyalty (East and Hammond, 1996) are rather less well known. </w:t>
      </w:r>
      <w:r w:rsidRPr="00D07677">
        <w:t xml:space="preserve">This paper </w:t>
      </w:r>
      <w:r>
        <w:t xml:space="preserve">reviews </w:t>
      </w:r>
      <w:r w:rsidRPr="00D07677">
        <w:t xml:space="preserve">the </w:t>
      </w:r>
      <w:r>
        <w:t xml:space="preserve">incidence, </w:t>
      </w:r>
      <w:r w:rsidRPr="00D07677">
        <w:t xml:space="preserve">extent and nature of </w:t>
      </w:r>
      <w:r>
        <w:t>these consistently recurring</w:t>
      </w:r>
      <w:r w:rsidRPr="00D07677">
        <w:t xml:space="preserve"> deviations</w:t>
      </w:r>
      <w:r>
        <w:t>, using evidence from a single, extensive database, and so although</w:t>
      </w:r>
      <w:r w:rsidRPr="00D07677">
        <w:t xml:space="preserve"> </w:t>
      </w:r>
      <w:r>
        <w:t xml:space="preserve">the deviations reported here are not new findings in themselves, the value in summarising them in this way is threefold. </w:t>
      </w:r>
    </w:p>
    <w:p w14:paraId="2CEB1350" w14:textId="77777777" w:rsidR="00D6178F" w:rsidRDefault="00D6178F" w:rsidP="00D6178F">
      <w:pPr>
        <w:spacing w:line="480" w:lineRule="auto"/>
      </w:pPr>
    </w:p>
    <w:p w14:paraId="51509CA2" w14:textId="77777777" w:rsidR="00D6178F" w:rsidRDefault="00D6178F" w:rsidP="00D6178F">
      <w:pPr>
        <w:spacing w:line="480" w:lineRule="auto"/>
      </w:pPr>
      <w:r>
        <w:t xml:space="preserve">First, as Ehrenberg </w:t>
      </w:r>
      <w:r w:rsidRPr="00704242">
        <w:rPr>
          <w:i/>
        </w:rPr>
        <w:t>et al.,</w:t>
      </w:r>
      <w:r>
        <w:t xml:space="preserve"> (2004) suggested, users of a Dirichlet model need to know about the range of deviations that they may routinely encounter, in order to correctly interpret unusual but not unknown aspects of market structure. We therefore provide a summary of the most common deviations, demonstrate how they can contribute to a better understanding of buyer choice behaviour in the context of the general model, and discuss the implications for strategic brand management. Second, many prior studies have tended to concentrate on one or two deviations in isolation, but because </w:t>
      </w:r>
      <w:r>
        <w:lastRenderedPageBreak/>
        <w:t>these may arise from the same breach of the theoretical assumptions, or produce complementary effects on two or more metrics, or share managerial significance, it is now valuable to discuss the main deviations together in order to understand any relationships between them. Third, the existence of a set of systematic deviations, some of which have taken on the characteristics of empirical generalisations in the literature, prompts a discussion of Dirichlet theory and the case for model adaptation.</w:t>
      </w:r>
    </w:p>
    <w:p w14:paraId="1C95D203" w14:textId="77777777" w:rsidR="00D6178F" w:rsidRDefault="00D6178F" w:rsidP="00D6178F">
      <w:pPr>
        <w:spacing w:line="480" w:lineRule="auto"/>
      </w:pPr>
    </w:p>
    <w:p w14:paraId="3AA68ACB" w14:textId="77777777" w:rsidR="00D6178F" w:rsidRDefault="00D6178F" w:rsidP="00D6178F">
      <w:pPr>
        <w:spacing w:line="480" w:lineRule="auto"/>
      </w:pPr>
      <w:r>
        <w:t xml:space="preserve">The paper proceeds as follows. First, the NBD-Dirichlet is described and the deviations literature summarised to define the questions addressed. We next present the dataset and define the standard metrics used in the analysis along with an overview of the fitting procedure. The deviations are then empirically presented and discussed in detail, and the paper concludes with the summary and a discussion of the implications for managers, for marketing strategy and for theory development. </w:t>
      </w:r>
    </w:p>
    <w:p w14:paraId="22274F16" w14:textId="77777777" w:rsidR="00D6178F" w:rsidRDefault="00D6178F" w:rsidP="00D6178F">
      <w:pPr>
        <w:spacing w:after="120"/>
        <w:outlineLvl w:val="0"/>
        <w:rPr>
          <w:b/>
        </w:rPr>
      </w:pPr>
    </w:p>
    <w:p w14:paraId="5911C174" w14:textId="77777777" w:rsidR="00D6178F" w:rsidRDefault="00D6178F" w:rsidP="00D6178F">
      <w:pPr>
        <w:spacing w:after="120"/>
        <w:outlineLvl w:val="0"/>
        <w:rPr>
          <w:b/>
        </w:rPr>
      </w:pPr>
    </w:p>
    <w:p w14:paraId="19375D67" w14:textId="77777777" w:rsidR="00D6178F" w:rsidRDefault="00D6178F" w:rsidP="00D6178F">
      <w:pPr>
        <w:spacing w:after="120"/>
        <w:outlineLvl w:val="0"/>
        <w:rPr>
          <w:b/>
        </w:rPr>
      </w:pPr>
      <w:r w:rsidRPr="00A67FD5">
        <w:rPr>
          <w:b/>
        </w:rPr>
        <w:t xml:space="preserve">2. </w:t>
      </w:r>
      <w:r>
        <w:rPr>
          <w:b/>
        </w:rPr>
        <w:t>Background</w:t>
      </w:r>
      <w:r w:rsidRPr="00A67FD5">
        <w:rPr>
          <w:b/>
        </w:rPr>
        <w:t xml:space="preserve"> </w:t>
      </w:r>
    </w:p>
    <w:p w14:paraId="7C06FF39" w14:textId="77777777" w:rsidR="00D6178F" w:rsidRDefault="00D6178F" w:rsidP="00D6178F">
      <w:pPr>
        <w:spacing w:after="120"/>
      </w:pPr>
    </w:p>
    <w:p w14:paraId="337A2080" w14:textId="77777777" w:rsidR="00D6178F" w:rsidRPr="00A67FD5" w:rsidRDefault="00D6178F" w:rsidP="00D6178F">
      <w:pPr>
        <w:spacing w:after="100" w:afterAutospacing="1" w:line="480" w:lineRule="auto"/>
        <w:rPr>
          <w:i/>
        </w:rPr>
      </w:pPr>
      <w:r w:rsidRPr="00A67FD5">
        <w:rPr>
          <w:i/>
        </w:rPr>
        <w:t xml:space="preserve">2.1 </w:t>
      </w:r>
      <w:r>
        <w:rPr>
          <w:i/>
        </w:rPr>
        <w:t xml:space="preserve">The NBD-Dirichlet model </w:t>
      </w:r>
    </w:p>
    <w:p w14:paraId="6F3D8C77" w14:textId="77777777" w:rsidR="00D6178F" w:rsidRDefault="00D6178F" w:rsidP="00D6178F">
      <w:pPr>
        <w:spacing w:after="100" w:afterAutospacing="1" w:line="480" w:lineRule="auto"/>
      </w:pPr>
      <w:r w:rsidRPr="00937981">
        <w:t xml:space="preserve">The </w:t>
      </w:r>
      <w:r>
        <w:t>NBD-Dirichlet model, usually just called the Dirichlet</w:t>
      </w:r>
      <w:r w:rsidRPr="00980FAB">
        <w:t xml:space="preserve"> </w:t>
      </w:r>
      <w:r>
        <w:t xml:space="preserve">(Goodhardt, Ehrenberg &amp; Chatfield 1984) </w:t>
      </w:r>
      <w:r w:rsidRPr="00937981">
        <w:t>describes the patterns of choice by buyers – how many buy at all, how often they buy and what else they buy</w:t>
      </w:r>
      <w:r>
        <w:t xml:space="preserve"> in a fixed time period</w:t>
      </w:r>
      <w:r w:rsidRPr="00937981">
        <w:t xml:space="preserve">. </w:t>
      </w:r>
      <w:r>
        <w:t xml:space="preserve">The model broadly </w:t>
      </w:r>
      <w:r w:rsidRPr="00937981">
        <w:t>assumes that consumers choose from a small portfolio of the available options (spl</w:t>
      </w:r>
      <w:r>
        <w:t>it loyalty), with (1) on-going</w:t>
      </w:r>
      <w:r w:rsidRPr="00937981">
        <w:t xml:space="preserve"> fixed prope</w:t>
      </w:r>
      <w:r>
        <w:t>nsities to choose any one item</w:t>
      </w:r>
      <w:r w:rsidRPr="00937981">
        <w:t xml:space="preserve"> (e.g. brand X six times out of ten).  Consumers differ in the rate </w:t>
      </w:r>
      <w:r>
        <w:t xml:space="preserve">at which </w:t>
      </w:r>
      <w:r w:rsidRPr="00937981">
        <w:t xml:space="preserve">they buy the category, and </w:t>
      </w:r>
      <w:r>
        <w:t xml:space="preserve">(2) </w:t>
      </w:r>
      <w:r w:rsidRPr="00937981">
        <w:t xml:space="preserve">propensities differ greatly from consumer to consumer and </w:t>
      </w:r>
      <w:r>
        <w:t xml:space="preserve">(3) </w:t>
      </w:r>
      <w:r w:rsidRPr="00937981">
        <w:t xml:space="preserve">are independent of incidence of </w:t>
      </w:r>
      <w:r>
        <w:t xml:space="preserve">brand </w:t>
      </w:r>
      <w:r w:rsidRPr="00937981">
        <w:t xml:space="preserve">choice.  </w:t>
      </w:r>
      <w:r>
        <w:t xml:space="preserve">The NBD-Dirichlet is specified for (4) non-partitioned and </w:t>
      </w:r>
      <w:r>
        <w:lastRenderedPageBreak/>
        <w:t xml:space="preserve">(5) stationary markets, i.e. there are no subgroups in the population with different overall preferences and market size and brand shares are not changing. The model combines </w:t>
      </w:r>
      <w:r w:rsidRPr="00B24A2C">
        <w:t>these five assumptions</w:t>
      </w:r>
      <w:r>
        <w:t xml:space="preserve"> in two probability density functions, the Negative Binomial Distribution (NBD) for purchase incidence and the Dirichlet Multinomial Distribution (Dirichlet) for brand choice, to model simultaneously the number of purchases for each competing brand in a category in a fixed time.  </w:t>
      </w:r>
    </w:p>
    <w:p w14:paraId="27429363" w14:textId="4AAAEC6C" w:rsidR="00D6178F" w:rsidRPr="00FA2504" w:rsidRDefault="00D6178F" w:rsidP="00D6178F">
      <w:pPr>
        <w:spacing w:after="100" w:afterAutospacing="1" w:line="480" w:lineRule="auto"/>
        <w:rPr>
          <w:rFonts w:ascii="Times" w:hAnsi="Times"/>
          <w:sz w:val="20"/>
          <w:szCs w:val="20"/>
          <w:lang w:eastAsia="en-US"/>
        </w:rPr>
      </w:pPr>
      <w:r>
        <w:t xml:space="preserve">The </w:t>
      </w:r>
      <w:r w:rsidRPr="00937981">
        <w:t xml:space="preserve">Dirichlet </w:t>
      </w:r>
      <w:r>
        <w:t xml:space="preserve">output </w:t>
      </w:r>
      <w:r>
        <w:rPr>
          <w:rFonts w:ascii="TimesNewRomanPS" w:hAnsi="TimesNewRomanPS"/>
          <w:color w:val="211E1E"/>
        </w:rPr>
        <w:t xml:space="preserve">reproduces many </w:t>
      </w:r>
      <w:r>
        <w:rPr>
          <w:rFonts w:ascii="TimesNewRomanPS" w:hAnsi="TimesNewRomanPS" w:hint="eastAsia"/>
          <w:color w:val="211E1E"/>
        </w:rPr>
        <w:t>of the</w:t>
      </w:r>
      <w:r>
        <w:rPr>
          <w:rFonts w:ascii="TimesNewRomanPS" w:hAnsi="TimesNewRomanPS"/>
          <w:color w:val="211E1E"/>
        </w:rPr>
        <w:t xml:space="preserve"> discipline</w:t>
      </w:r>
      <w:r>
        <w:rPr>
          <w:rFonts w:ascii="TimesNewRomanPS" w:hAnsi="TimesNewRomanPS" w:hint="eastAsia"/>
          <w:color w:val="211E1E"/>
        </w:rPr>
        <w:t>’</w:t>
      </w:r>
      <w:r>
        <w:rPr>
          <w:rFonts w:ascii="TimesNewRomanPS" w:hAnsi="TimesNewRomanPS"/>
          <w:color w:val="211E1E"/>
        </w:rPr>
        <w:t>s most important empirical generalisations in consumer behaviour, such as the fundamental pattern of Double Jeopardy (Ehrenberg, Goodhardt &amp; Barwise 199</w:t>
      </w:r>
      <w:r w:rsidR="002E0367">
        <w:rPr>
          <w:rFonts w:ascii="TimesNewRomanPS" w:hAnsi="TimesNewRomanPS"/>
          <w:color w:val="211E1E"/>
        </w:rPr>
        <w:t>0</w:t>
      </w:r>
      <w:r>
        <w:rPr>
          <w:rFonts w:ascii="TimesNewRomanPS" w:hAnsi="TimesNewRomanPS"/>
          <w:color w:val="211E1E"/>
        </w:rPr>
        <w:t>), from a single model fitting. It has</w:t>
      </w:r>
      <w:r>
        <w:rPr>
          <w:lang w:eastAsia="en-US"/>
        </w:rPr>
        <w:t xml:space="preserve"> been consistently observed that in split loyal markets small</w:t>
      </w:r>
      <w:r w:rsidRPr="0025039C">
        <w:rPr>
          <w:lang w:eastAsia="en-US"/>
        </w:rPr>
        <w:t xml:space="preserve"> brands suffer twice</w:t>
      </w:r>
      <w:r>
        <w:rPr>
          <w:lang w:eastAsia="en-US"/>
        </w:rPr>
        <w:t xml:space="preserve"> (hence Double Jeopardy);</w:t>
      </w:r>
      <w:r w:rsidRPr="0025039C">
        <w:rPr>
          <w:lang w:eastAsia="en-US"/>
        </w:rPr>
        <w:t xml:space="preserve"> </w:t>
      </w:r>
      <w:r>
        <w:rPr>
          <w:lang w:eastAsia="en-US"/>
        </w:rPr>
        <w:t>f</w:t>
      </w:r>
      <w:r w:rsidRPr="0025039C">
        <w:rPr>
          <w:lang w:eastAsia="en-US"/>
        </w:rPr>
        <w:t>ewer people buy them</w:t>
      </w:r>
      <w:r>
        <w:rPr>
          <w:lang w:eastAsia="en-US"/>
        </w:rPr>
        <w:t xml:space="preserve"> than the more popular alternatives</w:t>
      </w:r>
      <w:r w:rsidRPr="0025039C">
        <w:rPr>
          <w:lang w:eastAsia="en-US"/>
        </w:rPr>
        <w:t>, and those that do</w:t>
      </w:r>
      <w:r w:rsidR="00E111E8">
        <w:rPr>
          <w:lang w:eastAsia="en-US"/>
        </w:rPr>
        <w:t>,</w:t>
      </w:r>
      <w:r w:rsidRPr="0025039C">
        <w:rPr>
          <w:lang w:eastAsia="en-US"/>
        </w:rPr>
        <w:t xml:space="preserve"> like them less and </w:t>
      </w:r>
      <w:r>
        <w:rPr>
          <w:lang w:eastAsia="en-US"/>
        </w:rPr>
        <w:t>buy them a little less often</w:t>
      </w:r>
      <w:r w:rsidRPr="0025039C">
        <w:rPr>
          <w:lang w:eastAsia="en-US"/>
        </w:rPr>
        <w:t>.</w:t>
      </w:r>
      <w:r>
        <w:rPr>
          <w:lang w:eastAsia="en-US"/>
        </w:rPr>
        <w:t xml:space="preserve"> In these markets, the relationship between buyer numbers (penetration) and behavioural loyalty (e.g. purchase frequency) for all rival brands is mathematically predictable, but more surprising, the biggest difference between big and small brands is in the number of buyers they attract, and not the loyalty they earn, which varies little. The Law of Double Jeopardy thus defines “normal” buying in the category for a brand of any size. The pre-eminent effect of penetration on brand performance </w:t>
      </w:r>
      <w:r w:rsidR="00E111E8">
        <w:rPr>
          <w:lang w:eastAsia="en-US"/>
        </w:rPr>
        <w:t xml:space="preserve">also </w:t>
      </w:r>
      <w:r>
        <w:rPr>
          <w:lang w:eastAsia="en-US"/>
        </w:rPr>
        <w:t xml:space="preserve">underpins most other established behavioural regularities, including the </w:t>
      </w:r>
      <w:r>
        <w:rPr>
          <w:rFonts w:ascii="TimesNewRomanPS" w:hAnsi="TimesNewRomanPS"/>
          <w:color w:val="211E1E"/>
        </w:rPr>
        <w:t>Duplication of Purchase Law (Dawes, 2016; Ehrenberg &amp; Goodhardt, 1970). This states that the customer base of any brand buys other brands in the category predictably, in line with each rival</w:t>
      </w:r>
      <w:r>
        <w:rPr>
          <w:rFonts w:ascii="TimesNewRomanPS" w:hAnsi="TimesNewRomanPS" w:hint="eastAsia"/>
          <w:color w:val="211E1E"/>
        </w:rPr>
        <w:t>’</w:t>
      </w:r>
      <w:r>
        <w:rPr>
          <w:rFonts w:ascii="TimesNewRomanPS" w:hAnsi="TimesNewRomanPS"/>
          <w:color w:val="211E1E"/>
        </w:rPr>
        <w:t>s penetration, rather than with any perceived brand differentiation (Romaniuk, Sharp &amp; Ehrenberg, 2007).</w:t>
      </w:r>
    </w:p>
    <w:p w14:paraId="401D1502" w14:textId="0B58FD7F" w:rsidR="00D6178F" w:rsidRDefault="00D6178F" w:rsidP="00D6178F">
      <w:pPr>
        <w:spacing w:after="100" w:afterAutospacing="1" w:line="480" w:lineRule="auto"/>
      </w:pPr>
      <w:r>
        <w:lastRenderedPageBreak/>
        <w:t xml:space="preserve">On the face of it, these behavioural norms and the Dirichlet assumptions </w:t>
      </w:r>
      <w:r w:rsidR="00537C49">
        <w:t>could</w:t>
      </w:r>
      <w:r>
        <w:t xml:space="preserve"> be quickly rejected by practitioners</w:t>
      </w:r>
      <w:r w:rsidR="00D879E2">
        <w:t xml:space="preserve"> as unrealistic and restrictive</w:t>
      </w:r>
      <w:r>
        <w:t>; and yet the model and the laws continue</w:t>
      </w:r>
      <w:r w:rsidRPr="00937981">
        <w:t xml:space="preserve"> to predict the aggregate patterns of </w:t>
      </w:r>
      <w:r>
        <w:t xml:space="preserve">observed </w:t>
      </w:r>
      <w:r w:rsidRPr="00937981">
        <w:t xml:space="preserve">choice behaviour </w:t>
      </w:r>
      <w:r>
        <w:t>closely</w:t>
      </w:r>
      <w:r w:rsidRPr="00937981">
        <w:t xml:space="preserve"> </w:t>
      </w:r>
      <w:r>
        <w:t>for</w:t>
      </w:r>
      <w:r w:rsidRPr="00937981">
        <w:t xml:space="preserve"> frequently bought categories in grocery and other </w:t>
      </w:r>
      <w:r>
        <w:t xml:space="preserve">“repertoire” </w:t>
      </w:r>
      <w:r w:rsidRPr="00937981">
        <w:t>markets</w:t>
      </w:r>
      <w:r>
        <w:t xml:space="preserve"> (</w:t>
      </w:r>
      <w:r>
        <w:rPr>
          <w:rFonts w:ascii="TimesNewRomanPS" w:hAnsi="TimesNewRomanPS"/>
          <w:color w:val="211E1E"/>
        </w:rPr>
        <w:t>Scriven and Goodhardt, 2012</w:t>
      </w:r>
      <w:r>
        <w:t>)</w:t>
      </w:r>
      <w:r w:rsidRPr="00937981">
        <w:t xml:space="preserve">, as well as </w:t>
      </w:r>
      <w:r>
        <w:t xml:space="preserve">for </w:t>
      </w:r>
      <w:r w:rsidRPr="00937981">
        <w:t>less frequently bought product in subscription markets (Sharp, Wright, and Goodhardt 2002)</w:t>
      </w:r>
      <w:r>
        <w:t xml:space="preserve">. Dirichlet assumptions would be breached for example by any brand differentiation strategy that led to an effective segmentation of the market. Yet it has been repeatedly shown that not only do user profiles hardly differ between competing brands (Kennedy &amp; Ehrenberg, 2001; Uncles </w:t>
      </w:r>
      <w:r w:rsidRPr="00151452">
        <w:rPr>
          <w:i/>
        </w:rPr>
        <w:t>et al.,</w:t>
      </w:r>
      <w:r>
        <w:t xml:space="preserve"> 2012) but that those profiles also remain broadly stable even over consecutive years of continuous marketing spend (Anesbury, Winchester &amp; Kennedy, 2017). </w:t>
      </w:r>
    </w:p>
    <w:p w14:paraId="36BBB19D" w14:textId="5DCB38D8" w:rsidR="00D6178F" w:rsidRPr="0071501A" w:rsidRDefault="00D6178F" w:rsidP="00D6178F">
      <w:pPr>
        <w:spacing w:after="100" w:afterAutospacing="1" w:line="480" w:lineRule="auto"/>
        <w:rPr>
          <w:rFonts w:ascii="TimesNewRomanPS" w:hAnsi="TimesNewRomanPS"/>
          <w:color w:val="211E1E"/>
        </w:rPr>
      </w:pPr>
      <w:r>
        <w:rPr>
          <w:rFonts w:ascii="TimesNewRomanPS" w:hAnsi="TimesNewRomanPS"/>
          <w:color w:val="211E1E"/>
        </w:rPr>
        <w:t xml:space="preserve">The Dirichlet is probably therefore one of the most highly generalised models in marketing; the validity of its outputs has been continuously and systematically tested through replications in many sets of data, by different researchers, under varied conditions, using multiple methods over almost thirty-five years. In that time although the range of marketing tactics available to practitioners on both client and agency side has changed almost beyond recognition, and market opportunities expanded in line, yet the fundamentals of consumer behaviour have </w:t>
      </w:r>
      <w:r>
        <w:rPr>
          <w:rFonts w:ascii="TimesNewRomanPS" w:hAnsi="TimesNewRomanPS" w:hint="eastAsia"/>
          <w:color w:val="211E1E"/>
        </w:rPr>
        <w:t>remained</w:t>
      </w:r>
      <w:r>
        <w:rPr>
          <w:rFonts w:ascii="TimesNewRomanPS" w:hAnsi="TimesNewRomanPS"/>
          <w:color w:val="211E1E"/>
        </w:rPr>
        <w:t xml:space="preserve"> the same, so that the model continues to find uses in benchmarking and describing choice behaviour in new</w:t>
      </w:r>
      <w:r w:rsidR="00E111E8">
        <w:rPr>
          <w:rFonts w:ascii="TimesNewRomanPS" w:hAnsi="TimesNewRomanPS"/>
          <w:color w:val="211E1E"/>
        </w:rPr>
        <w:t xml:space="preserve">, </w:t>
      </w:r>
      <w:r w:rsidR="00AD5986">
        <w:rPr>
          <w:rFonts w:ascii="TimesNewRomanPS" w:hAnsi="TimesNewRomanPS"/>
          <w:color w:val="211E1E"/>
        </w:rPr>
        <w:t>unfamiliar</w:t>
      </w:r>
      <w:r>
        <w:rPr>
          <w:rFonts w:ascii="TimesNewRomanPS" w:hAnsi="TimesNewRomanPS"/>
          <w:color w:val="211E1E"/>
        </w:rPr>
        <w:t xml:space="preserve"> and uncertain situations.</w:t>
      </w:r>
    </w:p>
    <w:p w14:paraId="59999D3D" w14:textId="77777777" w:rsidR="00D6178F" w:rsidRPr="0025039C" w:rsidRDefault="00D6178F" w:rsidP="00D6178F">
      <w:pPr>
        <w:spacing w:after="100" w:afterAutospacing="1" w:line="480" w:lineRule="auto"/>
        <w:rPr>
          <w:i/>
        </w:rPr>
      </w:pPr>
      <w:r w:rsidRPr="0025039C">
        <w:rPr>
          <w:i/>
        </w:rPr>
        <w:t xml:space="preserve">2.2 </w:t>
      </w:r>
      <w:r>
        <w:rPr>
          <w:i/>
        </w:rPr>
        <w:t xml:space="preserve">Building theory with </w:t>
      </w:r>
      <w:r w:rsidRPr="0025039C">
        <w:rPr>
          <w:i/>
        </w:rPr>
        <w:t xml:space="preserve">Dirichlet </w:t>
      </w:r>
      <w:r>
        <w:rPr>
          <w:i/>
        </w:rPr>
        <w:t>d</w:t>
      </w:r>
      <w:r w:rsidRPr="0025039C">
        <w:rPr>
          <w:i/>
        </w:rPr>
        <w:t>eviations</w:t>
      </w:r>
      <w:r>
        <w:rPr>
          <w:i/>
        </w:rPr>
        <w:t xml:space="preserve"> </w:t>
      </w:r>
    </w:p>
    <w:p w14:paraId="753218C1" w14:textId="1AD78C8D" w:rsidR="00D6178F" w:rsidRPr="00B0280C" w:rsidRDefault="00D6178F" w:rsidP="00D6178F">
      <w:pPr>
        <w:spacing w:after="100" w:afterAutospacing="1" w:line="480" w:lineRule="auto"/>
        <w:rPr>
          <w:i/>
        </w:rPr>
      </w:pPr>
      <w:r>
        <w:t xml:space="preserve">For marketing scientists, </w:t>
      </w:r>
      <w:r w:rsidR="00D02B02">
        <w:t xml:space="preserve">recurring </w:t>
      </w:r>
      <w:r>
        <w:t xml:space="preserve">deviations from Dirichlet norms in many sets of data lead to new empirical generalisations, </w:t>
      </w:r>
      <w:r w:rsidR="00D02B02">
        <w:t xml:space="preserve">to </w:t>
      </w:r>
      <w:r>
        <w:t xml:space="preserve">build underlying theory. Marketers are </w:t>
      </w:r>
      <w:r>
        <w:lastRenderedPageBreak/>
        <w:t>concerned with disrupting equilibrium, and although the</w:t>
      </w:r>
      <w:r>
        <w:rPr>
          <w:i/>
        </w:rPr>
        <w:t xml:space="preserve"> </w:t>
      </w:r>
      <w:r>
        <w:t xml:space="preserve">Dirichlet is not a dynamic model – it does not forecast change - in the steady state it can usefully predict period-to-period repeat purchase rates, how metrics differ from brand to brand as they evolve in longer (or shorter) time periods, and how those metrics would be expected to change in cases of growth or decline. Recently for example, Dawes (2016), McCabe </w:t>
      </w:r>
      <w:r w:rsidRPr="00FE6A54">
        <w:rPr>
          <w:i/>
        </w:rPr>
        <w:t>et al</w:t>
      </w:r>
      <w:r>
        <w:rPr>
          <w:i/>
        </w:rPr>
        <w:t>.</w:t>
      </w:r>
      <w:r>
        <w:t xml:space="preserve"> (2012) and Riebe </w:t>
      </w:r>
      <w:r w:rsidRPr="002375EA">
        <w:rPr>
          <w:i/>
        </w:rPr>
        <w:t>et al.</w:t>
      </w:r>
      <w:r>
        <w:t xml:space="preserve"> (2014) have successfully fitted model output to the observed buying metrics of dynamic brands, benchmarking those changes against the expected Double Jeopardy relationship, and confirming how increases in brand share (persistent and temporary) are explained by far greater movements in penetration than in purchase frequency. </w:t>
      </w:r>
    </w:p>
    <w:p w14:paraId="1DEC9E06" w14:textId="2E5C2E30" w:rsidR="00D6178F" w:rsidRDefault="00D6178F" w:rsidP="00D6178F">
      <w:pPr>
        <w:widowControl w:val="0"/>
        <w:autoSpaceDE w:val="0"/>
        <w:autoSpaceDN w:val="0"/>
        <w:adjustRightInd w:val="0"/>
        <w:spacing w:after="100" w:afterAutospacing="1" w:line="480" w:lineRule="auto"/>
      </w:pPr>
      <w:r w:rsidRPr="00BE40A4">
        <w:t xml:space="preserve">The Dirichlet </w:t>
      </w:r>
      <w:r>
        <w:t xml:space="preserve">can </w:t>
      </w:r>
      <w:r w:rsidRPr="00BE40A4">
        <w:t xml:space="preserve">provide answers to common </w:t>
      </w:r>
      <w:r>
        <w:t>managerial</w:t>
      </w:r>
      <w:r w:rsidRPr="00BE40A4">
        <w:t xml:space="preserve"> questions</w:t>
      </w:r>
      <w:r>
        <w:t xml:space="preserve"> across the marketing mix, benchmarking what competitive structure might look like following an intervention.  For example, Lomax </w:t>
      </w:r>
      <w:r w:rsidRPr="00B21E82">
        <w:t>and McWil</w:t>
      </w:r>
      <w:r>
        <w:t>l</w:t>
      </w:r>
      <w:r w:rsidRPr="00B21E82">
        <w:t>iam</w:t>
      </w:r>
      <w:r>
        <w:t xml:space="preserve"> </w:t>
      </w:r>
      <w:r w:rsidRPr="00B21E82">
        <w:t>(20</w:t>
      </w:r>
      <w:r>
        <w:t>0</w:t>
      </w:r>
      <w:r w:rsidRPr="00B21E82">
        <w:t>1)</w:t>
      </w:r>
      <w:r>
        <w:t xml:space="preserve"> applied Dirichlet benchmarks to evaluate the cannibalisation of a parent brand from line extensions, through </w:t>
      </w:r>
      <w:r w:rsidRPr="00981B75">
        <w:t>deviations</w:t>
      </w:r>
      <w:r>
        <w:t xml:space="preserve"> from expected Duplication of Purchase norms; Uncles &amp; Kwok, (20</w:t>
      </w:r>
      <w:r w:rsidR="00D02A2E">
        <w:t>08</w:t>
      </w:r>
      <w:r>
        <w:t xml:space="preserve">) described retail-type patronage across eight major cities in China and found existing choice distributions to barely deviate from Dirichlet predictions. Nelson-Field, Riebe &amp; Sharp, (2012) used deviations from Dirichlet benchmarks to demonstrate how the quality of reach available through social media contained disproportionately few of the non-buyers needed to expand penetration. </w:t>
      </w:r>
    </w:p>
    <w:p w14:paraId="1977140A" w14:textId="77777777" w:rsidR="00D6178F" w:rsidRPr="00BE40A4" w:rsidRDefault="00D6178F" w:rsidP="00D6178F">
      <w:pPr>
        <w:spacing w:after="100" w:afterAutospacing="1" w:line="480" w:lineRule="auto"/>
      </w:pPr>
      <w:r>
        <w:t xml:space="preserve">Analysis of Dirichlet deviations has strengthened understanding of heterogeneous repeat-buying behaviour in a brand’s customer base. Romaniuk and Wight (2015) used repeat-purchase norms to demonstrate the surprising transience of a brand’s heavy buyers. They found that from one year to the next, although the sales </w:t>
      </w:r>
      <w:r>
        <w:lastRenderedPageBreak/>
        <w:t xml:space="preserve">contribution from this valuable </w:t>
      </w:r>
      <w:r w:rsidRPr="00561965">
        <w:t>heavy-buying</w:t>
      </w:r>
      <w:r w:rsidRPr="00BE40A4">
        <w:rPr>
          <w:i/>
        </w:rPr>
        <w:t xml:space="preserve"> class</w:t>
      </w:r>
      <w:r>
        <w:t xml:space="preserve"> remained stable, around 50% of heavy buying households identified in year one could not be classed as heavy buyers in year two. Such apparently unstable behaviour, identified in the NBD literature as a regression to the mean effect (Goodhardt &amp; Ehrenberg, 1967; Morrison, 1969), poses fundamental questions about managerial strategies that target buyer groups on the basis of their behaviour in a single period. </w:t>
      </w:r>
    </w:p>
    <w:p w14:paraId="08487E88" w14:textId="2A68278C" w:rsidR="00D6178F" w:rsidRDefault="00DB03E1" w:rsidP="00D6178F">
      <w:pPr>
        <w:spacing w:after="100" w:afterAutospacing="1" w:line="480" w:lineRule="auto"/>
      </w:pPr>
      <w:r>
        <w:t xml:space="preserve">Understanding the </w:t>
      </w:r>
      <w:r w:rsidR="00D6178F">
        <w:t xml:space="preserve">sales importance of heavy buyers is critical, but since brand share growth depends on expanding the </w:t>
      </w:r>
      <w:r w:rsidR="00D02B02">
        <w:t xml:space="preserve">entire </w:t>
      </w:r>
      <w:r w:rsidR="00D6178F">
        <w:t xml:space="preserve">customer base it is useful to </w:t>
      </w:r>
      <w:r>
        <w:t xml:space="preserve">identify </w:t>
      </w:r>
      <w:r w:rsidR="00D6178F">
        <w:t xml:space="preserve">something of the current behaviour of </w:t>
      </w:r>
      <w:r>
        <w:t xml:space="preserve">a brand’s </w:t>
      </w:r>
      <w:r w:rsidR="00D6178F">
        <w:t xml:space="preserve">prospective customers.  </w:t>
      </w:r>
      <w:r w:rsidR="00D6178F" w:rsidRPr="00E660F6">
        <w:t>Trinh</w:t>
      </w:r>
      <w:r w:rsidR="00D6178F">
        <w:t>,</w:t>
      </w:r>
      <w:r w:rsidR="00D6178F" w:rsidRPr="00E660F6">
        <w:t xml:space="preserve"> Romaniuk</w:t>
      </w:r>
      <w:r w:rsidR="00D6178F">
        <w:t xml:space="preserve"> </w:t>
      </w:r>
      <w:r w:rsidR="00D6178F" w:rsidRPr="00E660F6">
        <w:t>&amp; Tanusondjaja</w:t>
      </w:r>
      <w:r w:rsidR="00D6178F">
        <w:t xml:space="preserve"> (</w:t>
      </w:r>
      <w:r w:rsidR="00D6178F" w:rsidRPr="00E660F6">
        <w:t>2016</w:t>
      </w:r>
      <w:r w:rsidR="00D6178F">
        <w:t>)</w:t>
      </w:r>
      <w:r w:rsidR="00D6178F" w:rsidRPr="00E660F6">
        <w:t xml:space="preserve"> </w:t>
      </w:r>
      <w:r w:rsidR="00D6178F">
        <w:t>used the Dirichlet to e</w:t>
      </w:r>
      <w:r w:rsidR="00D6178F" w:rsidRPr="00E660F6">
        <w:t>xplor</w:t>
      </w:r>
      <w:r w:rsidR="00D6178F">
        <w:t>e</w:t>
      </w:r>
      <w:r w:rsidR="00D6178F" w:rsidRPr="00E660F6">
        <w:t xml:space="preserve"> the past </w:t>
      </w:r>
      <w:r w:rsidR="00D6178F">
        <w:t xml:space="preserve">and current </w:t>
      </w:r>
      <w:r w:rsidR="00D6178F" w:rsidRPr="00E660F6">
        <w:t xml:space="preserve">behaviour of </w:t>
      </w:r>
      <w:r w:rsidR="0000455E">
        <w:t xml:space="preserve">new brand </w:t>
      </w:r>
      <w:r w:rsidR="00D6178F" w:rsidRPr="00E660F6">
        <w:t>buyers</w:t>
      </w:r>
      <w:r w:rsidR="00D6178F">
        <w:t xml:space="preserve">. Deviations from expected patterns revealed </w:t>
      </w:r>
      <w:r w:rsidR="0000455E">
        <w:t>them</w:t>
      </w:r>
      <w:r w:rsidR="00D6178F">
        <w:t xml:space="preserve"> typically </w:t>
      </w:r>
      <w:r w:rsidR="0000455E">
        <w:t xml:space="preserve">to be </w:t>
      </w:r>
      <w:r w:rsidR="00D6178F">
        <w:t xml:space="preserve">heavy category buyers who </w:t>
      </w:r>
      <w:r w:rsidR="0000455E">
        <w:t xml:space="preserve">bought the </w:t>
      </w:r>
      <w:r w:rsidR="00D6178F">
        <w:t>new brand</w:t>
      </w:r>
      <w:r w:rsidR="0000455E">
        <w:t>s</w:t>
      </w:r>
      <w:r w:rsidR="00D6178F">
        <w:t xml:space="preserve"> rather more lightly than predicted.</w:t>
      </w:r>
      <w:r w:rsidR="00D6178F" w:rsidRPr="00561965">
        <w:t xml:space="preserve"> </w:t>
      </w:r>
    </w:p>
    <w:p w14:paraId="602AD20A" w14:textId="77777777" w:rsidR="00D6178F" w:rsidRDefault="00D6178F" w:rsidP="00D6178F">
      <w:pPr>
        <w:spacing w:after="100" w:afterAutospacing="1" w:line="480" w:lineRule="auto"/>
      </w:pPr>
      <w:r>
        <w:t xml:space="preserve">Documenting </w:t>
      </w:r>
      <w:r w:rsidRPr="002A0319">
        <w:t>deviations</w:t>
      </w:r>
      <w:r>
        <w:t xml:space="preserve"> from the expected behavioural response continues to uncover managerially significant findings, but a further stream of research investigates the correspondence between the mental structure of brand associations held by consumers and their past and future buying behaviour, suggesting further uses for the model. For example, Wright, Sharp and Sharp (2002) calibrated a Dirichlet from survey data using purchase intention probabilities collected from the Juster Scale and successfully validated the outcomes; </w:t>
      </w:r>
      <w:r w:rsidRPr="00144AA2">
        <w:t xml:space="preserve">Ludwichowska </w:t>
      </w:r>
      <w:r w:rsidRPr="00144AA2">
        <w:rPr>
          <w:i/>
        </w:rPr>
        <w:t>et al.,</w:t>
      </w:r>
      <w:r w:rsidRPr="00144AA2">
        <w:t xml:space="preserve"> (2017)</w:t>
      </w:r>
      <w:r>
        <w:rPr>
          <w:sz w:val="20"/>
          <w:szCs w:val="20"/>
        </w:rPr>
        <w:t xml:space="preserve"> </w:t>
      </w:r>
      <w:r w:rsidRPr="00144AA2">
        <w:t>found that systematic over</w:t>
      </w:r>
      <w:r>
        <w:t>-</w:t>
      </w:r>
      <w:r w:rsidRPr="00144AA2">
        <w:t xml:space="preserve">estimates in self-reported survey measures of category purchase frequency could be successfully corrected </w:t>
      </w:r>
      <w:r>
        <w:t xml:space="preserve">across different buyer types </w:t>
      </w:r>
      <w:r w:rsidRPr="00144AA2">
        <w:t xml:space="preserve">using </w:t>
      </w:r>
      <w:r>
        <w:t>NBD norms</w:t>
      </w:r>
      <w:r w:rsidRPr="00144AA2">
        <w:t xml:space="preserve">.  </w:t>
      </w:r>
    </w:p>
    <w:p w14:paraId="65C8B108" w14:textId="0A62EE86" w:rsidR="00D6178F" w:rsidRDefault="00D6178F" w:rsidP="00D6178F">
      <w:pPr>
        <w:spacing w:after="100" w:afterAutospacing="1" w:line="480" w:lineRule="auto"/>
      </w:pPr>
      <w:r>
        <w:t xml:space="preserve">Much marketing literature has proposed that attitude precedes behaviour, but Dirichlet analysis of the evidence suggests the reverse. Romaniuk &amp; Nenycz-Thiel (2013) and </w:t>
      </w:r>
      <w:r>
        <w:lastRenderedPageBreak/>
        <w:t xml:space="preserve">Stocchi (2014) report a positive relationship between past behavioural loyalty and strength of brand association response, and Stocchi </w:t>
      </w:r>
      <w:r w:rsidRPr="007116D0">
        <w:rPr>
          <w:i/>
        </w:rPr>
        <w:t>et al.,</w:t>
      </w:r>
      <w:r>
        <w:t xml:space="preserve"> (2015) then found that the Dirichlet models brand memory structures well, but importantly, that deviations from the “mental” model rarely correspond with behavioural deviations. In other words, a behavioural “niching” performance, in which a brand shows a higher loyalty than Double Jeopardy predicts, is not generally matched by a “mental” niching response, implying that if there is little relationship at all</w:t>
      </w:r>
      <w:r w:rsidR="00E56DAE">
        <w:t xml:space="preserve"> in these deviations</w:t>
      </w:r>
      <w:r>
        <w:t>, one is highly unlikely to depend on the other. The pre-eminent driver of brand knowledge is prior experience.</w:t>
      </w:r>
    </w:p>
    <w:p w14:paraId="5F3C7338" w14:textId="77777777" w:rsidR="00D6178F" w:rsidRDefault="00D6178F" w:rsidP="00D6178F">
      <w:pPr>
        <w:spacing w:after="100" w:afterAutospacing="1" w:line="480" w:lineRule="auto"/>
      </w:pPr>
      <w:r w:rsidRPr="00D07677">
        <w:t xml:space="preserve">All deviations (except random error) represent some sort of breakdown </w:t>
      </w:r>
      <w:r>
        <w:t>in</w:t>
      </w:r>
      <w:r w:rsidRPr="00D07677">
        <w:t xml:space="preserve"> the underlying assumptions</w:t>
      </w:r>
      <w:r>
        <w:t xml:space="preserve"> of the model, and so it is an important feature of the Dirichlet that in cases where a deviation is observed, managerial insight can be derived using theory as a starting point. But with such a parsimonious zero-order model</w:t>
      </w:r>
      <w:r w:rsidRPr="00D07677">
        <w:t xml:space="preserve"> it </w:t>
      </w:r>
      <w:r>
        <w:t xml:space="preserve">must also </w:t>
      </w:r>
      <w:r w:rsidRPr="00D07677">
        <w:t>be expected that there will be deviations between observed and theoretical values</w:t>
      </w:r>
      <w:r>
        <w:t xml:space="preserve">, even in near-steady state markets. A set of deviations has been commonly observed that affect some individual, or groups of individual, brands, and yet </w:t>
      </w:r>
      <w:r w:rsidRPr="00171700">
        <w:rPr>
          <w:b/>
          <w:i/>
        </w:rPr>
        <w:t>do not</w:t>
      </w:r>
      <w:r>
        <w:t xml:space="preserve"> disrupt stability in brand performance. These occur in the predicted Double Jeopardy relationship between penetration and purchase frequency, are common, but not universal, and must therefore be taken into account by Dirichlet analysts when comparing observed and theoretical metrics. </w:t>
      </w:r>
    </w:p>
    <w:p w14:paraId="2D1D1A17" w14:textId="77777777" w:rsidR="00D6178F" w:rsidRDefault="00D6178F" w:rsidP="00D6178F">
      <w:pPr>
        <w:spacing w:after="100" w:afterAutospacing="1" w:line="480" w:lineRule="auto"/>
      </w:pPr>
      <w:r>
        <w:rPr>
          <w:i/>
        </w:rPr>
        <w:t>2.3 Known D</w:t>
      </w:r>
      <w:r w:rsidRPr="00E07EF7">
        <w:rPr>
          <w:i/>
        </w:rPr>
        <w:t xml:space="preserve">ouble </w:t>
      </w:r>
      <w:r>
        <w:rPr>
          <w:i/>
        </w:rPr>
        <w:t>J</w:t>
      </w:r>
      <w:r w:rsidRPr="00E07EF7">
        <w:rPr>
          <w:i/>
        </w:rPr>
        <w:t xml:space="preserve">eopardy Deviations </w:t>
      </w:r>
    </w:p>
    <w:p w14:paraId="507EA9AA" w14:textId="78C1E864" w:rsidR="00D6178F" w:rsidRDefault="00D6178F" w:rsidP="00D6178F">
      <w:pPr>
        <w:spacing w:after="100" w:afterAutospacing="1" w:line="480" w:lineRule="auto"/>
      </w:pPr>
      <w:r>
        <w:t xml:space="preserve">Since the publication of the model in 1984, </w:t>
      </w:r>
      <w:r w:rsidRPr="002971C4">
        <w:t xml:space="preserve">five </w:t>
      </w:r>
      <w:r w:rsidR="00E56DAE">
        <w:t xml:space="preserve">such </w:t>
      </w:r>
      <w:r w:rsidRPr="002971C4">
        <w:t>Double Jeopardy deviation</w:t>
      </w:r>
      <w:r>
        <w:t xml:space="preserve">s have been repeatedly recorded, in which the observed metrics </w:t>
      </w:r>
      <w:r w:rsidR="00E56DAE">
        <w:t xml:space="preserve">for </w:t>
      </w:r>
      <w:r>
        <w:t xml:space="preserve">individual brands are at variance with Dirichlet predictions for brands of that size. Kahn, Kalwani and </w:t>
      </w:r>
      <w:r>
        <w:lastRenderedPageBreak/>
        <w:t xml:space="preserve">Morrison, (1988) inferred a brand to be positioned as either </w:t>
      </w:r>
      <w:r w:rsidRPr="00DC1F66">
        <w:rPr>
          <w:i/>
        </w:rPr>
        <w:t>niching</w:t>
      </w:r>
      <w:r>
        <w:t xml:space="preserve"> or</w:t>
      </w:r>
      <w:r w:rsidRPr="001070FC">
        <w:t xml:space="preserve"> </w:t>
      </w:r>
      <w:r w:rsidRPr="00DC1F66">
        <w:rPr>
          <w:i/>
        </w:rPr>
        <w:t>change of pace</w:t>
      </w:r>
      <w:r>
        <w:t xml:space="preserve"> if its purchase frequency deviated from its Double Jeopardy norm by more than 10%. They considered only 18 brands in four CPG categories but found deviations in ten, five niching and five change of pace. Later, Bhattacharya (1997) used the Share of Category Requirement metric in a much larger dataset (34 categories and 372 brands) to find that around a quarter of selected brands showed a niching deviation and around a third a change of pace characteristic. The motivation for both studies was in part to ascertain if marketing mix variables might be managed to deliver a far higher purchase frequency than penetration dictates under Double Jeopardy, but neither found a consistent explanation for either deviation. </w:t>
      </w:r>
    </w:p>
    <w:p w14:paraId="263FB946" w14:textId="2DEFD37F" w:rsidR="00D6178F" w:rsidRDefault="00D6178F" w:rsidP="00D6178F">
      <w:pPr>
        <w:spacing w:after="100" w:afterAutospacing="1" w:line="480" w:lineRule="auto"/>
      </w:pPr>
      <w:r>
        <w:t xml:space="preserve">Bhattacharya suggested that deviations from the Dirichlet should not therefore be considered as “good or bad”, but once identified, should warrant further managerial investigation as to their likely cause (p.433). For example, niching performance may be caused not by excess loyalty but by restricted penetration, as in the case of Private Labels (Dawes &amp; Nenycz-Thiel, 2013; Uncles &amp; Ellis, 1989) or of regional brands (Ehrenberg </w:t>
      </w:r>
      <w:r w:rsidRPr="00B87C66">
        <w:rPr>
          <w:i/>
        </w:rPr>
        <w:t>et al.,</w:t>
      </w:r>
      <w:r>
        <w:rPr>
          <w:i/>
        </w:rPr>
        <w:t xml:space="preserve"> </w:t>
      </w:r>
      <w:r>
        <w:t xml:space="preserve">2004). Conversely, a change of pace performance may result from seasonal demand i.e. for soups or Easter eggs, which are bought by many people but not consistently across a year (Uncles </w:t>
      </w:r>
      <w:r w:rsidRPr="00B87C66">
        <w:rPr>
          <w:i/>
        </w:rPr>
        <w:t>et al.,</w:t>
      </w:r>
      <w:r>
        <w:t xml:space="preserve"> 1994).</w:t>
      </w:r>
    </w:p>
    <w:p w14:paraId="75B37616" w14:textId="291E0DDA" w:rsidR="00D6178F" w:rsidRDefault="00D6178F" w:rsidP="00D6178F">
      <w:pPr>
        <w:spacing w:after="100" w:afterAutospacing="1" w:line="480" w:lineRule="auto"/>
      </w:pPr>
      <w:r>
        <w:rPr>
          <w:i/>
        </w:rPr>
        <w:t xml:space="preserve">Excess Loyalty for High Share Brands: </w:t>
      </w:r>
      <w:r>
        <w:t xml:space="preserve">Fader and Schmittlein (1993) examined the extent to which leading brands benefit from Double Jeopardy, and found that in 75% of cases (from a sample of 67 categories in the USA and Japan) there was a loyalty premium beyond the Dirichlet prediction. They suggested that this deviation resulted from a breach of the non-partitioning assumption (if a single Dirichlet distribution does not fully capture the household heterogeneity in the entire market), or perhaps </w:t>
      </w:r>
      <w:r>
        <w:lastRenderedPageBreak/>
        <w:t xml:space="preserve">segmentation caused by a wider availability for leading brands. </w:t>
      </w:r>
      <w:r>
        <w:rPr>
          <w:color w:val="222222"/>
          <w:shd w:val="clear" w:color="auto" w:fill="FFFFFF"/>
        </w:rPr>
        <w:t>Jung, Gruca</w:t>
      </w:r>
      <w:r w:rsidRPr="00E43059">
        <w:rPr>
          <w:color w:val="222222"/>
          <w:shd w:val="clear" w:color="auto" w:fill="FFFFFF"/>
        </w:rPr>
        <w:t xml:space="preserve"> &amp; Rego (2010) </w:t>
      </w:r>
      <w:r>
        <w:t xml:space="preserve">replicated that study and </w:t>
      </w:r>
      <w:r>
        <w:rPr>
          <w:color w:val="222222"/>
          <w:shd w:val="clear" w:color="auto" w:fill="FFFFFF"/>
        </w:rPr>
        <w:t xml:space="preserve">found a rather lower incidence of excess loyalty for high share brands (49%) but in a far larger sample of categories (422 </w:t>
      </w:r>
      <w:r w:rsidRPr="00D73145">
        <w:rPr>
          <w:i/>
          <w:color w:val="222222"/>
          <w:shd w:val="clear" w:color="auto" w:fill="FFFFFF"/>
        </w:rPr>
        <w:t>vs</w:t>
      </w:r>
      <w:r>
        <w:rPr>
          <w:color w:val="222222"/>
          <w:shd w:val="clear" w:color="auto" w:fill="FFFFFF"/>
        </w:rPr>
        <w:t xml:space="preserve"> 28 US categories across three retail sectors). </w:t>
      </w:r>
      <w:r w:rsidRPr="00E43059">
        <w:t>Pare &amp; Dawes (2012)</w:t>
      </w:r>
      <w:r>
        <w:t xml:space="preserve"> further extended the result in 20 UK product categories to </w:t>
      </w:r>
      <w:r w:rsidR="0000455E">
        <w:t xml:space="preserve">find excess loyalty for </w:t>
      </w:r>
      <w:r>
        <w:t xml:space="preserve">38% of high share brands (in this case both leaders and challengers) </w:t>
      </w:r>
      <w:r w:rsidR="0000455E">
        <w:t>that was persistent</w:t>
      </w:r>
      <w:r w:rsidRPr="00E43059">
        <w:t xml:space="preserve"> </w:t>
      </w:r>
      <w:r>
        <w:t>over multiple years. Excess loyalty and niching deviations do not disrupt market structure by driving up market shares. The observed and predicted metrics describe the same brand sales outcome, but get there by different routes, and so “excess loyalty” may equally be a symptom of “too few” buyers (for some reason). In addition, because the</w:t>
      </w:r>
      <w:r w:rsidR="0000455E">
        <w:t xml:space="preserve"> deviation</w:t>
      </w:r>
      <w:r>
        <w:t xml:space="preserve"> </w:t>
      </w:r>
      <w:r w:rsidR="0000455E">
        <w:t xml:space="preserve">is </w:t>
      </w:r>
      <w:r>
        <w:t xml:space="preserve">far from universal, there is still little to suggest a causal relationship between excess loyalty and leading share, but neither is there a single explanation of why they so frequently go together. </w:t>
      </w:r>
    </w:p>
    <w:p w14:paraId="00C62B06" w14:textId="5A5EECC3" w:rsidR="00D6178F" w:rsidRPr="001B44DF" w:rsidRDefault="00D6178F" w:rsidP="00D6178F">
      <w:pPr>
        <w:spacing w:after="100" w:afterAutospacing="1" w:line="480" w:lineRule="auto"/>
      </w:pPr>
      <w:r w:rsidRPr="00E07EF7">
        <w:rPr>
          <w:i/>
        </w:rPr>
        <w:t xml:space="preserve">Deficit Loyalty for Low Share Brands: </w:t>
      </w:r>
      <w:r>
        <w:t xml:space="preserve">In the context of a zero-order model the change of pace deviation might simply suggest variety-seeking behaviour towards a few brands in a category (Khan </w:t>
      </w:r>
      <w:r w:rsidRPr="00D73145">
        <w:rPr>
          <w:i/>
        </w:rPr>
        <w:t>et al.,</w:t>
      </w:r>
      <w:r>
        <w:t xml:space="preserve"> 1988) but </w:t>
      </w:r>
      <w:r w:rsidRPr="00D42313">
        <w:rPr>
          <w:color w:val="222222"/>
          <w:shd w:val="clear" w:color="auto" w:fill="FFFFFF"/>
        </w:rPr>
        <w:t>Li</w:t>
      </w:r>
      <w:r>
        <w:rPr>
          <w:color w:val="222222"/>
          <w:shd w:val="clear" w:color="auto" w:fill="FFFFFF"/>
        </w:rPr>
        <w:t xml:space="preserve"> </w:t>
      </w:r>
      <w:r w:rsidRPr="001B44DF">
        <w:rPr>
          <w:i/>
          <w:color w:val="222222"/>
          <w:shd w:val="clear" w:color="auto" w:fill="FFFFFF"/>
        </w:rPr>
        <w:t>et al.,</w:t>
      </w:r>
      <w:r w:rsidRPr="00D42313">
        <w:rPr>
          <w:color w:val="222222"/>
          <w:shd w:val="clear" w:color="auto" w:fill="FFFFFF"/>
        </w:rPr>
        <w:t xml:space="preserve"> (200</w:t>
      </w:r>
      <w:r>
        <w:rPr>
          <w:color w:val="222222"/>
          <w:shd w:val="clear" w:color="auto" w:fill="FFFFFF"/>
        </w:rPr>
        <w:t>9</w:t>
      </w:r>
      <w:r w:rsidRPr="00D42313">
        <w:rPr>
          <w:color w:val="222222"/>
          <w:shd w:val="clear" w:color="auto" w:fill="FFFFFF"/>
        </w:rPr>
        <w:t>)</w:t>
      </w:r>
      <w:r>
        <w:rPr>
          <w:color w:val="222222"/>
          <w:shd w:val="clear" w:color="auto" w:fill="FFFFFF"/>
        </w:rPr>
        <w:t xml:space="preserve"> proposed that there may be a systematic error in the Dirichlet loyalty estimation. By </w:t>
      </w:r>
      <w:r>
        <w:t xml:space="preserve">fitting polarisation statistics in 24 CPG categories they derived a rather steeper Double Jeopardy line than the Dirichlet predicted, therefore accounting for </w:t>
      </w:r>
      <w:r w:rsidR="00E56DAE">
        <w:t xml:space="preserve">some </w:t>
      </w:r>
      <w:r>
        <w:t xml:space="preserve">excess and deficit loyalty. More recently however, </w:t>
      </w:r>
      <w:r w:rsidRPr="00E07EF7">
        <w:t xml:space="preserve">Franke, Bennett &amp; Graham, </w:t>
      </w:r>
      <w:r>
        <w:t>(</w:t>
      </w:r>
      <w:r w:rsidRPr="00E07EF7">
        <w:t>2017</w:t>
      </w:r>
      <w:r>
        <w:t xml:space="preserve">) in a study excluding Private Labels, found that only six out of ten small brands showed deficit loyalty, </w:t>
      </w:r>
      <w:r w:rsidR="0006626F">
        <w:t>while</w:t>
      </w:r>
      <w:r>
        <w:t xml:space="preserve"> two in ten </w:t>
      </w:r>
      <w:r w:rsidR="0006626F">
        <w:t xml:space="preserve">small brands </w:t>
      </w:r>
      <w:r>
        <w:t xml:space="preserve">were niching. On further investigation, the niching brands were identified as functionally partitioned (i.e. not direct substitutes in their categories, for example soya-based and premium ice creams or sugared and diet carbonates). </w:t>
      </w:r>
    </w:p>
    <w:p w14:paraId="4D6D3090" w14:textId="098C01B7" w:rsidR="00D6178F" w:rsidRPr="00B87C66" w:rsidRDefault="00D6178F" w:rsidP="00D6178F">
      <w:pPr>
        <w:spacing w:after="100" w:afterAutospacing="1" w:line="480" w:lineRule="auto"/>
      </w:pPr>
      <w:r w:rsidRPr="008235A1">
        <w:rPr>
          <w:i/>
        </w:rPr>
        <w:lastRenderedPageBreak/>
        <w:t xml:space="preserve">Category </w:t>
      </w:r>
      <w:r>
        <w:rPr>
          <w:i/>
        </w:rPr>
        <w:t>p</w:t>
      </w:r>
      <w:r w:rsidRPr="008235A1">
        <w:rPr>
          <w:i/>
        </w:rPr>
        <w:t>artition</w:t>
      </w:r>
      <w:r>
        <w:rPr>
          <w:i/>
        </w:rPr>
        <w:t>in</w:t>
      </w:r>
      <w:r w:rsidRPr="008235A1">
        <w:rPr>
          <w:i/>
        </w:rPr>
        <w:t>g</w:t>
      </w:r>
      <w:r>
        <w:rPr>
          <w:i/>
        </w:rPr>
        <w:t xml:space="preserve">: </w:t>
      </w:r>
      <w:r>
        <w:t xml:space="preserve">Brands that share a functional difference commonly cluster to compete more or less intensely in partitions, and often show similar Double Jeopardy variances. For </w:t>
      </w:r>
      <w:r w:rsidR="00AD5986">
        <w:t>example,</w:t>
      </w:r>
      <w:r>
        <w:t xml:space="preserve"> Cohen </w:t>
      </w:r>
      <w:r w:rsidRPr="00525E2F">
        <w:rPr>
          <w:i/>
        </w:rPr>
        <w:t>et al.,</w:t>
      </w:r>
      <w:r>
        <w:t xml:space="preserve"> (2012) used a Duplication of Purchase analysis </w:t>
      </w:r>
      <w:r w:rsidR="00204A8C">
        <w:t>to show</w:t>
      </w:r>
      <w:r>
        <w:t xml:space="preserve"> the Australian wine market is not segmented into red and white drinkers, but is a single category </w:t>
      </w:r>
      <w:r w:rsidR="0006626F">
        <w:t>with</w:t>
      </w:r>
      <w:r>
        <w:t xml:space="preserve"> functional </w:t>
      </w:r>
      <w:r w:rsidR="00E56DAE">
        <w:t xml:space="preserve">price </w:t>
      </w:r>
      <w:r>
        <w:t xml:space="preserve">partitions, for example between cheaper cask wines and named varieties. </w:t>
      </w:r>
    </w:p>
    <w:p w14:paraId="70ECE4AB" w14:textId="2604FFE9" w:rsidR="00D6178F" w:rsidRDefault="00D6178F" w:rsidP="00D6178F">
      <w:pPr>
        <w:spacing w:after="100" w:afterAutospacing="1" w:line="480" w:lineRule="auto"/>
      </w:pPr>
      <w:r>
        <w:t>In summary, the Dirichlet is a parsimonious model describing a comprehensive set of observed buying metrics</w:t>
      </w:r>
      <w:r w:rsidR="0097359F">
        <w:t>. D</w:t>
      </w:r>
      <w:r>
        <w:t>eveloped for stationary CPG categories</w:t>
      </w:r>
      <w:r w:rsidR="0097359F">
        <w:t>,</w:t>
      </w:r>
      <w:r>
        <w:t xml:space="preserve"> its use has now generalised to describe physical and mental market structures in B2B and B2C contexts. Dirichlet analysis involves evaluating deviations between theoretical norms and observed measures; it is therefore desirable to understand the five commonly recurring Double Jeopardy deviations rather better, </w:t>
      </w:r>
      <w:r w:rsidR="0006626F">
        <w:t xml:space="preserve">because </w:t>
      </w:r>
      <w:r>
        <w:t xml:space="preserve">they form the context against which individual brand performance must be understood.  Niching and excess loyalty have unsurprisingly attracted much discussion, but rather less attention has been paid to the change of pace deviations, and few investigations have considered all five </w:t>
      </w:r>
      <w:r w:rsidR="0097359F">
        <w:t xml:space="preserve">Double Jeopardy </w:t>
      </w:r>
      <w:r>
        <w:t xml:space="preserve">deviations in one dataset to determine their relative prevalence and scale. The first objective of this study is therefore: </w:t>
      </w:r>
    </w:p>
    <w:p w14:paraId="4B0D700D" w14:textId="63886874" w:rsidR="00D6178F" w:rsidRDefault="00D6178F" w:rsidP="00D6178F">
      <w:pPr>
        <w:spacing w:after="100" w:afterAutospacing="1" w:line="480" w:lineRule="auto"/>
        <w:ind w:left="720"/>
        <w:rPr>
          <w:b/>
        </w:rPr>
      </w:pPr>
      <w:r>
        <w:rPr>
          <w:b/>
        </w:rPr>
        <w:t>T</w:t>
      </w:r>
      <w:r w:rsidRPr="004B54F0">
        <w:rPr>
          <w:b/>
        </w:rPr>
        <w:t xml:space="preserve">o </w:t>
      </w:r>
      <w:r>
        <w:rPr>
          <w:b/>
        </w:rPr>
        <w:t>describe</w:t>
      </w:r>
      <w:r w:rsidRPr="004B54F0">
        <w:rPr>
          <w:b/>
        </w:rPr>
        <w:t xml:space="preserve"> the scope, scale and incidence of </w:t>
      </w:r>
      <w:r w:rsidR="0006626F">
        <w:rPr>
          <w:b/>
        </w:rPr>
        <w:t>the</w:t>
      </w:r>
      <w:r w:rsidR="00CD06BC" w:rsidRPr="004B54F0">
        <w:rPr>
          <w:b/>
        </w:rPr>
        <w:t xml:space="preserve"> </w:t>
      </w:r>
      <w:r>
        <w:rPr>
          <w:b/>
        </w:rPr>
        <w:t xml:space="preserve">five </w:t>
      </w:r>
      <w:r w:rsidR="0051600A">
        <w:rPr>
          <w:b/>
        </w:rPr>
        <w:t>Double Jeopardy loyalty</w:t>
      </w:r>
      <w:r w:rsidRPr="006114C8">
        <w:rPr>
          <w:b/>
        </w:rPr>
        <w:t xml:space="preserve"> </w:t>
      </w:r>
      <w:r w:rsidRPr="004B54F0">
        <w:rPr>
          <w:b/>
        </w:rPr>
        <w:t xml:space="preserve">deviations in </w:t>
      </w:r>
      <w:r>
        <w:rPr>
          <w:b/>
        </w:rPr>
        <w:t xml:space="preserve">many sets of </w:t>
      </w:r>
      <w:r w:rsidRPr="004B54F0">
        <w:rPr>
          <w:b/>
        </w:rPr>
        <w:t xml:space="preserve">NBD-Dirichlet applications. </w:t>
      </w:r>
    </w:p>
    <w:p w14:paraId="39925E0E" w14:textId="77777777" w:rsidR="00CD06BC" w:rsidRPr="00F25136" w:rsidRDefault="00CD06BC" w:rsidP="00D6178F">
      <w:pPr>
        <w:spacing w:after="100" w:afterAutospacing="1" w:line="480" w:lineRule="auto"/>
        <w:ind w:left="720"/>
        <w:rPr>
          <w:b/>
        </w:rPr>
      </w:pPr>
    </w:p>
    <w:p w14:paraId="079B0C3E" w14:textId="090901AF" w:rsidR="00CD06BC" w:rsidRPr="0006626F" w:rsidRDefault="00CD06BC" w:rsidP="00D6178F">
      <w:pPr>
        <w:spacing w:after="100" w:afterAutospacing="1" w:line="480" w:lineRule="auto"/>
        <w:rPr>
          <w:i/>
        </w:rPr>
      </w:pPr>
      <w:r w:rsidRPr="0006626F">
        <w:rPr>
          <w:i/>
        </w:rPr>
        <w:t xml:space="preserve">2.4 </w:t>
      </w:r>
      <w:r>
        <w:rPr>
          <w:i/>
        </w:rPr>
        <w:t>S</w:t>
      </w:r>
      <w:r w:rsidRPr="0006626F">
        <w:rPr>
          <w:i/>
        </w:rPr>
        <w:t>ystematic Dirichlet Deviations</w:t>
      </w:r>
    </w:p>
    <w:p w14:paraId="5D908D58" w14:textId="7E0002D3" w:rsidR="00D6178F" w:rsidRDefault="00D6178F" w:rsidP="00D6178F">
      <w:pPr>
        <w:spacing w:after="100" w:afterAutospacing="1" w:line="480" w:lineRule="auto"/>
      </w:pPr>
      <w:r>
        <w:lastRenderedPageBreak/>
        <w:t>Unlike the five Double Jeopardy deviations, a second type of deviation is known to occur systematically, affecting the performance metrics for all competing brands</w:t>
      </w:r>
      <w:r w:rsidR="00CD06BC">
        <w:t xml:space="preserve"> in every fitting. </w:t>
      </w:r>
      <w:r>
        <w:t>These systematic deviations are:</w:t>
      </w:r>
    </w:p>
    <w:p w14:paraId="58C657D5" w14:textId="77777777" w:rsidR="00D6178F" w:rsidRDefault="00D6178F" w:rsidP="00D6178F">
      <w:pPr>
        <w:pStyle w:val="ListParagraph"/>
        <w:numPr>
          <w:ilvl w:val="0"/>
          <w:numId w:val="40"/>
        </w:numPr>
        <w:spacing w:line="360" w:lineRule="auto"/>
      </w:pPr>
      <w:r>
        <w:t>The under prediction of sole-brand loyalty</w:t>
      </w:r>
    </w:p>
    <w:p w14:paraId="36FDEFAC" w14:textId="3777CAE8" w:rsidR="00320E9E" w:rsidRDefault="00D6178F" w:rsidP="00320E9E">
      <w:pPr>
        <w:pStyle w:val="ListParagraph"/>
        <w:numPr>
          <w:ilvl w:val="0"/>
          <w:numId w:val="40"/>
        </w:numPr>
        <w:spacing w:line="360" w:lineRule="auto"/>
      </w:pPr>
      <w:r>
        <w:t xml:space="preserve">The </w:t>
      </w:r>
      <w:r w:rsidR="007630C0">
        <w:t xml:space="preserve">under </w:t>
      </w:r>
      <w:r>
        <w:t>prediction of average purchase frequency of sole brand buyers</w:t>
      </w:r>
      <w:r w:rsidR="00320E9E" w:rsidRPr="00320E9E">
        <w:t xml:space="preserve"> </w:t>
      </w:r>
    </w:p>
    <w:p w14:paraId="4C2462EA" w14:textId="5D4BD0AB" w:rsidR="00D6178F" w:rsidRPr="003E0BD1" w:rsidRDefault="00320E9E" w:rsidP="00320E9E">
      <w:pPr>
        <w:pStyle w:val="ListParagraph"/>
        <w:numPr>
          <w:ilvl w:val="0"/>
          <w:numId w:val="40"/>
        </w:numPr>
        <w:spacing w:line="360" w:lineRule="auto"/>
      </w:pPr>
      <w:r>
        <w:t>The over prediction of period to period repeat purchase</w:t>
      </w:r>
    </w:p>
    <w:p w14:paraId="6CA4C15D" w14:textId="77777777" w:rsidR="00CD06BC" w:rsidRDefault="00CD06BC" w:rsidP="00CD06BC">
      <w:pPr>
        <w:pStyle w:val="ListParagraph"/>
        <w:numPr>
          <w:ilvl w:val="0"/>
          <w:numId w:val="40"/>
        </w:numPr>
        <w:spacing w:line="360" w:lineRule="auto"/>
      </w:pPr>
      <w:r>
        <w:t>The erosion of repeat purchase loyalty</w:t>
      </w:r>
    </w:p>
    <w:p w14:paraId="59FA0390" w14:textId="77777777" w:rsidR="0097359F" w:rsidRDefault="0097359F" w:rsidP="00D6178F">
      <w:pPr>
        <w:spacing w:after="100" w:afterAutospacing="1" w:line="480" w:lineRule="auto"/>
      </w:pPr>
    </w:p>
    <w:p w14:paraId="2AF3915D" w14:textId="372990E6" w:rsidR="00D6178F" w:rsidRPr="003E0BD1" w:rsidRDefault="00D6178F" w:rsidP="00D6178F">
      <w:pPr>
        <w:spacing w:after="100" w:afterAutospacing="1" w:line="480" w:lineRule="auto"/>
      </w:pPr>
      <w:r w:rsidRPr="00826082">
        <w:t xml:space="preserve">Ehrenberg </w:t>
      </w:r>
      <w:r w:rsidRPr="00826082">
        <w:rPr>
          <w:i/>
        </w:rPr>
        <w:t>et al.,</w:t>
      </w:r>
      <w:r w:rsidRPr="00826082">
        <w:t xml:space="preserve"> (2004, p.1312) </w:t>
      </w:r>
      <w:r>
        <w:t xml:space="preserve">in discussing discrepancies in Dirichlet fittings, </w:t>
      </w:r>
      <w:r w:rsidRPr="00826082">
        <w:t>dr</w:t>
      </w:r>
      <w:r>
        <w:t>e</w:t>
      </w:r>
      <w:r w:rsidRPr="00826082">
        <w:t>w attention to the variance discrepancy (a shortage of very heavy category buyers against prediction) and a flatter than expected distribution of purchase heterogeneity</w:t>
      </w:r>
      <w:r>
        <w:t>, both well-known characteristics of the NBD. Earlier discussion of</w:t>
      </w:r>
      <w:r w:rsidRPr="0010789B">
        <w:t xml:space="preserve"> </w:t>
      </w:r>
      <w:r>
        <w:t xml:space="preserve">these NBD </w:t>
      </w:r>
      <w:r w:rsidRPr="0010789B">
        <w:t>variances (e.g.</w:t>
      </w:r>
      <w:r>
        <w:t xml:space="preserve"> Ehrenberg, 1988; </w:t>
      </w:r>
      <w:r w:rsidRPr="0010789B">
        <w:t xml:space="preserve">Morrison &amp; Schmittlein, 1988), concluded that while they </w:t>
      </w:r>
      <w:r>
        <w:t xml:space="preserve">most probably </w:t>
      </w:r>
      <w:r w:rsidRPr="0010789B">
        <w:t xml:space="preserve">arose through non-stationarity they </w:t>
      </w:r>
      <w:r>
        <w:t>remained</w:t>
      </w:r>
      <w:r w:rsidRPr="0010789B">
        <w:t xml:space="preserve"> managerially insignificant in short run observations.</w:t>
      </w:r>
      <w:r w:rsidRPr="00E07EF7">
        <w:rPr>
          <w:color w:val="FF0000"/>
        </w:rPr>
        <w:t xml:space="preserve"> </w:t>
      </w:r>
      <w:r w:rsidRPr="00C6677B">
        <w:t xml:space="preserve">Since the </w:t>
      </w:r>
      <w:r>
        <w:t xml:space="preserve">distribution of heterogeneous category purchase rates in the Dirichlet model is estimated using the </w:t>
      </w:r>
      <w:r w:rsidRPr="00C6677B">
        <w:t>NBD</w:t>
      </w:r>
      <w:r>
        <w:t>,</w:t>
      </w:r>
      <w:r>
        <w:rPr>
          <w:color w:val="FF0000"/>
        </w:rPr>
        <w:t xml:space="preserve"> </w:t>
      </w:r>
      <w:r>
        <w:t>similar types of deviation may result, but would then be distributed across every brand</w:t>
      </w:r>
      <w:r w:rsidR="00841450">
        <w:t>-</w:t>
      </w:r>
      <w:r>
        <w:t>buying metric reported.</w:t>
      </w:r>
    </w:p>
    <w:p w14:paraId="22F223FF" w14:textId="2196F669" w:rsidR="00D6178F" w:rsidRDefault="00D6178F" w:rsidP="0006626F">
      <w:pPr>
        <w:spacing w:after="120" w:line="480" w:lineRule="auto"/>
      </w:pPr>
      <w:r>
        <w:rPr>
          <w:i/>
        </w:rPr>
        <w:t>How stationary is stationary?</w:t>
      </w:r>
      <w:r w:rsidR="00320E9E">
        <w:t xml:space="preserve"> </w:t>
      </w:r>
      <w:r>
        <w:t>There is now copious evidence that established categories of CPG brands remain in near-equilibrium</w:t>
      </w:r>
      <w:r w:rsidR="0006626F">
        <w:t xml:space="preserve"> over time</w:t>
      </w:r>
      <w:r>
        <w:t>, with little persistent trend in market share</w:t>
      </w:r>
      <w:r w:rsidR="0097359F">
        <w:t xml:space="preserve"> (Bass &amp; Pilon, 1980; Dekimpe &amp; Hanssens, 2000)</w:t>
      </w:r>
      <w:r>
        <w:t xml:space="preserve">. Trinh and Anesbury, (2015) found that most categories remain </w:t>
      </w:r>
      <w:r w:rsidR="00320E9E">
        <w:t>near-</w:t>
      </w:r>
      <w:r>
        <w:t xml:space="preserve">stationary even over five years, identifying changes in market share in excess of 3 points up or down </w:t>
      </w:r>
      <w:r w:rsidR="0006626F">
        <w:t xml:space="preserve">for </w:t>
      </w:r>
      <w:r>
        <w:t xml:space="preserve">only 14% of brands. Dawes, Mayer-Waarden &amp; Driesener (2015) examined loyalty measures (switching, SCR and average repertoire size) in 26 UK and US categories in </w:t>
      </w:r>
      <w:r>
        <w:lastRenderedPageBreak/>
        <w:t xml:space="preserve">periods ranging between six and thirteen years and found very little evidence for declining </w:t>
      </w:r>
      <w:r w:rsidR="0097359F">
        <w:t xml:space="preserve">(or, for that matter, increasing) behavioural </w:t>
      </w:r>
      <w:r>
        <w:t xml:space="preserve">loyalty. </w:t>
      </w:r>
    </w:p>
    <w:p w14:paraId="3E5BADB3" w14:textId="05D31CDC" w:rsidR="00D6178F" w:rsidRDefault="00D6178F" w:rsidP="00D6178F">
      <w:pPr>
        <w:spacing w:after="100" w:afterAutospacing="1" w:line="480" w:lineRule="auto"/>
      </w:pPr>
      <w:r>
        <w:t xml:space="preserve">The Dirichlet is specified for no-trend conditions. Although Ehrenberg never claimed that the world was truly stationary in a strict econometric sense, he acknowledged it to be </w:t>
      </w:r>
      <w:r w:rsidRPr="00C37E87">
        <w:rPr>
          <w:i/>
        </w:rPr>
        <w:t>near-stationary</w:t>
      </w:r>
      <w:r>
        <w:t xml:space="preserve">, a situation where brand shares move </w:t>
      </w:r>
      <w:r w:rsidR="00AD5986" w:rsidRPr="00C37E87">
        <w:rPr>
          <w:i/>
        </w:rPr>
        <w:t>“a</w:t>
      </w:r>
      <w:r w:rsidRPr="00C37E87">
        <w:rPr>
          <w:i/>
        </w:rPr>
        <w:t xml:space="preserve"> few points up or down”</w:t>
      </w:r>
      <w:r>
        <w:t xml:space="preserve"> (1988, p.12), but rarely persistently. Nevertheless, the Dirichlet is strictly zero-order, and </w:t>
      </w:r>
      <w:r w:rsidR="0006626F">
        <w:t>assumes</w:t>
      </w:r>
      <w:r>
        <w:t xml:space="preserve"> fixed propensities of incidence and choice in a context where individual propensities are unlikely to be fixed for long: if there is no further </w:t>
      </w:r>
      <w:r w:rsidR="00BB4F58">
        <w:t xml:space="preserve">consumer </w:t>
      </w:r>
      <w:r>
        <w:t xml:space="preserve">learning what is the role of new product variants, or brand extensions? What can deeper distribution or a new advertising agency achieve? Any zero-order model must therefore be a compromise, </w:t>
      </w:r>
      <w:r w:rsidR="00320E9E">
        <w:t xml:space="preserve">and </w:t>
      </w:r>
      <w:r>
        <w:t xml:space="preserve">although the evidence says that the Dirichlet remains </w:t>
      </w:r>
      <w:r w:rsidR="007669F6">
        <w:t xml:space="preserve">broadly </w:t>
      </w:r>
      <w:r>
        <w:t>a good one</w:t>
      </w:r>
      <w:r w:rsidR="00320E9E">
        <w:t>, the</w:t>
      </w:r>
      <w:r w:rsidR="00320E9E" w:rsidRPr="00164322">
        <w:t xml:space="preserve"> </w:t>
      </w:r>
      <w:r>
        <w:t xml:space="preserve">four systematic Dirichlet deviations </w:t>
      </w:r>
      <w:r w:rsidR="0006626F">
        <w:t xml:space="preserve">might </w:t>
      </w:r>
      <w:r>
        <w:t xml:space="preserve">suggest a </w:t>
      </w:r>
      <w:r w:rsidR="00320E9E">
        <w:t xml:space="preserve">general violation </w:t>
      </w:r>
      <w:r>
        <w:t xml:space="preserve">of </w:t>
      </w:r>
      <w:r w:rsidR="007669F6">
        <w:t xml:space="preserve">the fixed probabilities </w:t>
      </w:r>
      <w:r w:rsidR="00AD5986">
        <w:t>assumptions.</w:t>
      </w:r>
      <w:r w:rsidR="007669F6">
        <w:t xml:space="preserve"> </w:t>
      </w:r>
    </w:p>
    <w:p w14:paraId="422EA748" w14:textId="73A769FC" w:rsidR="007630C0" w:rsidRDefault="00320E9E" w:rsidP="00D6178F">
      <w:pPr>
        <w:spacing w:after="100" w:afterAutospacing="1" w:line="480" w:lineRule="auto"/>
      </w:pPr>
      <w:r w:rsidRPr="00320E9E">
        <w:rPr>
          <w:i/>
        </w:rPr>
        <w:t>Sole brand loyalty:</w:t>
      </w:r>
      <w:r>
        <w:t xml:space="preserve"> </w:t>
      </w:r>
      <w:r w:rsidR="007669F6">
        <w:t>Marketers are interested in the proportion of their customer base that buys no other brand</w:t>
      </w:r>
      <w:r w:rsidR="007630C0">
        <w:t xml:space="preserve">. </w:t>
      </w:r>
      <w:r w:rsidR="007669F6">
        <w:t xml:space="preserve">In </w:t>
      </w:r>
      <w:r w:rsidR="00D6178F">
        <w:t xml:space="preserve">Dirichlet analyses, the penetration and purchase frequency of sole brand loyal </w:t>
      </w:r>
      <w:r w:rsidR="007630C0">
        <w:t xml:space="preserve">consumers </w:t>
      </w:r>
      <w:r w:rsidR="007669F6">
        <w:t>shows that</w:t>
      </w:r>
      <w:r w:rsidR="00D6178F">
        <w:t xml:space="preserve"> </w:t>
      </w:r>
      <w:r w:rsidR="007669F6">
        <w:t>they</w:t>
      </w:r>
      <w:r w:rsidR="00D6178F">
        <w:t xml:space="preserve"> are never numerous </w:t>
      </w:r>
      <w:r w:rsidR="007669F6">
        <w:t xml:space="preserve">and </w:t>
      </w:r>
      <w:r w:rsidR="00D6178F">
        <w:t>usually light category buyers (Ehrenberg et al., 2004; Scriven and Bound, 200</w:t>
      </w:r>
      <w:r w:rsidR="00CD6FF6">
        <w:t>4</w:t>
      </w:r>
      <w:r w:rsidR="00D6178F">
        <w:t>)</w:t>
      </w:r>
      <w:r w:rsidR="007669F6">
        <w:t>. The systematic under prediction of these two metrics</w:t>
      </w:r>
      <w:r w:rsidR="00D6178F">
        <w:t xml:space="preserve"> </w:t>
      </w:r>
      <w:r w:rsidR="007630C0">
        <w:t xml:space="preserve">by the model has </w:t>
      </w:r>
      <w:r w:rsidR="00D6178F">
        <w:t xml:space="preserve">therefore </w:t>
      </w:r>
      <w:r w:rsidR="007630C0">
        <w:t xml:space="preserve">tended to </w:t>
      </w:r>
      <w:r w:rsidR="00D6178F">
        <w:t>attract</w:t>
      </w:r>
      <w:r w:rsidR="007630C0">
        <w:t xml:space="preserve"> </w:t>
      </w:r>
      <w:r w:rsidR="00D6178F">
        <w:t>little attention</w:t>
      </w:r>
      <w:r w:rsidR="007669F6">
        <w:t xml:space="preserve"> because the contribution to sales is small</w:t>
      </w:r>
      <w:r w:rsidR="007630C0">
        <w:t>, especially as the penetration of sole loyals systematically declines with time.</w:t>
      </w:r>
      <w:r w:rsidR="007669F6">
        <w:t xml:space="preserve">   </w:t>
      </w:r>
    </w:p>
    <w:p w14:paraId="44A76F50" w14:textId="1BE4B70F" w:rsidR="007630C0" w:rsidRDefault="007630C0" w:rsidP="00D6178F">
      <w:pPr>
        <w:spacing w:after="100" w:afterAutospacing="1" w:line="480" w:lineRule="auto"/>
      </w:pPr>
      <w:r w:rsidRPr="007630C0">
        <w:rPr>
          <w:i/>
        </w:rPr>
        <w:t>Period-to Period Repeat rates</w:t>
      </w:r>
      <w:r>
        <w:t xml:space="preserve">: </w:t>
      </w:r>
      <w:r w:rsidR="00D6178F">
        <w:t>Similarly, although the model predicts period-to-period repeat</w:t>
      </w:r>
      <w:r w:rsidR="00BB4F58">
        <w:t xml:space="preserve"> rates</w:t>
      </w:r>
      <w:r w:rsidR="00D6178F">
        <w:t xml:space="preserve"> </w:t>
      </w:r>
      <w:r w:rsidR="00764363">
        <w:t>that</w:t>
      </w:r>
      <w:r>
        <w:t xml:space="preserve"> are</w:t>
      </w:r>
      <w:r w:rsidR="00D6178F">
        <w:t xml:space="preserve"> </w:t>
      </w:r>
      <w:r>
        <w:t>usually over predicted</w:t>
      </w:r>
      <w:r w:rsidR="00764363">
        <w:t>,</w:t>
      </w:r>
      <w:r>
        <w:t xml:space="preserve"> </w:t>
      </w:r>
      <w:r w:rsidR="00764363">
        <w:t>these have</w:t>
      </w:r>
      <w:r>
        <w:t xml:space="preserve"> </w:t>
      </w:r>
      <w:r w:rsidR="00D6178F">
        <w:t>hardly</w:t>
      </w:r>
      <w:r w:rsidR="00764363">
        <w:t xml:space="preserve"> been</w:t>
      </w:r>
      <w:r w:rsidR="00D6178F">
        <w:t xml:space="preserve"> reported, although the possibility of improving predictions from one period to the next has led Trinh </w:t>
      </w:r>
      <w:r w:rsidR="00D6178F" w:rsidRPr="00E5699B">
        <w:rPr>
          <w:i/>
        </w:rPr>
        <w:t>et al</w:t>
      </w:r>
      <w:r w:rsidR="00D6178F">
        <w:t xml:space="preserve"> (201</w:t>
      </w:r>
      <w:r w:rsidR="00AF3553">
        <w:t>4</w:t>
      </w:r>
      <w:r w:rsidR="00D6178F">
        <w:t xml:space="preserve">) to adapt the Dirichlet using a Poisson-log-normal distribution to </w:t>
      </w:r>
      <w:r w:rsidR="00D6178F">
        <w:lastRenderedPageBreak/>
        <w:t xml:space="preserve">capture category purchasing </w:t>
      </w:r>
      <w:r w:rsidR="007D31A5">
        <w:t xml:space="preserve">and </w:t>
      </w:r>
      <w:r w:rsidR="00FE692B">
        <w:t>suggesting a steeper DJ line,</w:t>
      </w:r>
      <w:r w:rsidR="0096671E">
        <w:t xml:space="preserve"> consistent with </w:t>
      </w:r>
      <w:r w:rsidR="0096671E" w:rsidRPr="00D42313">
        <w:rPr>
          <w:color w:val="222222"/>
          <w:shd w:val="clear" w:color="auto" w:fill="FFFFFF"/>
        </w:rPr>
        <w:t>Li</w:t>
      </w:r>
      <w:r w:rsidR="0096671E">
        <w:rPr>
          <w:color w:val="222222"/>
          <w:shd w:val="clear" w:color="auto" w:fill="FFFFFF"/>
        </w:rPr>
        <w:t xml:space="preserve"> </w:t>
      </w:r>
      <w:r w:rsidR="0096671E" w:rsidRPr="001B44DF">
        <w:rPr>
          <w:i/>
          <w:color w:val="222222"/>
          <w:shd w:val="clear" w:color="auto" w:fill="FFFFFF"/>
        </w:rPr>
        <w:t>et al.,</w:t>
      </w:r>
      <w:r w:rsidR="0096671E" w:rsidRPr="00D42313">
        <w:rPr>
          <w:color w:val="222222"/>
          <w:shd w:val="clear" w:color="auto" w:fill="FFFFFF"/>
        </w:rPr>
        <w:t xml:space="preserve"> (200</w:t>
      </w:r>
      <w:r w:rsidR="0096671E">
        <w:rPr>
          <w:color w:val="222222"/>
          <w:shd w:val="clear" w:color="auto" w:fill="FFFFFF"/>
        </w:rPr>
        <w:t>9</w:t>
      </w:r>
      <w:r w:rsidR="0096671E" w:rsidRPr="00D42313">
        <w:rPr>
          <w:color w:val="222222"/>
          <w:shd w:val="clear" w:color="auto" w:fill="FFFFFF"/>
        </w:rPr>
        <w:t>)</w:t>
      </w:r>
      <w:r w:rsidR="00D6178F">
        <w:t xml:space="preserve">. </w:t>
      </w:r>
    </w:p>
    <w:p w14:paraId="5E23917B" w14:textId="107CF380" w:rsidR="00D6178F" w:rsidRDefault="007630C0" w:rsidP="00D6178F">
      <w:pPr>
        <w:spacing w:after="100" w:afterAutospacing="1" w:line="480" w:lineRule="auto"/>
      </w:pPr>
      <w:r w:rsidRPr="007630C0">
        <w:rPr>
          <w:i/>
        </w:rPr>
        <w:t>The Erosion of Repeat Purchase Loyalty:</w:t>
      </w:r>
      <w:r>
        <w:t xml:space="preserve"> </w:t>
      </w:r>
      <w:r w:rsidR="00D6178F">
        <w:t xml:space="preserve">Underlying non-stationarity </w:t>
      </w:r>
      <w:r w:rsidR="002D3666">
        <w:t xml:space="preserve">in repeat purchase </w:t>
      </w:r>
      <w:r w:rsidR="00D6178F">
        <w:t xml:space="preserve">is </w:t>
      </w:r>
      <w:r w:rsidR="002D3666">
        <w:t xml:space="preserve">also </w:t>
      </w:r>
      <w:r w:rsidR="00D6178F">
        <w:t xml:space="preserve">reflected in the </w:t>
      </w:r>
      <w:r w:rsidR="002D3666">
        <w:t xml:space="preserve">continuous </w:t>
      </w:r>
      <w:r w:rsidR="00D6178F">
        <w:t>erosion of repeat purchase loyalty</w:t>
      </w:r>
      <w:r w:rsidR="002D3666">
        <w:t xml:space="preserve"> (Ehrenberg,1988; East &amp; Hammond,1996)</w:t>
      </w:r>
      <w:r w:rsidR="008D1AAB">
        <w:t>,</w:t>
      </w:r>
      <w:r w:rsidR="002D3666">
        <w:t xml:space="preserve"> observed over several non-consecutive Quarters when measured against NBD estimations and constantly stable penetration.</w:t>
      </w:r>
    </w:p>
    <w:p w14:paraId="1590F347" w14:textId="7871738C" w:rsidR="00D6178F" w:rsidRPr="00E5699B" w:rsidRDefault="00D6178F" w:rsidP="00D6178F">
      <w:pPr>
        <w:spacing w:after="100" w:afterAutospacing="1" w:line="480" w:lineRule="auto"/>
      </w:pPr>
      <w:r>
        <w:t xml:space="preserve">Ehrenberg </w:t>
      </w:r>
      <w:r w:rsidRPr="00773C3D">
        <w:rPr>
          <w:i/>
        </w:rPr>
        <w:t>et al.,</w:t>
      </w:r>
      <w:r>
        <w:t xml:space="preserve"> (2004) </w:t>
      </w:r>
      <w:r w:rsidRPr="00826082">
        <w:t>ma</w:t>
      </w:r>
      <w:r>
        <w:t>k</w:t>
      </w:r>
      <w:r w:rsidRPr="00826082">
        <w:t>e the point that these</w:t>
      </w:r>
      <w:r w:rsidR="008D1AAB">
        <w:t xml:space="preserve"> regular</w:t>
      </w:r>
      <w:r w:rsidRPr="00826082">
        <w:t xml:space="preserve"> discrepancies seldom curtail the application of the model if they are recognised by managers, but suggest that it remains important to record and categorise them so that analysts may understand them as a possible context for any marketing driven variation.  </w:t>
      </w:r>
      <w:r>
        <w:t xml:space="preserve">Since it is likely that these </w:t>
      </w:r>
      <w:r w:rsidR="002D3666">
        <w:t xml:space="preserve">further </w:t>
      </w:r>
      <w:r>
        <w:t xml:space="preserve">deviations </w:t>
      </w:r>
      <w:r w:rsidR="002D3666">
        <w:t xml:space="preserve">may </w:t>
      </w:r>
      <w:r>
        <w:t>share some common cause in non-stationarity, the second objective of this study is to use a single extensive dataset:</w:t>
      </w:r>
    </w:p>
    <w:p w14:paraId="74D1AB3A" w14:textId="2135927E" w:rsidR="00D6178F" w:rsidRDefault="00D6178F" w:rsidP="00D6178F">
      <w:pPr>
        <w:spacing w:after="100" w:afterAutospacing="1" w:line="480" w:lineRule="auto"/>
        <w:ind w:left="720"/>
      </w:pPr>
      <w:r w:rsidRPr="004B54F0">
        <w:rPr>
          <w:b/>
        </w:rPr>
        <w:t xml:space="preserve">To </w:t>
      </w:r>
      <w:r w:rsidR="00732741">
        <w:rPr>
          <w:b/>
        </w:rPr>
        <w:t xml:space="preserve">evaluate </w:t>
      </w:r>
      <w:r w:rsidRPr="004B54F0">
        <w:rPr>
          <w:b/>
        </w:rPr>
        <w:t xml:space="preserve">the </w:t>
      </w:r>
      <w:r>
        <w:rPr>
          <w:b/>
        </w:rPr>
        <w:t>four systematic</w:t>
      </w:r>
      <w:r w:rsidRPr="004B54F0">
        <w:rPr>
          <w:b/>
        </w:rPr>
        <w:t xml:space="preserve"> Dirichlet Deviations </w:t>
      </w:r>
      <w:r w:rsidR="00732741">
        <w:rPr>
          <w:b/>
        </w:rPr>
        <w:t xml:space="preserve">as aspects of the same breach of the stationarity assumption. </w:t>
      </w:r>
    </w:p>
    <w:p w14:paraId="6D370CB2" w14:textId="02985B3C" w:rsidR="00732741" w:rsidRDefault="002D3666" w:rsidP="00D6178F">
      <w:pPr>
        <w:spacing w:after="100" w:afterAutospacing="1" w:line="480" w:lineRule="auto"/>
      </w:pPr>
      <w:r>
        <w:t xml:space="preserve">Finally, and as </w:t>
      </w:r>
      <w:r w:rsidR="00D6178F">
        <w:t xml:space="preserve">an outcome of the </w:t>
      </w:r>
      <w:r w:rsidR="00732741">
        <w:t>response to these objectives</w:t>
      </w:r>
      <w:r w:rsidR="00D6178F">
        <w:t>, it will be important to identify links in explanatory theory between the two types of Dirichlet Deviations, particularly in regard to the assumptions breached, to contribute to that theory</w:t>
      </w:r>
      <w:r w:rsidR="00732741">
        <w:t>. This leads to a third objective, as called for in Ehrenberg et al., 2004:</w:t>
      </w:r>
    </w:p>
    <w:p w14:paraId="569D0F35" w14:textId="66929137" w:rsidR="00732741" w:rsidRPr="00732741" w:rsidRDefault="00732741" w:rsidP="00732741">
      <w:pPr>
        <w:spacing w:after="100" w:afterAutospacing="1" w:line="480" w:lineRule="auto"/>
        <w:ind w:left="720"/>
        <w:rPr>
          <w:b/>
        </w:rPr>
      </w:pPr>
      <w:r w:rsidRPr="00732741">
        <w:rPr>
          <w:b/>
        </w:rPr>
        <w:t xml:space="preserve">To categorise the nine Dirichlet Deviations </w:t>
      </w:r>
      <w:r>
        <w:rPr>
          <w:b/>
        </w:rPr>
        <w:t>in order to</w:t>
      </w:r>
      <w:r w:rsidRPr="00732741">
        <w:rPr>
          <w:b/>
        </w:rPr>
        <w:t xml:space="preserve"> </w:t>
      </w:r>
      <w:r>
        <w:rPr>
          <w:b/>
        </w:rPr>
        <w:t>summarise</w:t>
      </w:r>
      <w:r w:rsidRPr="00732741">
        <w:rPr>
          <w:b/>
        </w:rPr>
        <w:t xml:space="preserve"> their managerial implications. </w:t>
      </w:r>
    </w:p>
    <w:p w14:paraId="45B85E41" w14:textId="4E3ADF7C" w:rsidR="00CB76D7" w:rsidRPr="00D07677" w:rsidRDefault="00D6178F" w:rsidP="00D0178C">
      <w:pPr>
        <w:spacing w:after="100" w:afterAutospacing="1" w:line="480" w:lineRule="auto"/>
        <w:rPr>
          <w:b/>
          <w:u w:val="single"/>
        </w:rPr>
      </w:pPr>
      <w:r>
        <w:t>We now move on to describe the data set and the analysis employed before presenting the results.</w:t>
      </w:r>
    </w:p>
    <w:p w14:paraId="4D04C039" w14:textId="77777777" w:rsidR="00CB76D7" w:rsidRPr="00A67FD5" w:rsidRDefault="00A67FD5" w:rsidP="006F15EF">
      <w:pPr>
        <w:spacing w:after="240" w:line="480" w:lineRule="auto"/>
        <w:outlineLvl w:val="0"/>
        <w:rPr>
          <w:b/>
        </w:rPr>
      </w:pPr>
      <w:r w:rsidRPr="00A67FD5">
        <w:rPr>
          <w:b/>
        </w:rPr>
        <w:lastRenderedPageBreak/>
        <w:t xml:space="preserve">3. </w:t>
      </w:r>
      <w:r w:rsidR="00CB76D7" w:rsidRPr="00A67FD5">
        <w:rPr>
          <w:b/>
        </w:rPr>
        <w:t>The Data</w:t>
      </w:r>
      <w:r w:rsidR="00F0545C">
        <w:rPr>
          <w:b/>
        </w:rPr>
        <w:t>ba</w:t>
      </w:r>
      <w:r w:rsidR="00CB76D7" w:rsidRPr="00A67FD5">
        <w:rPr>
          <w:b/>
        </w:rPr>
        <w:t>se</w:t>
      </w:r>
      <w:r w:rsidRPr="00A67FD5">
        <w:rPr>
          <w:b/>
        </w:rPr>
        <w:t xml:space="preserve"> and Analysis</w:t>
      </w:r>
    </w:p>
    <w:p w14:paraId="4A4F3807" w14:textId="07102C56" w:rsidR="00CB76D7" w:rsidRPr="00D07677" w:rsidRDefault="000D08F8" w:rsidP="007C0D94">
      <w:pPr>
        <w:spacing w:after="120" w:line="480" w:lineRule="auto"/>
      </w:pPr>
      <w:r>
        <w:t>T</w:t>
      </w:r>
      <w:r w:rsidR="00CB76D7" w:rsidRPr="00D07677">
        <w:t>he main source of data used in the paper consist</w:t>
      </w:r>
      <w:r w:rsidR="007C0D94">
        <w:t>ed</w:t>
      </w:r>
      <w:r w:rsidR="00CB76D7" w:rsidRPr="00D07677">
        <w:t xml:space="preserve"> of purchasing histories from 62 product categories</w:t>
      </w:r>
      <w:r w:rsidR="00DF19EE">
        <w:t xml:space="preserve"> (listed in the appendix</w:t>
      </w:r>
      <w:r w:rsidR="007879CC">
        <w:t>)</w:t>
      </w:r>
      <w:r w:rsidR="00CB76D7" w:rsidRPr="00D07677">
        <w:t xml:space="preserve"> from the UK panels operated by </w:t>
      </w:r>
      <w:r w:rsidR="00CF55D6">
        <w:t>Kantar</w:t>
      </w:r>
      <w:r w:rsidR="00CB76D7" w:rsidRPr="00D07677">
        <w:t xml:space="preserve">, to whom we are greatly indebted for making the information available.  The bulk of the analyses are based on the 52 weeks ending January 2005. </w:t>
      </w:r>
      <w:r w:rsidR="00BC3456">
        <w:t>D</w:t>
      </w:r>
      <w:r w:rsidR="00CB76D7" w:rsidRPr="00D07677">
        <w:t>ata for the previous five years</w:t>
      </w:r>
      <w:r w:rsidR="00BC3456">
        <w:t xml:space="preserve"> was also available</w:t>
      </w:r>
      <w:r w:rsidR="00CB76D7" w:rsidRPr="00D07677">
        <w:t xml:space="preserve">, </w:t>
      </w:r>
      <w:r w:rsidR="00373487">
        <w:t xml:space="preserve">and </w:t>
      </w:r>
      <w:r w:rsidR="00CB76D7" w:rsidRPr="00D07677">
        <w:t xml:space="preserve">used to </w:t>
      </w:r>
      <w:r w:rsidR="009B6621">
        <w:t>evaluate the erosion of repeat purchase loyalty.</w:t>
      </w:r>
      <w:r w:rsidR="009B6621" w:rsidRPr="00D07677">
        <w:t xml:space="preserve"> </w:t>
      </w:r>
    </w:p>
    <w:p w14:paraId="51F66661" w14:textId="77777777" w:rsidR="00F95434" w:rsidRDefault="00DB2198" w:rsidP="00B02751">
      <w:pPr>
        <w:spacing w:after="120" w:line="480" w:lineRule="auto"/>
      </w:pPr>
      <w:r>
        <w:t>In e</w:t>
      </w:r>
      <w:r w:rsidR="00CB76D7" w:rsidRPr="00D07677">
        <w:t xml:space="preserve">ach category </w:t>
      </w:r>
      <w:r w:rsidR="00BC3456">
        <w:t>ten</w:t>
      </w:r>
      <w:r>
        <w:t xml:space="preserve"> standard performance </w:t>
      </w:r>
      <w:r w:rsidRPr="00D07677">
        <w:t xml:space="preserve">metrics were </w:t>
      </w:r>
      <w:r>
        <w:t>extracted</w:t>
      </w:r>
      <w:r w:rsidRPr="00D07677">
        <w:t xml:space="preserve"> for </w:t>
      </w:r>
      <w:r w:rsidR="00BC3456">
        <w:t xml:space="preserve">each of </w:t>
      </w:r>
      <w:r w:rsidRPr="00D07677">
        <w:t xml:space="preserve">the top </w:t>
      </w:r>
      <w:r>
        <w:t>nineteen</w:t>
      </w:r>
      <w:r w:rsidRPr="00D07677">
        <w:t xml:space="preserve"> brands </w:t>
      </w:r>
      <w:r w:rsidR="00B02751">
        <w:t xml:space="preserve">and Private Labels </w:t>
      </w:r>
      <w:r w:rsidR="00B02751" w:rsidRPr="00D07677">
        <w:t xml:space="preserve">(by </w:t>
      </w:r>
      <w:r w:rsidR="00B02751">
        <w:t>share</w:t>
      </w:r>
      <w:r w:rsidR="00B02751" w:rsidRPr="00D07677">
        <w:t xml:space="preserve">) </w:t>
      </w:r>
      <w:r>
        <w:t>plus</w:t>
      </w:r>
      <w:r w:rsidRPr="00D07677">
        <w:t xml:space="preserve"> </w:t>
      </w:r>
      <w:r>
        <w:t xml:space="preserve">an aggregated </w:t>
      </w:r>
      <w:r w:rsidRPr="00D07677">
        <w:t>‘All Other’</w:t>
      </w:r>
      <w:r w:rsidR="00B02751">
        <w:t xml:space="preserve"> entity</w:t>
      </w:r>
      <w:r w:rsidR="00783E35">
        <w:t>,</w:t>
      </w:r>
      <w:r w:rsidR="00B02751" w:rsidRPr="00B02751">
        <w:t xml:space="preserve"> </w:t>
      </w:r>
      <w:r w:rsidR="00B02751">
        <w:t xml:space="preserve">thus accounting for </w:t>
      </w:r>
      <w:r w:rsidR="00783E35">
        <w:t xml:space="preserve">the </w:t>
      </w:r>
      <w:r w:rsidR="00B02751">
        <w:t>total annual sales in each product field.</w:t>
      </w:r>
      <w:r w:rsidR="0062028C" w:rsidRPr="0062028C">
        <w:t xml:space="preserve"> </w:t>
      </w:r>
      <w:r w:rsidR="00B02751">
        <w:t xml:space="preserve">In all, the performance of </w:t>
      </w:r>
      <w:r w:rsidR="0062028C">
        <w:t>1238</w:t>
      </w:r>
      <w:r w:rsidR="0062028C" w:rsidRPr="00937981">
        <w:t xml:space="preserve"> </w:t>
      </w:r>
      <w:r w:rsidR="00783E35">
        <w:t xml:space="preserve">named </w:t>
      </w:r>
      <w:r w:rsidR="00B02751">
        <w:t>brands</w:t>
      </w:r>
      <w:r w:rsidR="0062028C" w:rsidRPr="00937981">
        <w:t xml:space="preserve"> </w:t>
      </w:r>
      <w:r w:rsidR="0062028C">
        <w:t>and private label</w:t>
      </w:r>
      <w:r w:rsidR="00783E35">
        <w:t>s</w:t>
      </w:r>
      <w:r w:rsidR="0062028C">
        <w:t xml:space="preserve"> (PL)</w:t>
      </w:r>
      <w:r w:rsidR="00783E35">
        <w:t xml:space="preserve"> was considered.</w:t>
      </w:r>
      <w:r>
        <w:t xml:space="preserve"> </w:t>
      </w:r>
    </w:p>
    <w:p w14:paraId="5DD617D6" w14:textId="7F35296D" w:rsidR="00B02751" w:rsidRPr="00B02751" w:rsidRDefault="007A4AA2" w:rsidP="00B02751">
      <w:pPr>
        <w:spacing w:after="120" w:line="480" w:lineRule="auto"/>
        <w:rPr>
          <w:color w:val="FF0000"/>
          <w:lang w:val="en-US"/>
        </w:rPr>
      </w:pPr>
      <w:r>
        <w:rPr>
          <w:lang w:val="en-US"/>
        </w:rPr>
        <w:t>The</w:t>
      </w:r>
      <w:r w:rsidR="00B02751" w:rsidRPr="00F95434">
        <w:rPr>
          <w:lang w:val="en-US"/>
        </w:rPr>
        <w:t xml:space="preserve"> metrics describe purchase occasion (rather than volume or value), and brand choices</w:t>
      </w:r>
      <w:r w:rsidR="00783E35" w:rsidRPr="00F95434">
        <w:rPr>
          <w:lang w:val="en-US"/>
        </w:rPr>
        <w:t>,</w:t>
      </w:r>
      <w:r w:rsidR="00B02751" w:rsidRPr="00F95434">
        <w:rPr>
          <w:lang w:val="en-US"/>
        </w:rPr>
        <w:t xml:space="preserve"> aggregated to a household (rather than an individual) level. </w:t>
      </w:r>
      <w:r w:rsidR="00783E35" w:rsidRPr="00F95434">
        <w:rPr>
          <w:lang w:val="en-US"/>
        </w:rPr>
        <w:t>Ehrenberg (1988) argued that t</w:t>
      </w:r>
      <w:r w:rsidR="00B02751" w:rsidRPr="00F95434">
        <w:rPr>
          <w:lang w:val="en-US"/>
        </w:rPr>
        <w:t>his simplification capture</w:t>
      </w:r>
      <w:r w:rsidR="00F95434" w:rsidRPr="00F95434">
        <w:rPr>
          <w:lang w:val="en-US"/>
        </w:rPr>
        <w:t>d</w:t>
      </w:r>
      <w:r w:rsidR="00B02751" w:rsidRPr="00F95434">
        <w:rPr>
          <w:lang w:val="en-US"/>
        </w:rPr>
        <w:t xml:space="preserve"> purchase incidence and brand choice across a heterogeneous consumer base</w:t>
      </w:r>
      <w:r w:rsidR="00F95434" w:rsidRPr="00F95434">
        <w:rPr>
          <w:lang w:val="en-US"/>
        </w:rPr>
        <w:t xml:space="preserve"> in a fixed period</w:t>
      </w:r>
      <w:r w:rsidR="00B02751" w:rsidRPr="00F95434">
        <w:rPr>
          <w:lang w:val="en-US"/>
        </w:rPr>
        <w:t xml:space="preserve"> with little loss of accuracy, but with very considerable benefits in reducing analytical complexity</w:t>
      </w:r>
      <w:r w:rsidR="00783E35" w:rsidRPr="00F95434">
        <w:rPr>
          <w:lang w:val="en-US"/>
        </w:rPr>
        <w:t>.</w:t>
      </w:r>
      <w:r w:rsidR="00B02751" w:rsidRPr="00F95434">
        <w:rPr>
          <w:lang w:val="en-US"/>
        </w:rPr>
        <w:t xml:space="preserve"> </w:t>
      </w:r>
      <w:r w:rsidR="00783E35" w:rsidRPr="00F95434">
        <w:rPr>
          <w:lang w:val="en-US"/>
        </w:rPr>
        <w:t xml:space="preserve">The </w:t>
      </w:r>
      <w:r w:rsidR="00613E08">
        <w:rPr>
          <w:lang w:val="en-US"/>
        </w:rPr>
        <w:t xml:space="preserve">ten </w:t>
      </w:r>
      <w:r w:rsidR="00783E35" w:rsidRPr="00F95434">
        <w:rPr>
          <w:lang w:val="en-US"/>
        </w:rPr>
        <w:t xml:space="preserve">metrics are defined </w:t>
      </w:r>
      <w:r w:rsidR="00613E08">
        <w:rPr>
          <w:lang w:val="en-US"/>
        </w:rPr>
        <w:t>in the following section.</w:t>
      </w:r>
      <w:r w:rsidR="00783E35" w:rsidRPr="00F95434">
        <w:rPr>
          <w:lang w:val="en-US"/>
        </w:rPr>
        <w:t xml:space="preserve"> </w:t>
      </w:r>
    </w:p>
    <w:p w14:paraId="5BF71E6E" w14:textId="77777777" w:rsidR="00926088" w:rsidRDefault="00926088" w:rsidP="00F95434">
      <w:pPr>
        <w:spacing w:line="480" w:lineRule="auto"/>
        <w:rPr>
          <w:i/>
        </w:rPr>
      </w:pPr>
    </w:p>
    <w:p w14:paraId="1A56FED6" w14:textId="0A7CA5BB" w:rsidR="00F95434" w:rsidRDefault="00F015CD" w:rsidP="00F95434">
      <w:pPr>
        <w:spacing w:line="480" w:lineRule="auto"/>
        <w:rPr>
          <w:i/>
        </w:rPr>
      </w:pPr>
      <w:r>
        <w:rPr>
          <w:i/>
        </w:rPr>
        <w:t xml:space="preserve">3.1 </w:t>
      </w:r>
      <w:r w:rsidR="00373487" w:rsidRPr="00EE5C60">
        <w:rPr>
          <w:i/>
        </w:rPr>
        <w:t>The sales equation</w:t>
      </w:r>
    </w:p>
    <w:p w14:paraId="1BEB265F" w14:textId="5371A747" w:rsidR="00373487" w:rsidRDefault="00F95434" w:rsidP="00F95434">
      <w:pPr>
        <w:spacing w:line="480" w:lineRule="auto"/>
      </w:pPr>
      <w:r>
        <w:t xml:space="preserve">In a fixed </w:t>
      </w:r>
      <w:r w:rsidR="00AD5986">
        <w:t>period,</w:t>
      </w:r>
      <w:r>
        <w:t xml:space="preserve"> the sales of any brand depend only on the number of buyers it </w:t>
      </w:r>
      <w:r w:rsidR="00F015CD">
        <w:t xml:space="preserve">attracts </w:t>
      </w:r>
      <w:r>
        <w:t xml:space="preserve">and how often on average they </w:t>
      </w:r>
      <w:r w:rsidR="00F015CD">
        <w:t xml:space="preserve">buy </w:t>
      </w:r>
      <w:r>
        <w:t>it. The two metrics needed are:</w:t>
      </w:r>
    </w:p>
    <w:p w14:paraId="0E1213C3" w14:textId="77777777" w:rsidR="00ED253A" w:rsidRPr="007F45E5" w:rsidRDefault="00ED253A" w:rsidP="00F95434">
      <w:pPr>
        <w:spacing w:line="48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006"/>
      </w:tblGrid>
      <w:tr w:rsidR="00ED253A" w:rsidRPr="007F45E5" w14:paraId="1CEF0EC2" w14:textId="77777777" w:rsidTr="00DE7B12">
        <w:tc>
          <w:tcPr>
            <w:tcW w:w="3510" w:type="dxa"/>
            <w:vAlign w:val="center"/>
          </w:tcPr>
          <w:p w14:paraId="7D635266" w14:textId="3DBE88D0" w:rsidR="00ED253A" w:rsidRPr="007F45E5" w:rsidRDefault="00ED253A" w:rsidP="00ED253A">
            <w:pPr>
              <w:spacing w:line="480" w:lineRule="auto"/>
              <w:rPr>
                <w:sz w:val="20"/>
                <w:szCs w:val="20"/>
              </w:rPr>
            </w:pPr>
            <w:r w:rsidRPr="007F45E5">
              <w:rPr>
                <w:sz w:val="20"/>
                <w:szCs w:val="20"/>
              </w:rPr>
              <w:t>(1) Brand penetration =</w:t>
            </w:r>
          </w:p>
        </w:tc>
        <w:tc>
          <w:tcPr>
            <w:tcW w:w="5006" w:type="dxa"/>
          </w:tcPr>
          <w:p w14:paraId="22F91B5A" w14:textId="25C40F28" w:rsidR="00ED253A" w:rsidRPr="007F45E5" w:rsidRDefault="00ED253A" w:rsidP="00ED253A">
            <w:pPr>
              <w:spacing w:line="360" w:lineRule="auto"/>
              <w:jc w:val="center"/>
              <w:rPr>
                <w:sz w:val="20"/>
                <w:szCs w:val="20"/>
                <w:u w:val="single"/>
              </w:rPr>
            </w:pPr>
            <w:r w:rsidRPr="007F45E5">
              <w:rPr>
                <w:sz w:val="20"/>
                <w:szCs w:val="20"/>
                <w:u w:val="single"/>
              </w:rPr>
              <w:t xml:space="preserve">Households buying </w:t>
            </w:r>
            <w:r w:rsidR="00D75C88">
              <w:rPr>
                <w:sz w:val="20"/>
                <w:szCs w:val="20"/>
                <w:u w:val="single"/>
              </w:rPr>
              <w:t xml:space="preserve">X </w:t>
            </w:r>
            <w:r w:rsidRPr="007F45E5">
              <w:rPr>
                <w:sz w:val="20"/>
                <w:szCs w:val="20"/>
                <w:u w:val="single"/>
              </w:rPr>
              <w:t>at least once in the period</w:t>
            </w:r>
          </w:p>
          <w:p w14:paraId="1E751E24" w14:textId="77777777" w:rsidR="00ED253A" w:rsidRPr="007F45E5" w:rsidRDefault="00ED253A" w:rsidP="00ED253A">
            <w:pPr>
              <w:spacing w:line="360" w:lineRule="auto"/>
              <w:jc w:val="center"/>
              <w:rPr>
                <w:sz w:val="20"/>
                <w:szCs w:val="20"/>
              </w:rPr>
            </w:pPr>
            <w:r w:rsidRPr="007F45E5">
              <w:rPr>
                <w:sz w:val="20"/>
                <w:szCs w:val="20"/>
              </w:rPr>
              <w:t>Total households in the population</w:t>
            </w:r>
          </w:p>
          <w:p w14:paraId="665D1B59" w14:textId="1C627AA1" w:rsidR="00ED253A" w:rsidRPr="007F45E5" w:rsidRDefault="00ED253A" w:rsidP="00ED253A">
            <w:pPr>
              <w:spacing w:line="360" w:lineRule="auto"/>
              <w:jc w:val="center"/>
              <w:rPr>
                <w:sz w:val="20"/>
                <w:szCs w:val="20"/>
              </w:rPr>
            </w:pPr>
          </w:p>
        </w:tc>
      </w:tr>
      <w:tr w:rsidR="00ED253A" w:rsidRPr="007F45E5" w14:paraId="2D77C1A3" w14:textId="77777777" w:rsidTr="00DE7B12">
        <w:tc>
          <w:tcPr>
            <w:tcW w:w="3510" w:type="dxa"/>
            <w:vAlign w:val="center"/>
          </w:tcPr>
          <w:p w14:paraId="1A15F1C2" w14:textId="70BD231E" w:rsidR="00ED253A" w:rsidRPr="007F45E5" w:rsidRDefault="00ED253A" w:rsidP="00ED253A">
            <w:pPr>
              <w:spacing w:line="480" w:lineRule="auto"/>
              <w:rPr>
                <w:sz w:val="20"/>
                <w:szCs w:val="20"/>
              </w:rPr>
            </w:pPr>
            <w:r w:rsidRPr="007F45E5">
              <w:rPr>
                <w:sz w:val="20"/>
                <w:szCs w:val="20"/>
              </w:rPr>
              <w:t>(2) Average purchase frequency =</w:t>
            </w:r>
          </w:p>
        </w:tc>
        <w:tc>
          <w:tcPr>
            <w:tcW w:w="5006" w:type="dxa"/>
            <w:vAlign w:val="center"/>
          </w:tcPr>
          <w:p w14:paraId="7672B66B" w14:textId="2E66F205" w:rsidR="00ED253A" w:rsidRPr="007F45E5" w:rsidRDefault="00ED253A" w:rsidP="00ED253A">
            <w:pPr>
              <w:spacing w:line="360" w:lineRule="auto"/>
              <w:jc w:val="center"/>
              <w:rPr>
                <w:sz w:val="20"/>
                <w:szCs w:val="20"/>
                <w:u w:val="single"/>
              </w:rPr>
            </w:pPr>
            <w:r w:rsidRPr="007F45E5">
              <w:rPr>
                <w:sz w:val="20"/>
                <w:szCs w:val="20"/>
                <w:u w:val="single"/>
              </w:rPr>
              <w:t>Total purchase</w:t>
            </w:r>
            <w:r w:rsidR="00D75C88">
              <w:rPr>
                <w:sz w:val="20"/>
                <w:szCs w:val="20"/>
                <w:u w:val="single"/>
              </w:rPr>
              <w:t xml:space="preserve"> occasions</w:t>
            </w:r>
            <w:r w:rsidRPr="007F45E5">
              <w:rPr>
                <w:sz w:val="20"/>
                <w:szCs w:val="20"/>
                <w:u w:val="single"/>
              </w:rPr>
              <w:t xml:space="preserve"> of X</w:t>
            </w:r>
            <w:r w:rsidR="00D75C88">
              <w:rPr>
                <w:sz w:val="20"/>
                <w:szCs w:val="20"/>
                <w:u w:val="single"/>
              </w:rPr>
              <w:t xml:space="preserve"> in the period</w:t>
            </w:r>
          </w:p>
          <w:p w14:paraId="56E86BAD" w14:textId="01D39E27" w:rsidR="00ED253A" w:rsidRPr="007F45E5" w:rsidRDefault="00ED253A" w:rsidP="00D75C88">
            <w:pPr>
              <w:spacing w:line="360" w:lineRule="auto"/>
              <w:jc w:val="center"/>
              <w:rPr>
                <w:sz w:val="20"/>
                <w:szCs w:val="20"/>
              </w:rPr>
            </w:pPr>
            <w:r w:rsidRPr="007F45E5">
              <w:rPr>
                <w:sz w:val="20"/>
                <w:szCs w:val="20"/>
              </w:rPr>
              <w:t>Number of buyers of X</w:t>
            </w:r>
            <w:r w:rsidR="00D75C88">
              <w:rPr>
                <w:sz w:val="20"/>
                <w:szCs w:val="20"/>
              </w:rPr>
              <w:t xml:space="preserve"> in the period</w:t>
            </w:r>
          </w:p>
        </w:tc>
      </w:tr>
    </w:tbl>
    <w:p w14:paraId="654BFA2A" w14:textId="77777777" w:rsidR="00ED253A" w:rsidRDefault="00ED253A" w:rsidP="00F95434">
      <w:pPr>
        <w:spacing w:line="480" w:lineRule="auto"/>
      </w:pPr>
    </w:p>
    <w:p w14:paraId="5F5869B2" w14:textId="1AD83AF8" w:rsidR="007F45E5" w:rsidRPr="00926088" w:rsidRDefault="00C32D1C" w:rsidP="00926088">
      <w:pPr>
        <w:spacing w:line="480" w:lineRule="auto"/>
      </w:pPr>
      <w:r>
        <w:t>Brand s</w:t>
      </w:r>
      <w:r w:rsidR="00ED253A">
        <w:t>ales</w:t>
      </w:r>
      <w:r w:rsidR="004F6B12">
        <w:t xml:space="preserve"> volumes</w:t>
      </w:r>
      <w:r w:rsidR="00ED253A">
        <w:t xml:space="preserve"> per hundred buyers </w:t>
      </w:r>
      <w:r w:rsidR="004F6B12">
        <w:t xml:space="preserve">in the period can </w:t>
      </w:r>
      <w:r w:rsidR="00613E08">
        <w:t xml:space="preserve">then </w:t>
      </w:r>
      <w:r w:rsidR="004F6B12">
        <w:t>be</w:t>
      </w:r>
      <w:r w:rsidR="00ED253A">
        <w:t xml:space="preserve"> </w:t>
      </w:r>
      <w:r w:rsidR="004F6B12">
        <w:t>estimated</w:t>
      </w:r>
      <w:r w:rsidR="00ED253A">
        <w:t xml:space="preserve"> as </w:t>
      </w:r>
      <w:r>
        <w:t>(1) x (2)</w:t>
      </w:r>
      <w:r w:rsidR="00ED253A">
        <w:t>, the sales equation</w:t>
      </w:r>
      <w:r w:rsidR="00B12EDF">
        <w:t xml:space="preserve"> (</w:t>
      </w:r>
      <w:r w:rsidR="004F6B12">
        <w:t>Ehrenberg, 1988 p.11</w:t>
      </w:r>
      <w:r w:rsidR="00F015CD">
        <w:t xml:space="preserve">. </w:t>
      </w:r>
    </w:p>
    <w:p w14:paraId="0851CEF9" w14:textId="77777777" w:rsidR="00926785" w:rsidRDefault="00926785" w:rsidP="00070C22">
      <w:pPr>
        <w:spacing w:after="120" w:line="480" w:lineRule="auto"/>
        <w:rPr>
          <w:i/>
        </w:rPr>
      </w:pPr>
    </w:p>
    <w:p w14:paraId="327B8E4A" w14:textId="6AEEB220" w:rsidR="00EE5C60" w:rsidRDefault="00F015CD" w:rsidP="00070C22">
      <w:pPr>
        <w:spacing w:after="120" w:line="480" w:lineRule="auto"/>
        <w:rPr>
          <w:i/>
        </w:rPr>
      </w:pPr>
      <w:r>
        <w:rPr>
          <w:i/>
        </w:rPr>
        <w:t xml:space="preserve">3.2 </w:t>
      </w:r>
      <w:r w:rsidR="00373487" w:rsidRPr="00EE5C60">
        <w:rPr>
          <w:i/>
        </w:rPr>
        <w:t xml:space="preserve">The distribution of light and heavy buyers </w:t>
      </w:r>
    </w:p>
    <w:p w14:paraId="3F86E9E9" w14:textId="4DF1E983" w:rsidR="00C32D1C" w:rsidRDefault="007F45E5" w:rsidP="00070C22">
      <w:pPr>
        <w:spacing w:after="120" w:line="480" w:lineRule="auto"/>
      </w:pPr>
      <w:r>
        <w:t xml:space="preserve">In </w:t>
      </w:r>
      <w:r w:rsidR="00D75C88">
        <w:t xml:space="preserve">split loyal </w:t>
      </w:r>
      <w:r>
        <w:t xml:space="preserve">CPG categories that are bought relatively infrequently, </w:t>
      </w:r>
      <w:r w:rsidR="00536181">
        <w:t>m</w:t>
      </w:r>
      <w:r w:rsidR="00C32D1C" w:rsidRPr="00C32D1C">
        <w:t xml:space="preserve">anagers are </w:t>
      </w:r>
      <w:r w:rsidR="00C32D1C">
        <w:t xml:space="preserve">interested in </w:t>
      </w:r>
      <w:r w:rsidR="00D9617D">
        <w:t xml:space="preserve">building the loyalty in their customer base, maintaining the purchase frequency of heavier buyers, encouraging light buyers to buy more frequently and discouraging brand switching. </w:t>
      </w:r>
      <w:r w:rsidR="00B12EDF">
        <w:t xml:space="preserve">In setting </w:t>
      </w:r>
      <w:r w:rsidR="00AD5986">
        <w:t>objectives,</w:t>
      </w:r>
      <w:r w:rsidR="00B12EDF">
        <w:t xml:space="preserve"> a</w:t>
      </w:r>
      <w:r>
        <w:t xml:space="preserve"> range of behavioural loyalty metrics </w:t>
      </w:r>
      <w:r w:rsidR="004F6B12">
        <w:t>may</w:t>
      </w:r>
      <w:r>
        <w:t xml:space="preserve"> be extracted from panel data and modelled by the Dirichlet. Comparative loyalty </w:t>
      </w:r>
      <w:r w:rsidR="004F6B12">
        <w:t>in the customer bases of rival</w:t>
      </w:r>
      <w:r>
        <w:t xml:space="preserve"> brands can </w:t>
      </w:r>
      <w:r w:rsidR="004F6B12">
        <w:t xml:space="preserve">then </w:t>
      </w:r>
      <w:r>
        <w:t>be described by the distribution</w:t>
      </w:r>
      <w:r w:rsidR="00F40662">
        <w:t>s</w:t>
      </w:r>
      <w:r>
        <w:t xml:space="preserve"> of </w:t>
      </w:r>
      <w:r w:rsidR="00F40662">
        <w:t xml:space="preserve">their </w:t>
      </w:r>
      <w:r>
        <w:t>heavy and light buy</w:t>
      </w:r>
      <w:r w:rsidR="004F6B12">
        <w:t>ers</w:t>
      </w:r>
      <w:r w:rsidR="00F015CD">
        <w:t>,</w:t>
      </w:r>
      <w:r w:rsidR="00B12EDF">
        <w:t xml:space="preserve"> summarised </w:t>
      </w:r>
      <w:r w:rsidR="00F015CD">
        <w:t xml:space="preserve">in this analysis </w:t>
      </w:r>
      <w:r w:rsidR="00B12EDF">
        <w:t xml:space="preserve">as the proportion buying </w:t>
      </w:r>
      <w:r w:rsidR="004F6B12">
        <w:t xml:space="preserve">the brand </w:t>
      </w:r>
      <w:r w:rsidR="00B12EDF">
        <w:t xml:space="preserve">once </w:t>
      </w:r>
      <w:r w:rsidR="004F6B12">
        <w:t xml:space="preserve">(light) </w:t>
      </w:r>
      <w:r w:rsidR="00B12EDF">
        <w:t xml:space="preserve">and those buying five or more times </w:t>
      </w:r>
      <w:r w:rsidR="004F6B12">
        <w:t xml:space="preserve">(heavy) </w:t>
      </w:r>
      <w:r w:rsidR="00070C22">
        <w:t>over a</w:t>
      </w:r>
      <w:r w:rsidR="00B12EDF">
        <w:t xml:space="preserve">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006"/>
      </w:tblGrid>
      <w:tr w:rsidR="00C32D1C" w14:paraId="049106BC" w14:textId="77777777" w:rsidTr="00DE7B12">
        <w:tc>
          <w:tcPr>
            <w:tcW w:w="3510" w:type="dxa"/>
            <w:vAlign w:val="center"/>
          </w:tcPr>
          <w:p w14:paraId="71D7E749" w14:textId="07F5DF7D" w:rsidR="00C32D1C" w:rsidRPr="007F45E5" w:rsidRDefault="00C32D1C" w:rsidP="00C32D1C">
            <w:pPr>
              <w:spacing w:line="480" w:lineRule="auto"/>
              <w:rPr>
                <w:sz w:val="20"/>
                <w:szCs w:val="20"/>
              </w:rPr>
            </w:pPr>
            <w:r w:rsidRPr="007F45E5">
              <w:rPr>
                <w:sz w:val="20"/>
                <w:szCs w:val="20"/>
              </w:rPr>
              <w:t>(3) Proportion buying once =</w:t>
            </w:r>
          </w:p>
        </w:tc>
        <w:tc>
          <w:tcPr>
            <w:tcW w:w="5006" w:type="dxa"/>
          </w:tcPr>
          <w:p w14:paraId="5DDBBE75" w14:textId="77777777" w:rsidR="007F45E5" w:rsidRDefault="007F45E5" w:rsidP="00C32D1C">
            <w:pPr>
              <w:spacing w:line="360" w:lineRule="auto"/>
              <w:jc w:val="center"/>
              <w:rPr>
                <w:sz w:val="20"/>
                <w:szCs w:val="20"/>
                <w:u w:val="single"/>
              </w:rPr>
            </w:pPr>
          </w:p>
          <w:p w14:paraId="02D0CF10" w14:textId="766487E8" w:rsidR="00C32D1C" w:rsidRPr="007F45E5" w:rsidRDefault="00D75C88" w:rsidP="00C32D1C">
            <w:pPr>
              <w:spacing w:line="360" w:lineRule="auto"/>
              <w:jc w:val="center"/>
              <w:rPr>
                <w:sz w:val="20"/>
                <w:szCs w:val="20"/>
                <w:u w:val="single"/>
              </w:rPr>
            </w:pPr>
            <w:r>
              <w:rPr>
                <w:sz w:val="20"/>
                <w:szCs w:val="20"/>
                <w:u w:val="single"/>
              </w:rPr>
              <w:t>Total number</w:t>
            </w:r>
            <w:r w:rsidR="00C32D1C" w:rsidRPr="007F45E5">
              <w:rPr>
                <w:sz w:val="20"/>
                <w:szCs w:val="20"/>
                <w:u w:val="single"/>
              </w:rPr>
              <w:t xml:space="preserve"> buying </w:t>
            </w:r>
            <w:r w:rsidR="00D9617D" w:rsidRPr="007F45E5">
              <w:rPr>
                <w:sz w:val="20"/>
                <w:szCs w:val="20"/>
                <w:u w:val="single"/>
              </w:rPr>
              <w:t>X</w:t>
            </w:r>
            <w:r w:rsidR="00C32D1C" w:rsidRPr="007F45E5">
              <w:rPr>
                <w:sz w:val="20"/>
                <w:szCs w:val="20"/>
                <w:u w:val="single"/>
              </w:rPr>
              <w:t xml:space="preserve"> once in the period</w:t>
            </w:r>
          </w:p>
          <w:p w14:paraId="1FA44FE3" w14:textId="4C4E2AAF" w:rsidR="00C32D1C" w:rsidRPr="007F45E5" w:rsidRDefault="00C32D1C" w:rsidP="00C32D1C">
            <w:pPr>
              <w:spacing w:line="360" w:lineRule="auto"/>
              <w:jc w:val="center"/>
              <w:rPr>
                <w:sz w:val="20"/>
                <w:szCs w:val="20"/>
              </w:rPr>
            </w:pPr>
            <w:r w:rsidRPr="007F45E5">
              <w:rPr>
                <w:sz w:val="20"/>
                <w:szCs w:val="20"/>
              </w:rPr>
              <w:t xml:space="preserve">Total </w:t>
            </w:r>
            <w:r w:rsidR="00D9617D" w:rsidRPr="007F45E5">
              <w:rPr>
                <w:sz w:val="20"/>
                <w:szCs w:val="20"/>
              </w:rPr>
              <w:t>buyers of X</w:t>
            </w:r>
            <w:r w:rsidR="00D75C88">
              <w:rPr>
                <w:sz w:val="20"/>
                <w:szCs w:val="20"/>
              </w:rPr>
              <w:t xml:space="preserve"> in the period</w:t>
            </w:r>
          </w:p>
          <w:p w14:paraId="7D997E59" w14:textId="77777777" w:rsidR="00C32D1C" w:rsidRPr="007F45E5" w:rsidRDefault="00C32D1C" w:rsidP="00C32D1C">
            <w:pPr>
              <w:spacing w:line="360" w:lineRule="auto"/>
              <w:jc w:val="center"/>
              <w:rPr>
                <w:sz w:val="20"/>
                <w:szCs w:val="20"/>
              </w:rPr>
            </w:pPr>
          </w:p>
        </w:tc>
      </w:tr>
      <w:tr w:rsidR="00C32D1C" w14:paraId="6212E92A" w14:textId="77777777" w:rsidTr="00DE7B12">
        <w:tc>
          <w:tcPr>
            <w:tcW w:w="3510" w:type="dxa"/>
            <w:vAlign w:val="center"/>
          </w:tcPr>
          <w:p w14:paraId="4ABC0B13" w14:textId="32D93925" w:rsidR="00C32D1C" w:rsidRPr="007F45E5" w:rsidRDefault="00C32D1C" w:rsidP="00C32D1C">
            <w:pPr>
              <w:spacing w:line="480" w:lineRule="auto"/>
              <w:rPr>
                <w:sz w:val="20"/>
                <w:szCs w:val="20"/>
              </w:rPr>
            </w:pPr>
            <w:r w:rsidRPr="007F45E5">
              <w:rPr>
                <w:sz w:val="20"/>
                <w:szCs w:val="20"/>
              </w:rPr>
              <w:t>(4) Proportion buying 5+ times =</w:t>
            </w:r>
          </w:p>
        </w:tc>
        <w:tc>
          <w:tcPr>
            <w:tcW w:w="5006" w:type="dxa"/>
            <w:vAlign w:val="center"/>
          </w:tcPr>
          <w:p w14:paraId="2B01BB42" w14:textId="03759342" w:rsidR="00C32D1C" w:rsidRPr="007F45E5" w:rsidRDefault="00BE7610" w:rsidP="00C32D1C">
            <w:pPr>
              <w:spacing w:line="360" w:lineRule="auto"/>
              <w:jc w:val="center"/>
              <w:rPr>
                <w:sz w:val="20"/>
                <w:szCs w:val="20"/>
                <w:u w:val="single"/>
              </w:rPr>
            </w:pPr>
            <w:r>
              <w:rPr>
                <w:sz w:val="20"/>
                <w:szCs w:val="20"/>
                <w:u w:val="single"/>
              </w:rPr>
              <w:t xml:space="preserve">Total number </w:t>
            </w:r>
            <w:r w:rsidR="007F45E5" w:rsidRPr="007F45E5">
              <w:rPr>
                <w:sz w:val="20"/>
                <w:szCs w:val="20"/>
                <w:u w:val="single"/>
              </w:rPr>
              <w:t>buying X 5+ times in the period</w:t>
            </w:r>
          </w:p>
          <w:p w14:paraId="7C79A744" w14:textId="7F830F13" w:rsidR="00C32D1C" w:rsidRPr="007F45E5" w:rsidRDefault="007F45E5" w:rsidP="00BE7610">
            <w:pPr>
              <w:spacing w:line="360" w:lineRule="auto"/>
              <w:jc w:val="center"/>
              <w:rPr>
                <w:sz w:val="20"/>
                <w:szCs w:val="20"/>
              </w:rPr>
            </w:pPr>
            <w:r w:rsidRPr="007F45E5">
              <w:rPr>
                <w:sz w:val="20"/>
                <w:szCs w:val="20"/>
              </w:rPr>
              <w:t>Total</w:t>
            </w:r>
            <w:r w:rsidR="00C32D1C" w:rsidRPr="007F45E5">
              <w:rPr>
                <w:sz w:val="20"/>
                <w:szCs w:val="20"/>
              </w:rPr>
              <w:t xml:space="preserve"> buyers of X</w:t>
            </w:r>
            <w:r w:rsidR="00BE7610">
              <w:rPr>
                <w:sz w:val="20"/>
                <w:szCs w:val="20"/>
              </w:rPr>
              <w:t xml:space="preserve"> in the period</w:t>
            </w:r>
          </w:p>
        </w:tc>
      </w:tr>
    </w:tbl>
    <w:p w14:paraId="2F4BF48A" w14:textId="793E959E" w:rsidR="00070C22" w:rsidRDefault="006F15EF" w:rsidP="00EE5C60">
      <w:pPr>
        <w:spacing w:after="120" w:line="360" w:lineRule="auto"/>
      </w:pPr>
      <w:r>
        <w:t xml:space="preserve">  </w:t>
      </w:r>
    </w:p>
    <w:p w14:paraId="70FEC934" w14:textId="77777777" w:rsidR="00A0088B" w:rsidRPr="00A0088B" w:rsidRDefault="00A0088B" w:rsidP="00EE5C60">
      <w:pPr>
        <w:spacing w:after="120" w:line="360" w:lineRule="auto"/>
      </w:pPr>
    </w:p>
    <w:p w14:paraId="61E64EE0" w14:textId="6234627E" w:rsidR="00BE7610" w:rsidRDefault="00F015CD" w:rsidP="00EE5C60">
      <w:pPr>
        <w:spacing w:after="120" w:line="360" w:lineRule="auto"/>
        <w:rPr>
          <w:i/>
        </w:rPr>
      </w:pPr>
      <w:r>
        <w:rPr>
          <w:i/>
        </w:rPr>
        <w:t xml:space="preserve">3.3 </w:t>
      </w:r>
      <w:r w:rsidR="00BE7610">
        <w:rPr>
          <w:i/>
        </w:rPr>
        <w:t>Further b</w:t>
      </w:r>
      <w:r w:rsidR="00EE5C60">
        <w:rPr>
          <w:i/>
        </w:rPr>
        <w:t xml:space="preserve">ehavioural </w:t>
      </w:r>
      <w:r w:rsidR="00BE7610">
        <w:rPr>
          <w:i/>
        </w:rPr>
        <w:t>l</w:t>
      </w:r>
      <w:r w:rsidR="00EE5C60" w:rsidRPr="00EE5C60">
        <w:rPr>
          <w:i/>
        </w:rPr>
        <w:t>oyalty</w:t>
      </w:r>
      <w:r w:rsidR="00BE7610">
        <w:rPr>
          <w:i/>
        </w:rPr>
        <w:t xml:space="preserve"> metrics</w:t>
      </w:r>
    </w:p>
    <w:p w14:paraId="0FF12262" w14:textId="1B8E7C41" w:rsidR="00070C22" w:rsidRDefault="00BE7610" w:rsidP="00070C22">
      <w:pPr>
        <w:spacing w:after="120" w:line="480" w:lineRule="auto"/>
      </w:pPr>
      <w:r w:rsidRPr="00BE7610">
        <w:t>F</w:t>
      </w:r>
      <w:r w:rsidR="008135B9">
        <w:t>ive f</w:t>
      </w:r>
      <w:r w:rsidRPr="00BE7610">
        <w:t>urther metrics</w:t>
      </w:r>
      <w:r>
        <w:t xml:space="preserve"> </w:t>
      </w:r>
      <w:r w:rsidR="008135B9">
        <w:t>describe</w:t>
      </w:r>
      <w:r w:rsidR="00C569F4">
        <w:t xml:space="preserve"> the </w:t>
      </w:r>
      <w:r w:rsidR="00926088">
        <w:t xml:space="preserve">relative </w:t>
      </w:r>
      <w:r w:rsidR="00C569F4">
        <w:t>extent to which brands attract heavier category buyers</w:t>
      </w:r>
      <w:r>
        <w:t xml:space="preserve"> </w:t>
      </w:r>
      <w:r w:rsidR="00C569F4">
        <w:t>(heavy-half theory</w:t>
      </w:r>
      <w:r w:rsidR="00932F8B">
        <w:t>,</w:t>
      </w:r>
      <w:r w:rsidR="00C569F4">
        <w:t xml:space="preserve"> first described by Twedt (1964)), the space they occupy in their buyers’ </w:t>
      </w:r>
      <w:r w:rsidR="00796979">
        <w:t xml:space="preserve">aggregate </w:t>
      </w:r>
      <w:r w:rsidR="00C569F4">
        <w:t>repertoire</w:t>
      </w:r>
      <w:r w:rsidR="00613E08">
        <w:t>s</w:t>
      </w:r>
      <w:r w:rsidR="00C569F4">
        <w:t xml:space="preserve"> (S</w:t>
      </w:r>
      <w:r w:rsidR="00DE7B12">
        <w:t>hare of Category: S</w:t>
      </w:r>
      <w:r w:rsidR="00C569F4">
        <w:t xml:space="preserve">CR), the proportion of 100% loyal buyers they retain over a year and the average purchase rate of that buyer class, and </w:t>
      </w:r>
      <w:r w:rsidR="00796979">
        <w:t xml:space="preserve">last, </w:t>
      </w:r>
      <w:r w:rsidR="00C569F4">
        <w:t xml:space="preserve">the proportion </w:t>
      </w:r>
      <w:r w:rsidR="00926088">
        <w:t xml:space="preserve">of brand buyers </w:t>
      </w:r>
      <w:r w:rsidR="00613E08">
        <w:t>from</w:t>
      </w:r>
      <w:r w:rsidR="00926088">
        <w:t xml:space="preserve"> period 1 </w:t>
      </w:r>
      <w:r w:rsidR="00C569F4">
        <w:t xml:space="preserve">that repeat </w:t>
      </w:r>
      <w:r w:rsidR="00926088">
        <w:lastRenderedPageBreak/>
        <w:t xml:space="preserve">in </w:t>
      </w:r>
      <w:r w:rsidR="00C569F4">
        <w:t xml:space="preserve">the next. </w:t>
      </w:r>
      <w:r w:rsidR="00926088">
        <w:t>The</w:t>
      </w:r>
      <w:r w:rsidR="00F338A1">
        <w:t xml:space="preserve"> main pattern consistently observed in behavioural loyalty</w:t>
      </w:r>
      <w:r w:rsidR="00926088">
        <w:t xml:space="preserve"> metrics </w:t>
      </w:r>
      <w:r w:rsidR="00F338A1">
        <w:t>is however that they vary together (although not by much</w:t>
      </w:r>
      <w:r w:rsidR="00263F70">
        <w:t xml:space="preserve"> between brands</w:t>
      </w:r>
      <w:r w:rsidR="00F338A1">
        <w:t xml:space="preserve">), correlating closely with penetration (which varies greatly from brand to brand) and with market share (Uncles, Ehrenberg and Hammond, 1995). </w:t>
      </w:r>
      <w:r w:rsidR="00613E08">
        <w:t>Metrics</w:t>
      </w:r>
      <w:r w:rsidR="00F338A1">
        <w:t xml:space="preserve"> are</w:t>
      </w:r>
      <w:r w:rsidR="00926088">
        <w:t xml:space="preserve"> calculated from panel data </w:t>
      </w:r>
      <w:r w:rsidR="00070C22">
        <w:t xml:space="preserve">for each brand </w:t>
      </w:r>
      <w:r w:rsidR="00926088">
        <w:t>as follows:</w:t>
      </w:r>
    </w:p>
    <w:p w14:paraId="6A44DD68" w14:textId="77777777" w:rsidR="00926088" w:rsidRDefault="00926088" w:rsidP="00EE5C60">
      <w:pPr>
        <w:spacing w:after="12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BE7610" w14:paraId="2818E197" w14:textId="77777777" w:rsidTr="00DE7B12">
        <w:tc>
          <w:tcPr>
            <w:tcW w:w="4258" w:type="dxa"/>
            <w:vAlign w:val="center"/>
          </w:tcPr>
          <w:p w14:paraId="40DEC04B" w14:textId="7EB5060E" w:rsidR="00BE7610" w:rsidRPr="00BE7610" w:rsidRDefault="00BE7610" w:rsidP="00BE7610">
            <w:pPr>
              <w:spacing w:after="120" w:line="360" w:lineRule="auto"/>
              <w:rPr>
                <w:sz w:val="20"/>
                <w:szCs w:val="20"/>
              </w:rPr>
            </w:pPr>
            <w:r w:rsidRPr="00BE7610">
              <w:rPr>
                <w:sz w:val="20"/>
                <w:szCs w:val="20"/>
              </w:rPr>
              <w:t>(5) Average category purchases by brand buyers</w:t>
            </w:r>
            <w:r>
              <w:rPr>
                <w:sz w:val="20"/>
                <w:szCs w:val="20"/>
              </w:rPr>
              <w:t xml:space="preserve"> =</w:t>
            </w:r>
          </w:p>
        </w:tc>
        <w:tc>
          <w:tcPr>
            <w:tcW w:w="4258" w:type="dxa"/>
            <w:vAlign w:val="center"/>
          </w:tcPr>
          <w:p w14:paraId="39C16CAD" w14:textId="36AFD46C" w:rsidR="00BE7610" w:rsidRPr="007F45E5" w:rsidRDefault="0047210D" w:rsidP="00796979">
            <w:pPr>
              <w:spacing w:line="360" w:lineRule="auto"/>
              <w:jc w:val="center"/>
              <w:rPr>
                <w:sz w:val="20"/>
                <w:szCs w:val="20"/>
                <w:u w:val="single"/>
              </w:rPr>
            </w:pPr>
            <w:r>
              <w:rPr>
                <w:sz w:val="20"/>
                <w:szCs w:val="20"/>
                <w:u w:val="single"/>
              </w:rPr>
              <w:t>Total category purchases made by buyers of X</w:t>
            </w:r>
          </w:p>
          <w:p w14:paraId="3C83D1EA" w14:textId="3EF706DF" w:rsidR="00796979" w:rsidRPr="00BE7610" w:rsidRDefault="00BE7610" w:rsidP="00796979">
            <w:pPr>
              <w:spacing w:after="120" w:line="360" w:lineRule="auto"/>
              <w:jc w:val="center"/>
              <w:rPr>
                <w:sz w:val="20"/>
                <w:szCs w:val="20"/>
              </w:rPr>
            </w:pPr>
            <w:r w:rsidRPr="007F45E5">
              <w:rPr>
                <w:sz w:val="20"/>
                <w:szCs w:val="20"/>
              </w:rPr>
              <w:t>Total buyers of X</w:t>
            </w:r>
            <w:r>
              <w:rPr>
                <w:sz w:val="20"/>
                <w:szCs w:val="20"/>
              </w:rPr>
              <w:t xml:space="preserve"> in the period</w:t>
            </w:r>
          </w:p>
        </w:tc>
      </w:tr>
      <w:tr w:rsidR="00BE7610" w14:paraId="47E6B533" w14:textId="77777777" w:rsidTr="00DE7B12">
        <w:tc>
          <w:tcPr>
            <w:tcW w:w="4258" w:type="dxa"/>
            <w:vAlign w:val="center"/>
          </w:tcPr>
          <w:p w14:paraId="5D9320B1" w14:textId="03E194CB" w:rsidR="00BE7610" w:rsidRPr="00BE7610" w:rsidRDefault="00BE7610" w:rsidP="00BE7610">
            <w:pPr>
              <w:spacing w:after="120" w:line="360" w:lineRule="auto"/>
              <w:rPr>
                <w:sz w:val="20"/>
                <w:szCs w:val="20"/>
              </w:rPr>
            </w:pPr>
            <w:r w:rsidRPr="00BE7610">
              <w:rPr>
                <w:sz w:val="20"/>
                <w:szCs w:val="20"/>
              </w:rPr>
              <w:t>(6) Share of category requirement</w:t>
            </w:r>
            <w:r>
              <w:rPr>
                <w:sz w:val="20"/>
                <w:szCs w:val="20"/>
              </w:rPr>
              <w:t xml:space="preserve"> </w:t>
            </w:r>
            <w:r w:rsidR="00C569F4">
              <w:rPr>
                <w:sz w:val="20"/>
                <w:szCs w:val="20"/>
              </w:rPr>
              <w:t xml:space="preserve">(SCR) </w:t>
            </w:r>
            <w:r>
              <w:rPr>
                <w:sz w:val="20"/>
                <w:szCs w:val="20"/>
              </w:rPr>
              <w:t>=</w:t>
            </w:r>
          </w:p>
        </w:tc>
        <w:tc>
          <w:tcPr>
            <w:tcW w:w="4258" w:type="dxa"/>
            <w:vAlign w:val="center"/>
          </w:tcPr>
          <w:p w14:paraId="25CF7CAB" w14:textId="77777777" w:rsidR="00796979" w:rsidRDefault="00796979" w:rsidP="0047210D">
            <w:pPr>
              <w:spacing w:line="360" w:lineRule="auto"/>
              <w:jc w:val="center"/>
              <w:rPr>
                <w:sz w:val="20"/>
                <w:szCs w:val="20"/>
                <w:u w:val="single"/>
              </w:rPr>
            </w:pPr>
          </w:p>
          <w:p w14:paraId="7115E44F" w14:textId="0FB2445B" w:rsidR="00BE7610" w:rsidRPr="007F45E5" w:rsidRDefault="00BE7610" w:rsidP="0047210D">
            <w:pPr>
              <w:spacing w:line="360" w:lineRule="auto"/>
              <w:jc w:val="center"/>
              <w:rPr>
                <w:sz w:val="20"/>
                <w:szCs w:val="20"/>
                <w:u w:val="single"/>
              </w:rPr>
            </w:pPr>
            <w:r>
              <w:rPr>
                <w:sz w:val="20"/>
                <w:szCs w:val="20"/>
                <w:u w:val="single"/>
              </w:rPr>
              <w:t xml:space="preserve">Total </w:t>
            </w:r>
            <w:r w:rsidR="0047210D">
              <w:rPr>
                <w:sz w:val="20"/>
                <w:szCs w:val="20"/>
                <w:u w:val="single"/>
              </w:rPr>
              <w:t>purchase occasions of</w:t>
            </w:r>
            <w:r w:rsidRPr="007F45E5">
              <w:rPr>
                <w:sz w:val="20"/>
                <w:szCs w:val="20"/>
                <w:u w:val="single"/>
              </w:rPr>
              <w:t xml:space="preserve"> X in the period</w:t>
            </w:r>
          </w:p>
          <w:p w14:paraId="3D78945F" w14:textId="77777777" w:rsidR="00BE7610" w:rsidRDefault="00BE7610" w:rsidP="0047210D">
            <w:pPr>
              <w:spacing w:after="120" w:line="360" w:lineRule="auto"/>
              <w:jc w:val="center"/>
              <w:rPr>
                <w:sz w:val="20"/>
                <w:szCs w:val="20"/>
              </w:rPr>
            </w:pPr>
            <w:r w:rsidRPr="007F45E5">
              <w:rPr>
                <w:sz w:val="20"/>
                <w:szCs w:val="20"/>
              </w:rPr>
              <w:t xml:space="preserve">Total </w:t>
            </w:r>
            <w:r w:rsidR="0047210D">
              <w:rPr>
                <w:sz w:val="20"/>
                <w:szCs w:val="20"/>
              </w:rPr>
              <w:t>category purchases by</w:t>
            </w:r>
            <w:r w:rsidRPr="007F45E5">
              <w:rPr>
                <w:sz w:val="20"/>
                <w:szCs w:val="20"/>
              </w:rPr>
              <w:t xml:space="preserve"> </w:t>
            </w:r>
            <w:r w:rsidR="0047210D">
              <w:rPr>
                <w:sz w:val="20"/>
                <w:szCs w:val="20"/>
              </w:rPr>
              <w:t>buyers of</w:t>
            </w:r>
            <w:r w:rsidRPr="007F45E5">
              <w:rPr>
                <w:sz w:val="20"/>
                <w:szCs w:val="20"/>
              </w:rPr>
              <w:t xml:space="preserve"> X</w:t>
            </w:r>
            <w:r>
              <w:rPr>
                <w:sz w:val="20"/>
                <w:szCs w:val="20"/>
              </w:rPr>
              <w:t xml:space="preserve"> </w:t>
            </w:r>
          </w:p>
          <w:p w14:paraId="705A0109" w14:textId="039AE5DA" w:rsidR="00796979" w:rsidRPr="00BE7610" w:rsidRDefault="00796979" w:rsidP="0047210D">
            <w:pPr>
              <w:spacing w:after="120" w:line="360" w:lineRule="auto"/>
              <w:jc w:val="center"/>
              <w:rPr>
                <w:sz w:val="20"/>
                <w:szCs w:val="20"/>
              </w:rPr>
            </w:pPr>
          </w:p>
        </w:tc>
      </w:tr>
      <w:tr w:rsidR="00BE7610" w14:paraId="3273D473" w14:textId="77777777" w:rsidTr="00DE7B12">
        <w:tc>
          <w:tcPr>
            <w:tcW w:w="4258" w:type="dxa"/>
            <w:vAlign w:val="center"/>
          </w:tcPr>
          <w:p w14:paraId="78C233F9" w14:textId="2334A219" w:rsidR="00BE7610" w:rsidRPr="00BE7610" w:rsidRDefault="00BE7610" w:rsidP="00BE7610">
            <w:pPr>
              <w:spacing w:after="120" w:line="360" w:lineRule="auto"/>
              <w:rPr>
                <w:sz w:val="20"/>
                <w:szCs w:val="20"/>
              </w:rPr>
            </w:pPr>
            <w:r w:rsidRPr="00BE7610">
              <w:rPr>
                <w:sz w:val="20"/>
                <w:szCs w:val="20"/>
              </w:rPr>
              <w:t>(7) Incidence of 100%-loyal buyers</w:t>
            </w:r>
            <w:r>
              <w:rPr>
                <w:sz w:val="20"/>
                <w:szCs w:val="20"/>
              </w:rPr>
              <w:t xml:space="preserve"> =</w:t>
            </w:r>
          </w:p>
        </w:tc>
        <w:tc>
          <w:tcPr>
            <w:tcW w:w="4258" w:type="dxa"/>
            <w:vAlign w:val="center"/>
          </w:tcPr>
          <w:p w14:paraId="2FA5F276" w14:textId="7B2D69D7" w:rsidR="00BE7610" w:rsidRPr="007F45E5" w:rsidRDefault="00BE7610" w:rsidP="0047210D">
            <w:pPr>
              <w:spacing w:line="360" w:lineRule="auto"/>
              <w:jc w:val="center"/>
              <w:rPr>
                <w:sz w:val="20"/>
                <w:szCs w:val="20"/>
                <w:u w:val="single"/>
              </w:rPr>
            </w:pPr>
            <w:r>
              <w:rPr>
                <w:sz w:val="20"/>
                <w:szCs w:val="20"/>
                <w:u w:val="single"/>
              </w:rPr>
              <w:t xml:space="preserve">Total number </w:t>
            </w:r>
            <w:r w:rsidRPr="007F45E5">
              <w:rPr>
                <w:sz w:val="20"/>
                <w:szCs w:val="20"/>
                <w:u w:val="single"/>
              </w:rPr>
              <w:t xml:space="preserve">buying </w:t>
            </w:r>
            <w:r w:rsidR="0047210D">
              <w:rPr>
                <w:sz w:val="20"/>
                <w:szCs w:val="20"/>
                <w:u w:val="single"/>
              </w:rPr>
              <w:t xml:space="preserve">only </w:t>
            </w:r>
            <w:r w:rsidRPr="007F45E5">
              <w:rPr>
                <w:sz w:val="20"/>
                <w:szCs w:val="20"/>
                <w:u w:val="single"/>
              </w:rPr>
              <w:t>X in the period</w:t>
            </w:r>
          </w:p>
          <w:p w14:paraId="4D50DE7A" w14:textId="0C5360BA" w:rsidR="00BE7610" w:rsidRPr="00BE7610" w:rsidRDefault="00BE7610" w:rsidP="0047210D">
            <w:pPr>
              <w:spacing w:after="120" w:line="360" w:lineRule="auto"/>
              <w:jc w:val="center"/>
              <w:rPr>
                <w:sz w:val="20"/>
                <w:szCs w:val="20"/>
              </w:rPr>
            </w:pPr>
            <w:r w:rsidRPr="007F45E5">
              <w:rPr>
                <w:sz w:val="20"/>
                <w:szCs w:val="20"/>
              </w:rPr>
              <w:t>Total buyers of X</w:t>
            </w:r>
            <w:r>
              <w:rPr>
                <w:sz w:val="20"/>
                <w:szCs w:val="20"/>
              </w:rPr>
              <w:t xml:space="preserve"> in the period</w:t>
            </w:r>
          </w:p>
        </w:tc>
      </w:tr>
      <w:tr w:rsidR="00BE7610" w14:paraId="497E8DA8" w14:textId="77777777" w:rsidTr="00DE7B12">
        <w:tc>
          <w:tcPr>
            <w:tcW w:w="4258" w:type="dxa"/>
            <w:vAlign w:val="center"/>
          </w:tcPr>
          <w:p w14:paraId="20AA095C" w14:textId="353B5DF1" w:rsidR="00BE7610" w:rsidRPr="00BE7610" w:rsidRDefault="00BE7610" w:rsidP="00BE7610">
            <w:pPr>
              <w:spacing w:after="120" w:line="360" w:lineRule="auto"/>
              <w:rPr>
                <w:sz w:val="20"/>
                <w:szCs w:val="20"/>
              </w:rPr>
            </w:pPr>
            <w:r w:rsidRPr="00BE7610">
              <w:rPr>
                <w:sz w:val="20"/>
                <w:szCs w:val="20"/>
              </w:rPr>
              <w:t>(8) Average purchase frequency of 100% loyal</w:t>
            </w:r>
            <w:r>
              <w:rPr>
                <w:sz w:val="20"/>
                <w:szCs w:val="20"/>
              </w:rPr>
              <w:t>s =</w:t>
            </w:r>
            <w:r w:rsidRPr="00BE7610">
              <w:rPr>
                <w:sz w:val="20"/>
                <w:szCs w:val="20"/>
              </w:rPr>
              <w:t xml:space="preserve"> </w:t>
            </w:r>
          </w:p>
        </w:tc>
        <w:tc>
          <w:tcPr>
            <w:tcW w:w="4258" w:type="dxa"/>
            <w:vAlign w:val="center"/>
          </w:tcPr>
          <w:p w14:paraId="23EE75ED" w14:textId="77777777" w:rsidR="00796979" w:rsidRDefault="00796979" w:rsidP="0047210D">
            <w:pPr>
              <w:spacing w:line="360" w:lineRule="auto"/>
              <w:jc w:val="center"/>
              <w:rPr>
                <w:sz w:val="20"/>
                <w:szCs w:val="20"/>
                <w:u w:val="single"/>
              </w:rPr>
            </w:pPr>
          </w:p>
          <w:p w14:paraId="75B27A76" w14:textId="745E5C69" w:rsidR="00BE7610" w:rsidRPr="007F45E5" w:rsidRDefault="00BE7610" w:rsidP="0047210D">
            <w:pPr>
              <w:spacing w:line="360" w:lineRule="auto"/>
              <w:jc w:val="center"/>
              <w:rPr>
                <w:sz w:val="20"/>
                <w:szCs w:val="20"/>
                <w:u w:val="single"/>
              </w:rPr>
            </w:pPr>
            <w:r>
              <w:rPr>
                <w:sz w:val="20"/>
                <w:szCs w:val="20"/>
                <w:u w:val="single"/>
              </w:rPr>
              <w:t xml:space="preserve">Total </w:t>
            </w:r>
            <w:r w:rsidR="008135B9">
              <w:rPr>
                <w:sz w:val="20"/>
                <w:szCs w:val="20"/>
                <w:u w:val="single"/>
              </w:rPr>
              <w:t xml:space="preserve">purchases of </w:t>
            </w:r>
            <w:r w:rsidRPr="007F45E5">
              <w:rPr>
                <w:sz w:val="20"/>
                <w:szCs w:val="20"/>
                <w:u w:val="single"/>
              </w:rPr>
              <w:t xml:space="preserve">X </w:t>
            </w:r>
            <w:r w:rsidR="008135B9">
              <w:rPr>
                <w:sz w:val="20"/>
                <w:szCs w:val="20"/>
                <w:u w:val="single"/>
              </w:rPr>
              <w:t>by buyers of X only</w:t>
            </w:r>
          </w:p>
          <w:p w14:paraId="02C4CDB2" w14:textId="77777777" w:rsidR="00BE7610" w:rsidRDefault="008135B9" w:rsidP="008135B9">
            <w:pPr>
              <w:spacing w:line="360" w:lineRule="auto"/>
              <w:jc w:val="center"/>
              <w:rPr>
                <w:sz w:val="20"/>
                <w:szCs w:val="20"/>
              </w:rPr>
            </w:pPr>
            <w:r w:rsidRPr="008135B9">
              <w:rPr>
                <w:sz w:val="20"/>
                <w:szCs w:val="20"/>
              </w:rPr>
              <w:t>Total number buying only X in the period</w:t>
            </w:r>
          </w:p>
          <w:p w14:paraId="3635D023" w14:textId="6A132294" w:rsidR="00796979" w:rsidRPr="008135B9" w:rsidRDefault="00796979" w:rsidP="008135B9">
            <w:pPr>
              <w:spacing w:line="360" w:lineRule="auto"/>
              <w:jc w:val="center"/>
              <w:rPr>
                <w:sz w:val="20"/>
                <w:szCs w:val="20"/>
              </w:rPr>
            </w:pPr>
          </w:p>
        </w:tc>
      </w:tr>
      <w:tr w:rsidR="00BE7610" w14:paraId="2E5AFD95" w14:textId="77777777" w:rsidTr="00DE7B12">
        <w:tc>
          <w:tcPr>
            <w:tcW w:w="4258" w:type="dxa"/>
            <w:vAlign w:val="center"/>
          </w:tcPr>
          <w:p w14:paraId="170D2FB0" w14:textId="26597BC3" w:rsidR="00BE7610" w:rsidRPr="00BE7610" w:rsidRDefault="00BE7610" w:rsidP="00BE7610">
            <w:pPr>
              <w:spacing w:after="120" w:line="360" w:lineRule="auto"/>
              <w:rPr>
                <w:sz w:val="20"/>
                <w:szCs w:val="20"/>
              </w:rPr>
            </w:pPr>
            <w:r w:rsidRPr="00BE7610">
              <w:rPr>
                <w:sz w:val="20"/>
                <w:szCs w:val="20"/>
              </w:rPr>
              <w:t xml:space="preserve">(9) </w:t>
            </w:r>
            <w:r>
              <w:rPr>
                <w:sz w:val="20"/>
                <w:szCs w:val="20"/>
              </w:rPr>
              <w:t>Repeat rate</w:t>
            </w:r>
            <w:r w:rsidRPr="00BE7610">
              <w:rPr>
                <w:sz w:val="20"/>
                <w:szCs w:val="20"/>
              </w:rPr>
              <w:t xml:space="preserve"> </w:t>
            </w:r>
            <w:r>
              <w:rPr>
                <w:sz w:val="20"/>
                <w:szCs w:val="20"/>
              </w:rPr>
              <w:t>(six month to six month) =</w:t>
            </w:r>
          </w:p>
        </w:tc>
        <w:tc>
          <w:tcPr>
            <w:tcW w:w="4258" w:type="dxa"/>
            <w:vAlign w:val="center"/>
          </w:tcPr>
          <w:p w14:paraId="350FB08C" w14:textId="3932424E" w:rsidR="00BE7610" w:rsidRPr="007F45E5" w:rsidRDefault="00BE7610" w:rsidP="00796979">
            <w:pPr>
              <w:spacing w:line="360" w:lineRule="auto"/>
              <w:jc w:val="center"/>
              <w:rPr>
                <w:sz w:val="20"/>
                <w:szCs w:val="20"/>
                <w:u w:val="single"/>
              </w:rPr>
            </w:pPr>
            <w:r>
              <w:rPr>
                <w:sz w:val="20"/>
                <w:szCs w:val="20"/>
                <w:u w:val="single"/>
              </w:rPr>
              <w:t xml:space="preserve">Total number </w:t>
            </w:r>
            <w:r w:rsidRPr="007F45E5">
              <w:rPr>
                <w:sz w:val="20"/>
                <w:szCs w:val="20"/>
                <w:u w:val="single"/>
              </w:rPr>
              <w:t xml:space="preserve">buying X </w:t>
            </w:r>
            <w:r w:rsidR="008135B9">
              <w:rPr>
                <w:sz w:val="20"/>
                <w:szCs w:val="20"/>
                <w:u w:val="single"/>
              </w:rPr>
              <w:t>in period 1&amp; 2</w:t>
            </w:r>
          </w:p>
          <w:p w14:paraId="6FEB3B9E" w14:textId="275B28CD" w:rsidR="00BE7610" w:rsidRPr="00BE7610" w:rsidRDefault="00BE7610" w:rsidP="008135B9">
            <w:pPr>
              <w:spacing w:after="120" w:line="360" w:lineRule="auto"/>
              <w:jc w:val="center"/>
              <w:rPr>
                <w:sz w:val="20"/>
                <w:szCs w:val="20"/>
              </w:rPr>
            </w:pPr>
            <w:r w:rsidRPr="007F45E5">
              <w:rPr>
                <w:sz w:val="20"/>
                <w:szCs w:val="20"/>
              </w:rPr>
              <w:t>Total buyers of X</w:t>
            </w:r>
            <w:r>
              <w:rPr>
                <w:sz w:val="20"/>
                <w:szCs w:val="20"/>
              </w:rPr>
              <w:t xml:space="preserve"> in period</w:t>
            </w:r>
            <w:r w:rsidR="008135B9">
              <w:rPr>
                <w:sz w:val="20"/>
                <w:szCs w:val="20"/>
              </w:rPr>
              <w:t xml:space="preserve"> 1</w:t>
            </w:r>
          </w:p>
        </w:tc>
      </w:tr>
    </w:tbl>
    <w:p w14:paraId="36CAF6BD" w14:textId="68178FCA" w:rsidR="00373487" w:rsidRDefault="00373487" w:rsidP="00EE5C60">
      <w:pPr>
        <w:spacing w:after="120" w:line="360" w:lineRule="auto"/>
      </w:pPr>
    </w:p>
    <w:p w14:paraId="78AAEF4E" w14:textId="0EB37922" w:rsidR="007C0D94" w:rsidRDefault="00F015CD" w:rsidP="00500A13">
      <w:pPr>
        <w:spacing w:line="480" w:lineRule="auto"/>
        <w:rPr>
          <w:i/>
        </w:rPr>
      </w:pPr>
      <w:r>
        <w:rPr>
          <w:i/>
        </w:rPr>
        <w:t xml:space="preserve">3.4 </w:t>
      </w:r>
      <w:r w:rsidR="00EE5C60" w:rsidRPr="00EE5C60">
        <w:rPr>
          <w:i/>
        </w:rPr>
        <w:t xml:space="preserve">Switching </w:t>
      </w:r>
      <w:r w:rsidR="00EE5C60">
        <w:rPr>
          <w:i/>
        </w:rPr>
        <w:t>/ Duplication of Purchase</w:t>
      </w:r>
    </w:p>
    <w:p w14:paraId="386B5C37" w14:textId="79D230D9" w:rsidR="00796979" w:rsidRDefault="00796979" w:rsidP="00500A13">
      <w:pPr>
        <w:spacing w:after="120" w:line="480" w:lineRule="auto"/>
      </w:pPr>
      <w:r w:rsidRPr="00796979">
        <w:t xml:space="preserve">In </w:t>
      </w:r>
      <w:r>
        <w:t xml:space="preserve">markets characterised by </w:t>
      </w:r>
      <w:r w:rsidRPr="00796979">
        <w:t>split-loyal</w:t>
      </w:r>
      <w:r>
        <w:t xml:space="preserve"> buying, the extent to which </w:t>
      </w:r>
      <w:r w:rsidR="00A0088B">
        <w:t>any brand shares its buyers with other rival brands</w:t>
      </w:r>
      <w:r w:rsidR="00500A13">
        <w:t>, and which brands therefore compete more or less intensely</w:t>
      </w:r>
      <w:r w:rsidR="00A0088B">
        <w:t xml:space="preserve"> can be ascertained from a switching matrix</w:t>
      </w:r>
      <w:r w:rsidR="00500A13">
        <w:t>.</w:t>
      </w:r>
      <w:r w:rsidR="00A0088B">
        <w:t xml:space="preserve"> </w:t>
      </w:r>
      <w:r w:rsidR="00E43781">
        <w:t>This can be extracted from panel data and expected values are predicted from Dirichlet output. To establish switching and duplication of buyers, for each brand in the matrix the key metrics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178"/>
      </w:tblGrid>
      <w:tr w:rsidR="00E43781" w14:paraId="2468A722" w14:textId="77777777" w:rsidTr="00DE7B12">
        <w:tc>
          <w:tcPr>
            <w:tcW w:w="7338" w:type="dxa"/>
          </w:tcPr>
          <w:p w14:paraId="185D3BA7" w14:textId="77777777" w:rsidR="00E43781" w:rsidRDefault="00E43781" w:rsidP="00500A13">
            <w:pPr>
              <w:spacing w:after="120" w:line="480" w:lineRule="auto"/>
              <w:rPr>
                <w:sz w:val="20"/>
                <w:szCs w:val="20"/>
              </w:rPr>
            </w:pPr>
            <w:r w:rsidRPr="00E43781">
              <w:rPr>
                <w:sz w:val="20"/>
                <w:szCs w:val="20"/>
              </w:rPr>
              <w:t xml:space="preserve"> </w:t>
            </w:r>
          </w:p>
          <w:p w14:paraId="0B86138B" w14:textId="26D07F6B" w:rsidR="00E43781" w:rsidRPr="00E43781" w:rsidRDefault="00E43781" w:rsidP="00594671">
            <w:pPr>
              <w:spacing w:after="120" w:line="480" w:lineRule="auto"/>
              <w:rPr>
                <w:sz w:val="20"/>
                <w:szCs w:val="20"/>
              </w:rPr>
            </w:pPr>
            <w:r w:rsidRPr="00E43781">
              <w:rPr>
                <w:sz w:val="20"/>
                <w:szCs w:val="20"/>
              </w:rPr>
              <w:t xml:space="preserve">(10) Proportion of the buyers of X who also bought </w:t>
            </w:r>
            <w:r>
              <w:rPr>
                <w:sz w:val="20"/>
                <w:szCs w:val="20"/>
              </w:rPr>
              <w:t>A, B, ….</w:t>
            </w:r>
            <w:r w:rsidR="00594671">
              <w:rPr>
                <w:sz w:val="20"/>
                <w:szCs w:val="20"/>
              </w:rPr>
              <w:t>W, Y,</w:t>
            </w:r>
            <w:r>
              <w:rPr>
                <w:sz w:val="20"/>
                <w:szCs w:val="20"/>
              </w:rPr>
              <w:t xml:space="preserve"> Z in the same period</w:t>
            </w:r>
            <w:r w:rsidRPr="00E43781">
              <w:rPr>
                <w:sz w:val="20"/>
                <w:szCs w:val="20"/>
              </w:rPr>
              <w:t xml:space="preserve"> </w:t>
            </w:r>
            <w:r w:rsidR="003B29B2">
              <w:rPr>
                <w:sz w:val="20"/>
                <w:szCs w:val="20"/>
              </w:rPr>
              <w:lastRenderedPageBreak/>
              <w:t>is a constant</w:t>
            </w:r>
            <w:r w:rsidR="0000404D">
              <w:rPr>
                <w:sz w:val="20"/>
                <w:szCs w:val="20"/>
              </w:rPr>
              <w:t xml:space="preserve"> (D) times the pen</w:t>
            </w:r>
            <w:r w:rsidR="003B29B2">
              <w:rPr>
                <w:sz w:val="20"/>
                <w:szCs w:val="20"/>
              </w:rPr>
              <w:t>e</w:t>
            </w:r>
            <w:r w:rsidR="0000404D">
              <w:rPr>
                <w:sz w:val="20"/>
                <w:szCs w:val="20"/>
              </w:rPr>
              <w:t>tration</w:t>
            </w:r>
            <w:r w:rsidR="00756513">
              <w:rPr>
                <w:sz w:val="20"/>
                <w:szCs w:val="20"/>
              </w:rPr>
              <w:t xml:space="preserve"> </w:t>
            </w:r>
            <w:r w:rsidR="003B29B2">
              <w:rPr>
                <w:sz w:val="20"/>
                <w:szCs w:val="20"/>
              </w:rPr>
              <w:t>of A,B,…W, Y, Z</w:t>
            </w:r>
            <w:r w:rsidR="00756513">
              <w:rPr>
                <w:sz w:val="20"/>
                <w:szCs w:val="20"/>
              </w:rPr>
              <w:t>.  for all brands X.</w:t>
            </w:r>
          </w:p>
        </w:tc>
        <w:tc>
          <w:tcPr>
            <w:tcW w:w="1178" w:type="dxa"/>
          </w:tcPr>
          <w:p w14:paraId="31A86648" w14:textId="77777777" w:rsidR="00E43781" w:rsidRDefault="00E43781" w:rsidP="00500A13">
            <w:pPr>
              <w:spacing w:after="120" w:line="480" w:lineRule="auto"/>
            </w:pPr>
          </w:p>
        </w:tc>
      </w:tr>
    </w:tbl>
    <w:p w14:paraId="44419404" w14:textId="22D84575" w:rsidR="00932F8B" w:rsidRPr="00932F8B" w:rsidRDefault="00932F8B" w:rsidP="00F0545C">
      <w:pPr>
        <w:spacing w:after="120" w:line="480" w:lineRule="auto"/>
        <w:rPr>
          <w:i/>
        </w:rPr>
      </w:pPr>
      <w:r w:rsidRPr="00932F8B">
        <w:rPr>
          <w:i/>
        </w:rPr>
        <w:lastRenderedPageBreak/>
        <w:t>3.5 Analysis</w:t>
      </w:r>
    </w:p>
    <w:p w14:paraId="31FA6B2A" w14:textId="77777777" w:rsidR="00F81081" w:rsidRDefault="000F7C39" w:rsidP="00F0545C">
      <w:pPr>
        <w:spacing w:after="120" w:line="480" w:lineRule="auto"/>
      </w:pPr>
      <w:r>
        <w:t xml:space="preserve">The ten performance metrics were extracted from the panel datasets for every brand in each category, and tabulated. </w:t>
      </w:r>
      <w:r w:rsidR="00CB76D7" w:rsidRPr="00D07677">
        <w:t xml:space="preserve">A Dirichlet model was </w:t>
      </w:r>
      <w:r w:rsidR="00EE5C60">
        <w:t xml:space="preserve">then </w:t>
      </w:r>
      <w:r w:rsidR="00CB76D7" w:rsidRPr="00D07677">
        <w:t xml:space="preserve">fitted to each </w:t>
      </w:r>
      <w:r w:rsidR="00A20C4B">
        <w:t>product field</w:t>
      </w:r>
      <w:r w:rsidR="00EE5C60" w:rsidRPr="00EE5C60">
        <w:t xml:space="preserve"> </w:t>
      </w:r>
      <w:r w:rsidR="00EE5C60">
        <w:t>using</w:t>
      </w:r>
      <w:r w:rsidR="00EE5C60" w:rsidRPr="00D07677">
        <w:t xml:space="preserve"> the spreadsheet-based software written by Kearns (Bound</w:t>
      </w:r>
      <w:r w:rsidR="00A20C4B">
        <w:t>,</w:t>
      </w:r>
      <w:r w:rsidR="00EE5C60" w:rsidRPr="00D07677">
        <w:t xml:space="preserve"> 200</w:t>
      </w:r>
      <w:r w:rsidR="00EE5C60">
        <w:t>3</w:t>
      </w:r>
      <w:r w:rsidR="00EE5C60" w:rsidRPr="00D07677">
        <w:t>)</w:t>
      </w:r>
      <w:r w:rsidR="00720271">
        <w:t>,</w:t>
      </w:r>
      <w:r w:rsidR="00EE5C60" w:rsidRPr="00937981">
        <w:t xml:space="preserve"> </w:t>
      </w:r>
      <w:r w:rsidR="00EE5C60">
        <w:t>following</w:t>
      </w:r>
      <w:r w:rsidR="00EE5C60" w:rsidRPr="00937981">
        <w:t xml:space="preserve"> the procedures outlined </w:t>
      </w:r>
      <w:r w:rsidR="00F81081">
        <w:t xml:space="preserve">in Ehrenberg (1988, </w:t>
      </w:r>
      <w:r w:rsidR="00EE5C60" w:rsidRPr="00DE7B12">
        <w:t>Appendix C</w:t>
      </w:r>
      <w:r w:rsidR="00F81081">
        <w:t>)</w:t>
      </w:r>
      <w:r w:rsidR="00A20C4B" w:rsidRPr="00DE7B12">
        <w:t xml:space="preserve">. </w:t>
      </w:r>
      <w:r w:rsidR="00F81081" w:rsidRPr="00DE7B12">
        <w:t>The software makes this process straightforward for practitioners and academics</w:t>
      </w:r>
      <w:r w:rsidR="00F81081">
        <w:t xml:space="preserve"> alike.</w:t>
      </w:r>
    </w:p>
    <w:p w14:paraId="794FEC4D" w14:textId="4122C5D9" w:rsidR="00125211" w:rsidRPr="00DE7B12" w:rsidRDefault="00F81081" w:rsidP="00F0545C">
      <w:pPr>
        <w:spacing w:after="120" w:line="480" w:lineRule="auto"/>
      </w:pPr>
      <w:r>
        <w:t>Each</w:t>
      </w:r>
      <w:r w:rsidRPr="00DE7B12">
        <w:t xml:space="preserve"> </w:t>
      </w:r>
      <w:r w:rsidR="008C0914" w:rsidRPr="00DE7B12">
        <w:t xml:space="preserve">model </w:t>
      </w:r>
      <w:r>
        <w:t>was</w:t>
      </w:r>
      <w:r w:rsidRPr="00DE7B12">
        <w:t xml:space="preserve"> </w:t>
      </w:r>
      <w:r w:rsidR="008C0914" w:rsidRPr="00DE7B12">
        <w:t xml:space="preserve">calibrated using </w:t>
      </w:r>
      <w:r w:rsidR="00B36BDC" w:rsidRPr="00DE7B12">
        <w:t xml:space="preserve">the penetration and frequency for the category (B and W) and the penetration and frequency of brands (b and w).  In </w:t>
      </w:r>
      <w:r w:rsidR="00932F8B">
        <w:t>this</w:t>
      </w:r>
      <w:r w:rsidR="00932F8B" w:rsidRPr="00DE7B12">
        <w:t xml:space="preserve"> </w:t>
      </w:r>
      <w:r w:rsidR="00932F8B">
        <w:t>analysis</w:t>
      </w:r>
      <w:r w:rsidR="00932F8B" w:rsidRPr="00DE7B12">
        <w:t xml:space="preserve"> </w:t>
      </w:r>
      <w:r w:rsidR="00B36BDC" w:rsidRPr="00DE7B12">
        <w:t xml:space="preserve">we used all the brands as input, but calibration can be done using one or more.  </w:t>
      </w:r>
      <w:r w:rsidR="00932F8B">
        <w:t>The</w:t>
      </w:r>
      <w:r w:rsidR="00B36BDC" w:rsidRPr="00DE7B12">
        <w:t xml:space="preserve"> software uses B and W to estimate an NBD distribution for category</w:t>
      </w:r>
      <w:r w:rsidR="00932F8B">
        <w:t xml:space="preserve"> purchase heterogeneity</w:t>
      </w:r>
      <w:r w:rsidR="00B36BDC" w:rsidRPr="00DE7B12">
        <w:t xml:space="preserve">, and the b and w </w:t>
      </w:r>
      <w:r w:rsidR="00932F8B">
        <w:t xml:space="preserve">of the brands </w:t>
      </w:r>
      <w:r w:rsidR="00B36BDC" w:rsidRPr="00DE7B12">
        <w:t xml:space="preserve">to estimate </w:t>
      </w:r>
      <w:r w:rsidR="00545914" w:rsidRPr="00DE7B12">
        <w:t xml:space="preserve">the Dirichlet </w:t>
      </w:r>
      <w:r w:rsidR="00932F8B">
        <w:t>S</w:t>
      </w:r>
      <w:r w:rsidR="00932F8B" w:rsidRPr="00DE7B12">
        <w:t xml:space="preserve"> </w:t>
      </w:r>
      <w:r w:rsidR="00545914" w:rsidRPr="00DE7B12">
        <w:t>parameter</w:t>
      </w:r>
      <w:r w:rsidR="006238D2" w:rsidRPr="00DE7B12">
        <w:t>, broadly a measure of overall multi-brand buying in the category.</w:t>
      </w:r>
      <w:r w:rsidR="00C063DE" w:rsidRPr="00DE7B12">
        <w:t xml:space="preserve"> </w:t>
      </w:r>
      <w:r w:rsidR="00042640" w:rsidRPr="00DE7B12">
        <w:t xml:space="preserve">The </w:t>
      </w:r>
      <w:r w:rsidR="00932F8B">
        <w:t>mixed distributions in the model</w:t>
      </w:r>
      <w:r w:rsidR="00932F8B" w:rsidRPr="00DE7B12">
        <w:t xml:space="preserve"> </w:t>
      </w:r>
      <w:r w:rsidR="00042640" w:rsidRPr="00DE7B12">
        <w:t>then estimate the purchase distribution for the brands, and so the performance metrics. Model estimates can be produced for a brand of any share, and for any time period as well as the one used in fitting.</w:t>
      </w:r>
      <w:r w:rsidR="00756513" w:rsidRPr="00DE7B12">
        <w:t xml:space="preserve"> </w:t>
      </w:r>
    </w:p>
    <w:p w14:paraId="6C1DB3C0" w14:textId="6D3E5179" w:rsidR="00926785" w:rsidRDefault="00F81081" w:rsidP="00F0545C">
      <w:pPr>
        <w:spacing w:after="120" w:line="480" w:lineRule="auto"/>
      </w:pPr>
      <w:r>
        <w:t xml:space="preserve">Finally, </w:t>
      </w:r>
      <w:r w:rsidR="00A20C4B" w:rsidRPr="00DE7B12">
        <w:t xml:space="preserve">Dirichlet </w:t>
      </w:r>
      <w:r w:rsidR="00CB76D7" w:rsidRPr="00DE7B12">
        <w:t xml:space="preserve">estimates </w:t>
      </w:r>
      <w:r>
        <w:t>(</w:t>
      </w:r>
      <w:r w:rsidRPr="00F81081">
        <w:rPr>
          <w:b/>
        </w:rPr>
        <w:t>T</w:t>
      </w:r>
      <w:r>
        <w:t xml:space="preserve">) </w:t>
      </w:r>
      <w:r w:rsidR="00CB76D7" w:rsidRPr="00DE7B12">
        <w:t xml:space="preserve">for all </w:t>
      </w:r>
      <w:r w:rsidR="008A1268" w:rsidRPr="00DE7B12">
        <w:t xml:space="preserve">ten </w:t>
      </w:r>
      <w:r w:rsidR="00CB76D7" w:rsidRPr="00DE7B12">
        <w:t>metrics</w:t>
      </w:r>
      <w:r w:rsidR="00A20C4B" w:rsidRPr="00DE7B12">
        <w:t xml:space="preserve"> were tabulated against </w:t>
      </w:r>
      <w:r>
        <w:t xml:space="preserve">the </w:t>
      </w:r>
      <w:r w:rsidR="00A20C4B" w:rsidRPr="00DE7B12">
        <w:t>observations</w:t>
      </w:r>
      <w:r>
        <w:t xml:space="preserve"> (O)</w:t>
      </w:r>
      <w:r w:rsidR="00A20C4B" w:rsidRPr="00DE7B12">
        <w:t xml:space="preserve"> </w:t>
      </w:r>
      <w:r>
        <w:t>and variances calculated for evaluation. The results are presented in the next section.</w:t>
      </w:r>
    </w:p>
    <w:p w14:paraId="5658102F" w14:textId="77777777" w:rsidR="006E6E3D" w:rsidRDefault="006E6E3D" w:rsidP="00F0545C">
      <w:pPr>
        <w:spacing w:after="120" w:line="480" w:lineRule="auto"/>
      </w:pPr>
    </w:p>
    <w:p w14:paraId="0B71CCF8" w14:textId="77777777" w:rsidR="006E6E3D" w:rsidRDefault="006E6E3D" w:rsidP="00F0545C">
      <w:pPr>
        <w:spacing w:after="120" w:line="480" w:lineRule="auto"/>
      </w:pPr>
    </w:p>
    <w:p w14:paraId="1AE2E580" w14:textId="77777777" w:rsidR="006E768F" w:rsidRDefault="006E768F" w:rsidP="006E768F">
      <w:pPr>
        <w:spacing w:after="120" w:line="480" w:lineRule="auto"/>
        <w:rPr>
          <w:b/>
        </w:rPr>
      </w:pPr>
      <w:r w:rsidRPr="00A67FD5">
        <w:rPr>
          <w:b/>
        </w:rPr>
        <w:t>4. Results</w:t>
      </w:r>
    </w:p>
    <w:p w14:paraId="0D8B203E" w14:textId="77777777" w:rsidR="006E768F" w:rsidRPr="006F15EF" w:rsidRDefault="006E768F" w:rsidP="006E768F">
      <w:pPr>
        <w:spacing w:after="120" w:line="480" w:lineRule="auto"/>
        <w:outlineLvl w:val="0"/>
        <w:rPr>
          <w:i/>
          <w:color w:val="FF0000"/>
        </w:rPr>
      </w:pPr>
      <w:r w:rsidRPr="006F15EF">
        <w:rPr>
          <w:i/>
        </w:rPr>
        <w:t xml:space="preserve">4.1 Overall Summary Statistics </w:t>
      </w:r>
    </w:p>
    <w:p w14:paraId="2D609B9A" w14:textId="77777777" w:rsidR="006E768F" w:rsidRPr="00D07677" w:rsidRDefault="006E768F" w:rsidP="006E768F">
      <w:pPr>
        <w:spacing w:after="120" w:line="480" w:lineRule="auto"/>
      </w:pPr>
      <w:r w:rsidRPr="00937981">
        <w:lastRenderedPageBreak/>
        <w:t xml:space="preserve">Table 1 shows the average, range (min and max), and MAD (mean absolute deviation from mean) across all </w:t>
      </w:r>
      <w:r>
        <w:t>1238</w:t>
      </w:r>
      <w:r w:rsidRPr="00937981">
        <w:t xml:space="preserve"> brands for the </w:t>
      </w:r>
      <w:r>
        <w:t>first nine</w:t>
      </w:r>
      <w:r w:rsidRPr="00937981">
        <w:t xml:space="preserve"> metrics analysed </w:t>
      </w:r>
      <w:r>
        <w:t>in</w:t>
      </w:r>
      <w:r w:rsidRPr="00937981">
        <w:t xml:space="preserve"> observed (O) and model</w:t>
      </w:r>
      <w:r w:rsidRPr="006307F7">
        <w:t>l</w:t>
      </w:r>
      <w:r w:rsidRPr="00D07677">
        <w:t>ed (</w:t>
      </w:r>
      <w:r w:rsidRPr="00D07677">
        <w:rPr>
          <w:b/>
        </w:rPr>
        <w:t xml:space="preserve">T </w:t>
      </w:r>
      <w:r w:rsidRPr="007752BD">
        <w:t>for Theor</w:t>
      </w:r>
      <w:r>
        <w:t>etical</w:t>
      </w:r>
      <w:r w:rsidRPr="00D07677">
        <w:rPr>
          <w:b/>
        </w:rPr>
        <w:t>)</w:t>
      </w:r>
      <w:r w:rsidRPr="00D07677">
        <w:t xml:space="preserve"> data</w:t>
      </w:r>
      <w:r>
        <w:t xml:space="preserve">. </w:t>
      </w:r>
      <w:r w:rsidRPr="00D07677">
        <w:t xml:space="preserve">It also shows the average </w:t>
      </w:r>
      <w:r>
        <w:t>percentage</w:t>
      </w:r>
      <w:r w:rsidRPr="00D07677">
        <w:t xml:space="preserve"> deviation and the rank correlation between observed and model</w:t>
      </w:r>
      <w:r w:rsidRPr="006307F7">
        <w:t>l</w:t>
      </w:r>
      <w:r w:rsidRPr="00D07677">
        <w:t>ed.</w:t>
      </w:r>
      <w:r w:rsidRPr="00594671">
        <w:t xml:space="preserve"> </w:t>
      </w:r>
      <w:r>
        <w:t>Brand switching is considered separately in Section 4.5.</w:t>
      </w:r>
    </w:p>
    <w:p w14:paraId="6E3E3BCF" w14:textId="77777777" w:rsidR="006E768F" w:rsidRDefault="006E768F" w:rsidP="006E768F">
      <w:pPr>
        <w:spacing w:after="120" w:line="480" w:lineRule="auto"/>
      </w:pPr>
      <w:r w:rsidRPr="00D07677">
        <w:t xml:space="preserve">From </w:t>
      </w:r>
      <w:r>
        <w:t>Table</w:t>
      </w:r>
      <w:r w:rsidRPr="00D07677">
        <w:t xml:space="preserve"> </w:t>
      </w:r>
      <w:r>
        <w:t xml:space="preserve">1 </w:t>
      </w:r>
      <w:r w:rsidRPr="00D07677">
        <w:t xml:space="preserve">we can see that the observations cover a very wide range, with the majority </w:t>
      </w:r>
      <w:r>
        <w:t xml:space="preserve">being </w:t>
      </w:r>
      <w:r w:rsidRPr="00D07677">
        <w:t xml:space="preserve">for small brands (indicated by </w:t>
      </w:r>
      <w:r>
        <w:t>a mean</w:t>
      </w:r>
      <w:r w:rsidRPr="00D07677">
        <w:t xml:space="preserve"> penetration of only 7%).  The model fits well overall, being mainly unbiased (observed and theoretical means are roughly equal), with high rank correlations and with mean spread in line w</w:t>
      </w:r>
      <w:r>
        <w:t>ith observations.  However,</w:t>
      </w:r>
      <w:r w:rsidRPr="00D07677">
        <w:t xml:space="preserve"> at this aggregated level we can see that the</w:t>
      </w:r>
      <w:r>
        <w:t xml:space="preserve"> model is biased for some measures (means of model and observed are not the same). The model over-predicts repeat-buying by an average of 26%</w:t>
      </w:r>
      <w:r w:rsidRPr="00D07677">
        <w:t xml:space="preserve"> and </w:t>
      </w:r>
      <w:r>
        <w:t>under-predicts</w:t>
      </w:r>
      <w:r w:rsidRPr="00D07677">
        <w:t xml:space="preserve"> the purchase frequency of 100%-loyal buyers</w:t>
      </w:r>
      <w:r>
        <w:t xml:space="preserve"> by 1.4 purchases</w:t>
      </w:r>
      <w:r w:rsidRPr="00D07677">
        <w:t>.  We can also see a few more once only buyers</w:t>
      </w:r>
      <w:r>
        <w:t xml:space="preserve"> (53% model v 60% observed)</w:t>
      </w:r>
      <w:r w:rsidRPr="00D07677">
        <w:t>, and fewer heavy</w:t>
      </w:r>
      <w:r>
        <w:t xml:space="preserve"> buyers than predicted (15% model v 13% observed for 5+ buying). These findings confirm and quantify the extent at the brand level of the four systematic Dirichlet deviations discussed in section 2.</w:t>
      </w:r>
    </w:p>
    <w:p w14:paraId="64895E5F" w14:textId="77777777" w:rsidR="006E768F" w:rsidRDefault="006E768F" w:rsidP="006E768F">
      <w:pPr>
        <w:jc w:val="center"/>
      </w:pPr>
      <w:r>
        <w:rPr>
          <w:noProof/>
        </w:rPr>
        <w:t>---------------------</w:t>
      </w:r>
    </w:p>
    <w:p w14:paraId="04F64B31" w14:textId="77777777" w:rsidR="006E768F" w:rsidRDefault="006E768F" w:rsidP="006E768F">
      <w:pPr>
        <w:jc w:val="center"/>
      </w:pPr>
      <w:r>
        <w:t>Table 1 about here</w:t>
      </w:r>
    </w:p>
    <w:p w14:paraId="77AF40C2" w14:textId="77777777" w:rsidR="006E768F" w:rsidRDefault="006E768F" w:rsidP="006E768F">
      <w:pPr>
        <w:jc w:val="center"/>
      </w:pPr>
      <w:r>
        <w:rPr>
          <w:noProof/>
        </w:rPr>
        <w:t>---------------------</w:t>
      </w:r>
    </w:p>
    <w:p w14:paraId="195447E4" w14:textId="77777777" w:rsidR="006E768F" w:rsidRPr="00D07677" w:rsidRDefault="006E768F" w:rsidP="006E768F">
      <w:pPr>
        <w:spacing w:after="120" w:line="480" w:lineRule="auto"/>
        <w:rPr>
          <w:b/>
          <w:u w:val="single"/>
        </w:rPr>
      </w:pPr>
    </w:p>
    <w:p w14:paraId="5156C194" w14:textId="77777777" w:rsidR="006E768F" w:rsidRDefault="006E768F" w:rsidP="006E768F">
      <w:pPr>
        <w:spacing w:after="120" w:line="480" w:lineRule="auto"/>
      </w:pPr>
      <w:r>
        <w:t xml:space="preserve">Some variability, especially for small brands, will be the result of sampling errors.  The panel sample size in each case is around 10,000, which gives substantial subsamples for big brands to report depth of buying (a 10% penetration brand will have 1,000 buyers and around 150 5+ buyers: a 5% brand half that), but substantial sampling variability remains for the smaller brands. For example, 220 of the brands </w:t>
      </w:r>
      <w:r>
        <w:lastRenderedPageBreak/>
        <w:t xml:space="preserve">had penetrations of less than 1%, i.e. about 100 buyers in the panel, with an expectation of only fifteen 5+ buyers.  </w:t>
      </w:r>
      <w:r w:rsidRPr="009235A5">
        <w:t xml:space="preserve">In </w:t>
      </w:r>
      <w:r>
        <w:t xml:space="preserve">Dirichlet </w:t>
      </w:r>
      <w:r w:rsidRPr="009235A5">
        <w:t xml:space="preserve">analysis, it is </w:t>
      </w:r>
      <w:r>
        <w:t xml:space="preserve">however </w:t>
      </w:r>
      <w:r w:rsidRPr="009235A5">
        <w:t>the general patterns across a number of brands that we look at to establish main effects</w:t>
      </w:r>
      <w:r>
        <w:t>,</w:t>
      </w:r>
      <w:r w:rsidRPr="009235A5">
        <w:t xml:space="preserve"> rather than individual significance, such that we can establish </w:t>
      </w:r>
      <w:r>
        <w:t xml:space="preserve">the persistence of </w:t>
      </w:r>
      <w:r w:rsidRPr="009235A5">
        <w:t>deviations if they are regularly revealed across many data sets (Kennedy</w:t>
      </w:r>
      <w:r>
        <w:t xml:space="preserve"> </w:t>
      </w:r>
      <w:r w:rsidRPr="009B6621">
        <w:rPr>
          <w:i/>
        </w:rPr>
        <w:t>et al.,</w:t>
      </w:r>
      <w:r w:rsidRPr="009235A5">
        <w:t xml:space="preserve"> 2014).</w:t>
      </w:r>
      <w:r>
        <w:t xml:space="preserve"> We demonstrate the principle, describing the deviations seen in the buying of 100% brand loyal consumers of the Laundry Detergent category across large and small brands. </w:t>
      </w:r>
    </w:p>
    <w:p w14:paraId="084D3D1C" w14:textId="77777777" w:rsidR="006E768F" w:rsidRPr="009235A5" w:rsidRDefault="006E768F" w:rsidP="006E768F">
      <w:pPr>
        <w:spacing w:after="120" w:line="480" w:lineRule="auto"/>
      </w:pPr>
    </w:p>
    <w:p w14:paraId="162E15B2" w14:textId="77777777" w:rsidR="006E768F" w:rsidRPr="00EE1056" w:rsidRDefault="006E768F" w:rsidP="006E768F">
      <w:pPr>
        <w:spacing w:after="120" w:line="480" w:lineRule="auto"/>
        <w:outlineLvl w:val="0"/>
        <w:rPr>
          <w:i/>
        </w:rPr>
      </w:pPr>
      <w:r>
        <w:rPr>
          <w:i/>
        </w:rPr>
        <w:t xml:space="preserve">4.2 Systematic Dirichlet deviations and </w:t>
      </w:r>
      <w:r w:rsidRPr="00EE1056">
        <w:rPr>
          <w:i/>
        </w:rPr>
        <w:t xml:space="preserve">100% </w:t>
      </w:r>
      <w:r>
        <w:rPr>
          <w:i/>
        </w:rPr>
        <w:t>l</w:t>
      </w:r>
      <w:r w:rsidRPr="00EE1056">
        <w:rPr>
          <w:i/>
        </w:rPr>
        <w:t>oyal</w:t>
      </w:r>
      <w:r>
        <w:rPr>
          <w:i/>
        </w:rPr>
        <w:t xml:space="preserve"> buying metrics</w:t>
      </w:r>
      <w:r w:rsidRPr="00EE1056">
        <w:rPr>
          <w:i/>
        </w:rPr>
        <w:t xml:space="preserve"> </w:t>
      </w:r>
    </w:p>
    <w:p w14:paraId="0102FBD3" w14:textId="77777777" w:rsidR="006E768F" w:rsidRDefault="006E768F" w:rsidP="006E768F">
      <w:pPr>
        <w:spacing w:after="120" w:line="480" w:lineRule="auto"/>
        <w:outlineLvl w:val="0"/>
      </w:pPr>
      <w:r>
        <w:t>There is no evidence that large brands consistently outperform their competitors on the basis of having a much larger than expected base of very loyal consumers. Every brand will have few buyers who buy that brand and no other (100% loyals) given a time period with opportunity to make repurchases</w:t>
      </w:r>
      <w:r w:rsidRPr="002E2718">
        <w:t xml:space="preserve"> </w:t>
      </w:r>
      <w:r>
        <w:t xml:space="preserve">(Ehrenberg </w:t>
      </w:r>
      <w:r w:rsidRPr="002E2718">
        <w:rPr>
          <w:i/>
        </w:rPr>
        <w:t>et al.,</w:t>
      </w:r>
      <w:r>
        <w:t xml:space="preserve"> 2004). In a year these 100% loyals will typically make up between 10 and 20% of buyers, but buy it about as frequently as an average user. The 100% loyals are not heavy buyers of the brand, which therefore makes them light buyers of the category - they do not buy any other brand by definition.  There is a Double Jeopardy pattern in the numbers too; bigger brands have more 100%-loyals, but for all brands over longer periods and more opportunities to switch, the incidence of 100%-loyals decreases markedly. </w:t>
      </w:r>
    </w:p>
    <w:p w14:paraId="6A837CEE" w14:textId="77777777" w:rsidR="006E768F" w:rsidRDefault="006E768F" w:rsidP="006E768F">
      <w:pPr>
        <w:spacing w:after="120" w:line="480" w:lineRule="auto"/>
        <w:outlineLvl w:val="0"/>
      </w:pPr>
      <w:r>
        <w:t xml:space="preserve">The summary statistics showed that the Dirichlet under-predicted sole loyalty measures of penetration by about 20% and purchase frequency by about one and a half occasions (almost half the observed rate). Table 2 illustrates how both patterns, in the empirical generalisation and in the deviations, in fact appear to be systematic across big and small brands in a typical product category, automatic washing </w:t>
      </w:r>
      <w:r>
        <w:lastRenderedPageBreak/>
        <w:t>products, despite the considerable potential sampling error seen in the metrics for one and two per cent share brands.  It is also clear to see that there is more variability in the penetration of 100% loyals than in their purchase frequencies.</w:t>
      </w:r>
    </w:p>
    <w:p w14:paraId="515CA7E7" w14:textId="77777777" w:rsidR="006E768F" w:rsidRDefault="006E768F" w:rsidP="006E768F">
      <w:pPr>
        <w:jc w:val="center"/>
      </w:pPr>
      <w:r>
        <w:rPr>
          <w:noProof/>
        </w:rPr>
        <w:t>---------------------</w:t>
      </w:r>
    </w:p>
    <w:p w14:paraId="6AA22E5E" w14:textId="151EC5FE" w:rsidR="006E768F" w:rsidRDefault="006E768F" w:rsidP="006E768F">
      <w:pPr>
        <w:jc w:val="center"/>
      </w:pPr>
      <w:r>
        <w:t>Table 2 about here</w:t>
      </w:r>
    </w:p>
    <w:p w14:paraId="6AD9CA1A" w14:textId="77777777" w:rsidR="006E768F" w:rsidRPr="00162B4D" w:rsidRDefault="006E768F" w:rsidP="006E768F">
      <w:pPr>
        <w:jc w:val="center"/>
      </w:pPr>
      <w:r>
        <w:rPr>
          <w:noProof/>
        </w:rPr>
        <w:t>---------------------</w:t>
      </w:r>
    </w:p>
    <w:p w14:paraId="402B2E3F" w14:textId="77777777" w:rsidR="006E768F" w:rsidRPr="00D07677" w:rsidRDefault="006E768F" w:rsidP="006E768F">
      <w:pPr>
        <w:spacing w:after="120" w:line="360" w:lineRule="auto"/>
        <w:rPr>
          <w:b/>
          <w:sz w:val="20"/>
          <w:u w:val="single"/>
        </w:rPr>
      </w:pPr>
    </w:p>
    <w:p w14:paraId="539A08D1" w14:textId="77777777" w:rsidR="006E768F" w:rsidRPr="008D4039" w:rsidRDefault="006E768F" w:rsidP="006E768F">
      <w:pPr>
        <w:spacing w:after="120" w:line="480" w:lineRule="auto"/>
        <w:jc w:val="both"/>
        <w:rPr>
          <w:i/>
        </w:rPr>
      </w:pPr>
      <w:r w:rsidRPr="008D4039">
        <w:rPr>
          <w:i/>
        </w:rPr>
        <w:t>4.3 Non-</w:t>
      </w:r>
      <w:r>
        <w:rPr>
          <w:i/>
        </w:rPr>
        <w:t>s</w:t>
      </w:r>
      <w:r w:rsidRPr="008D4039">
        <w:rPr>
          <w:i/>
        </w:rPr>
        <w:t>tationarity in repeat buying</w:t>
      </w:r>
      <w:r>
        <w:rPr>
          <w:i/>
        </w:rPr>
        <w:t xml:space="preserve">. </w:t>
      </w:r>
    </w:p>
    <w:p w14:paraId="57512346" w14:textId="02441F21" w:rsidR="006E768F" w:rsidRDefault="006E768F" w:rsidP="006E768F">
      <w:pPr>
        <w:spacing w:after="120" w:line="480" w:lineRule="auto"/>
        <w:outlineLvl w:val="0"/>
      </w:pPr>
      <w:r>
        <w:t xml:space="preserve">The </w:t>
      </w:r>
      <w:r w:rsidR="00270BAF">
        <w:t xml:space="preserve">existence of slightly more </w:t>
      </w:r>
      <w:r w:rsidR="005A5FAA">
        <w:t xml:space="preserve">once only </w:t>
      </w:r>
      <w:r w:rsidR="00270BAF">
        <w:t>buyers than predicted</w:t>
      </w:r>
      <w:r>
        <w:t xml:space="preserve"> seen in Table 1 would be expected to </w:t>
      </w:r>
      <w:r w:rsidR="004A709D">
        <w:t>be reflected</w:t>
      </w:r>
      <w:r>
        <w:t xml:space="preserve"> also in </w:t>
      </w:r>
      <w:r w:rsidR="000001D3">
        <w:t>lower</w:t>
      </w:r>
      <w:r>
        <w:t xml:space="preserve"> </w:t>
      </w:r>
      <w:r w:rsidR="000001D3">
        <w:t xml:space="preserve">than predicted </w:t>
      </w:r>
      <w:r>
        <w:t xml:space="preserve">period-to-period repeat, the percentage of buyers in one period who repurchase in a non-overlapping period of equal length, e.g. month-to-month, quarter-to-quarter, year-to-year. It does – a deficit of 26% between </w:t>
      </w:r>
      <w:r w:rsidR="000001D3">
        <w:t xml:space="preserve">consecutive </w:t>
      </w:r>
      <w:r>
        <w:t>six-month periods</w:t>
      </w:r>
      <w:r w:rsidR="000001D3">
        <w:t>.</w:t>
      </w:r>
    </w:p>
    <w:p w14:paraId="5EC31D1A" w14:textId="77777777" w:rsidR="006E768F" w:rsidRDefault="006E768F" w:rsidP="006E768F">
      <w:pPr>
        <w:spacing w:after="120" w:line="480" w:lineRule="auto"/>
        <w:outlineLvl w:val="0"/>
      </w:pPr>
      <w:r>
        <w:t>A deficit was found for most brands, and particularly small ones. Data for 12 weeks (not shown) also had a shortfall in repeat, but at only half the level.  Conversely, for four-week periods the repeat level is slightly higher than predicted by 10%. In shorter periods, four-week data</w:t>
      </w:r>
      <w:r w:rsidRPr="001A6D65">
        <w:t xml:space="preserve">, brand marketing-mix effects such as price promotions </w:t>
      </w:r>
      <w:r>
        <w:t>can</w:t>
      </w:r>
      <w:r w:rsidRPr="001A6D65">
        <w:t xml:space="preserve"> become more pronounced, while a few very heavy buyers </w:t>
      </w:r>
      <w:r>
        <w:t>can</w:t>
      </w:r>
      <w:r w:rsidRPr="001A6D65">
        <w:t xml:space="preserve"> also skew </w:t>
      </w:r>
      <w:r>
        <w:t>observations slightly beyond estimates, but over longer periods this</w:t>
      </w:r>
      <w:r w:rsidRPr="001A6D65">
        <w:t xml:space="preserve"> deviation </w:t>
      </w:r>
      <w:r>
        <w:t xml:space="preserve">results from </w:t>
      </w:r>
      <w:r w:rsidRPr="001A6D65">
        <w:t xml:space="preserve">a constant underlying market dynamic, </w:t>
      </w:r>
      <w:r>
        <w:t>the</w:t>
      </w:r>
      <w:r w:rsidRPr="001A6D65">
        <w:t xml:space="preserve"> erosion of repeat purchase loyalty (</w:t>
      </w:r>
      <w:r>
        <w:t xml:space="preserve">Ehrenberg, 1988; </w:t>
      </w:r>
      <w:r w:rsidRPr="001A6D65">
        <w:t>East and Hammond, 1996)</w:t>
      </w:r>
      <w:r>
        <w:t xml:space="preserve">, also </w:t>
      </w:r>
      <w:r w:rsidRPr="001A6D65">
        <w:t>known as the “leaky bucket”</w:t>
      </w:r>
      <w:r>
        <w:t xml:space="preserve">. </w:t>
      </w:r>
    </w:p>
    <w:p w14:paraId="7E406521" w14:textId="77777777" w:rsidR="006E768F" w:rsidRDefault="006E768F" w:rsidP="006E768F">
      <w:pPr>
        <w:spacing w:after="120" w:line="480" w:lineRule="auto"/>
        <w:outlineLvl w:val="0"/>
      </w:pPr>
      <w:r>
        <w:t xml:space="preserve">The stationarity assumption specifies that sales remain strictly constant over consecutive fixed periods, and that the same number of buyers purchase at the same average rate in each. In practice, most markets are like this, even over long periods (Dekimpe &amp; Hanssens, 1995). In a stationary category there is a huge pool of consumers. Over consecutive periods, say quarters, many will become buyers of a </w:t>
      </w:r>
      <w:r>
        <w:lastRenderedPageBreak/>
        <w:t xml:space="preserve">particular brand. In every quarter if a bucket (defining the steady market share) were to be dunked in, it would come out full with a mixture of the brand’s buyers, some repeating from the previous period others from many periods before and some appearing for the first time. The Dirichlet predicts that in every quarter the mix of buyers in that bucket will always contain the same fixed </w:t>
      </w:r>
      <w:r w:rsidRPr="006C44FD">
        <w:t>proportion</w:t>
      </w:r>
      <w:r>
        <w:t xml:space="preserve"> of repeating buyers from any prior quarter. </w:t>
      </w:r>
    </w:p>
    <w:p w14:paraId="07749868" w14:textId="77777777" w:rsidR="006E768F" w:rsidRDefault="006E768F" w:rsidP="006E768F">
      <w:pPr>
        <w:spacing w:after="120" w:line="480" w:lineRule="auto"/>
        <w:outlineLvl w:val="0"/>
      </w:pPr>
      <w:r>
        <w:t xml:space="preserve">However, if a group of brand buyers from one quarter are identified and followed over subsequent quarters then the bucket appears to spring a leak: the proportion of buyers from that first quarter in every subsequent bucket should in theory hold steady but in practice it begins to erode away incrementally. At the same time the leak is topped up with other buyers to fill the bucket so penetration remains stable and superficially, brand performance is held broadly stationary. Share, penetration, purchase frequency, even period-to-period repeat (in short time periods) </w:t>
      </w:r>
      <w:r w:rsidRPr="00A80608">
        <w:rPr>
          <w:i/>
        </w:rPr>
        <w:t>seem</w:t>
      </w:r>
      <w:r>
        <w:t xml:space="preserve"> in equilibrium. </w:t>
      </w:r>
    </w:p>
    <w:p w14:paraId="1F07732C" w14:textId="77777777" w:rsidR="006E768F" w:rsidRDefault="006E768F" w:rsidP="006E768F">
      <w:pPr>
        <w:spacing w:after="120" w:line="480" w:lineRule="auto"/>
        <w:outlineLvl w:val="0"/>
      </w:pPr>
      <w:r>
        <w:t xml:space="preserve">Under the surface every brand’s expected repeat buyers </w:t>
      </w:r>
      <w:r w:rsidRPr="001A6D65">
        <w:t xml:space="preserve">drip away </w:t>
      </w:r>
      <w:r>
        <w:t>because in reality</w:t>
      </w:r>
      <w:r w:rsidRPr="001A6D65">
        <w:t xml:space="preserve"> purchase propensities are not truly fixed</w:t>
      </w:r>
      <w:r>
        <w:t>: consumers’ brand preferences occasionally change.</w:t>
      </w:r>
      <w:r w:rsidRPr="001A6D65">
        <w:t xml:space="preserve"> </w:t>
      </w:r>
      <w:r>
        <w:t>East and Hammond (1996) reported a 15% loss of expected repeat buying in a year, reflecting d</w:t>
      </w:r>
      <w:r w:rsidRPr="001A6D65">
        <w:t>eclining propensities for some</w:t>
      </w:r>
      <w:r>
        <w:t>,</w:t>
      </w:r>
      <w:r w:rsidRPr="001A6D65">
        <w:t xml:space="preserve"> countered by </w:t>
      </w:r>
      <w:r>
        <w:t xml:space="preserve">an </w:t>
      </w:r>
      <w:r w:rsidRPr="001A6D65">
        <w:t>increasing propensit</w:t>
      </w:r>
      <w:r>
        <w:t>y</w:t>
      </w:r>
      <w:r w:rsidRPr="001A6D65">
        <w:t xml:space="preserve"> </w:t>
      </w:r>
      <w:r>
        <w:t>for</w:t>
      </w:r>
      <w:r w:rsidRPr="001A6D65">
        <w:t xml:space="preserve"> others</w:t>
      </w:r>
      <w:r>
        <w:t xml:space="preserve"> that balance to maintain a steady brand share in each period.</w:t>
      </w:r>
      <w:r w:rsidRPr="001A6D65">
        <w:t xml:space="preserve"> </w:t>
      </w:r>
    </w:p>
    <w:p w14:paraId="7BDA2AF5" w14:textId="77777777" w:rsidR="006E768F" w:rsidRPr="001307D5" w:rsidRDefault="006E768F" w:rsidP="006E768F">
      <w:pPr>
        <w:spacing w:after="120" w:line="480" w:lineRule="auto"/>
        <w:outlineLvl w:val="0"/>
      </w:pPr>
      <w:r w:rsidRPr="001A6D65">
        <w:t xml:space="preserve">Table </w:t>
      </w:r>
      <w:r>
        <w:t>3</w:t>
      </w:r>
      <w:r w:rsidRPr="001A6D65">
        <w:t xml:space="preserve"> </w:t>
      </w:r>
      <w:r>
        <w:t>(Graham, 2011) summarises</w:t>
      </w:r>
      <w:r w:rsidRPr="001A6D65">
        <w:t xml:space="preserve"> </w:t>
      </w:r>
      <w:r>
        <w:t xml:space="preserve">the </w:t>
      </w:r>
      <w:r w:rsidRPr="001A6D65">
        <w:t xml:space="preserve">average </w:t>
      </w:r>
      <w:r>
        <w:t xml:space="preserve">quarterly </w:t>
      </w:r>
      <w:r w:rsidRPr="001A6D65">
        <w:t xml:space="preserve">repeat purchase </w:t>
      </w:r>
      <w:r>
        <w:t>rates</w:t>
      </w:r>
      <w:r w:rsidRPr="001A6D65">
        <w:t xml:space="preserve"> for 90 brands in 18 categories </w:t>
      </w:r>
      <w:r>
        <w:t>over</w:t>
      </w:r>
      <w:r w:rsidRPr="001A6D65">
        <w:t xml:space="preserve"> </w:t>
      </w:r>
      <w:r>
        <w:t>six-years, reported from a sub-panel of continuous buyers in our dataset. This extension and replication</w:t>
      </w:r>
      <w:r w:rsidRPr="001A6D65">
        <w:t xml:space="preserve"> </w:t>
      </w:r>
      <w:r>
        <w:t>found that</w:t>
      </w:r>
      <w:r w:rsidRPr="001A6D65">
        <w:t xml:space="preserve"> </w:t>
      </w:r>
      <w:r>
        <w:t xml:space="preserve">erosion continues into the long term so that </w:t>
      </w:r>
      <w:r w:rsidRPr="001A6D65">
        <w:t xml:space="preserve">over five years an average brand </w:t>
      </w:r>
      <w:r>
        <w:t>lost</w:t>
      </w:r>
      <w:r w:rsidRPr="001A6D65">
        <w:t xml:space="preserve"> 35% of its </w:t>
      </w:r>
      <w:r>
        <w:t>expected loyal customers, despite no loss of penetration.</w:t>
      </w:r>
    </w:p>
    <w:p w14:paraId="7BAF003F" w14:textId="77777777" w:rsidR="006E768F" w:rsidRDefault="006E768F" w:rsidP="006E768F">
      <w:pPr>
        <w:jc w:val="center"/>
      </w:pPr>
      <w:r>
        <w:rPr>
          <w:noProof/>
        </w:rPr>
        <w:lastRenderedPageBreak/>
        <w:t>---------------------</w:t>
      </w:r>
    </w:p>
    <w:p w14:paraId="03A96BD9" w14:textId="0A6AECBD" w:rsidR="006E768F" w:rsidRDefault="006E768F" w:rsidP="006E768F">
      <w:pPr>
        <w:jc w:val="center"/>
      </w:pPr>
      <w:r>
        <w:t>Table 3 about here</w:t>
      </w:r>
    </w:p>
    <w:p w14:paraId="159B1A28" w14:textId="77777777" w:rsidR="006E768F" w:rsidRDefault="006E768F" w:rsidP="006E768F">
      <w:pPr>
        <w:jc w:val="center"/>
      </w:pPr>
      <w:r>
        <w:rPr>
          <w:noProof/>
        </w:rPr>
        <w:t>---------------------</w:t>
      </w:r>
    </w:p>
    <w:p w14:paraId="7A473E74" w14:textId="77777777" w:rsidR="006E768F" w:rsidRDefault="006E768F" w:rsidP="006E768F">
      <w:pPr>
        <w:jc w:val="center"/>
      </w:pPr>
    </w:p>
    <w:p w14:paraId="1A33E4C0" w14:textId="7FCE23B0" w:rsidR="006E768F" w:rsidRDefault="006E768F" w:rsidP="006E768F">
      <w:pPr>
        <w:spacing w:after="120" w:line="480" w:lineRule="auto"/>
        <w:outlineLvl w:val="0"/>
      </w:pPr>
      <w:r w:rsidRPr="001A6D65">
        <w:t>The average quarterly repeat</w:t>
      </w:r>
      <w:r>
        <w:t xml:space="preserve"> (top row)</w:t>
      </w:r>
      <w:r w:rsidRPr="001A6D65">
        <w:t>, reflects the proportion of a brand’s buyers in one quarter that repeat</w:t>
      </w:r>
      <w:r>
        <w:t>ed</w:t>
      </w:r>
      <w:r w:rsidRPr="001A6D65">
        <w:t xml:space="preserve"> the next</w:t>
      </w:r>
      <w:r>
        <w:t>;</w:t>
      </w:r>
      <w:r w:rsidRPr="001A6D65">
        <w:t xml:space="preserve"> </w:t>
      </w:r>
      <w:r>
        <w:t xml:space="preserve">this </w:t>
      </w:r>
      <w:r w:rsidRPr="001A6D65">
        <w:t>remain</w:t>
      </w:r>
      <w:r>
        <w:t>ed</w:t>
      </w:r>
      <w:r w:rsidRPr="001A6D65">
        <w:t xml:space="preserve"> </w:t>
      </w:r>
      <w:r>
        <w:t xml:space="preserve">near-stationary at </w:t>
      </w:r>
      <w:r w:rsidRPr="001A6D65">
        <w:t xml:space="preserve">around 37% over </w:t>
      </w:r>
      <w:r>
        <w:t xml:space="preserve">the entire period. The second row shows the rate at which the proportion of buyers repeating from the original period dripped away, and eventually declined by 35%. </w:t>
      </w:r>
      <w:r w:rsidRPr="003E5B16">
        <w:t xml:space="preserve">The difference between the two rows </w:t>
      </w:r>
      <w:r>
        <w:t>is</w:t>
      </w:r>
      <w:r w:rsidRPr="003E5B16">
        <w:t xml:space="preserve"> therefore the proportion of “new” buyers acquired, which increase</w:t>
      </w:r>
      <w:r>
        <w:t>d</w:t>
      </w:r>
      <w:r w:rsidRPr="003E5B16">
        <w:t xml:space="preserve"> steadily over time. </w:t>
      </w:r>
      <w:r>
        <w:t>A</w:t>
      </w:r>
      <w:r w:rsidRPr="003E5B16">
        <w:t xml:space="preserve"> </w:t>
      </w:r>
      <w:r>
        <w:t>leaky bucket was observed for all brands across this large dataset. It is a</w:t>
      </w:r>
      <w:r w:rsidRPr="003E5B16">
        <w:t xml:space="preserve"> pervasive and constant marketing fact of life</w:t>
      </w:r>
      <w:r>
        <w:t xml:space="preserve">, caused by switching from and to brands at levels that exceed predicted rates, i.e. small but persistent changes in preferences. Despite being almost invisible in short term metrics, it implies </w:t>
      </w:r>
      <w:r w:rsidRPr="003E5B16">
        <w:t xml:space="preserve">the unattractive proposition </w:t>
      </w:r>
      <w:r w:rsidR="00007269">
        <w:t xml:space="preserve">for marketers </w:t>
      </w:r>
      <w:r w:rsidRPr="003E5B16">
        <w:t>of running hard just to stand still</w:t>
      </w:r>
      <w:r>
        <w:t xml:space="preserve">. </w:t>
      </w:r>
    </w:p>
    <w:p w14:paraId="53DB4FEC" w14:textId="77777777" w:rsidR="006E768F" w:rsidRDefault="006E768F" w:rsidP="006E768F">
      <w:pPr>
        <w:spacing w:after="240" w:line="480" w:lineRule="auto"/>
        <w:outlineLvl w:val="0"/>
      </w:pPr>
      <w:r w:rsidRPr="003E5B16">
        <w:t xml:space="preserve">In modelling terms, </w:t>
      </w:r>
      <w:r>
        <w:t xml:space="preserve">the assumption of fixed propensities is universally breached. This is not surprising: it is unrealistic to think that buyers never change the brand preferences they hold, and although the Dirichlet allows for repertoire development as purchases of very low propensity items are made, it appears that the expansion happens a little faster than predicted for all brands across the category. </w:t>
      </w:r>
    </w:p>
    <w:p w14:paraId="1F95F717" w14:textId="291A0BD3" w:rsidR="006E768F" w:rsidRDefault="006E768F" w:rsidP="006E768F">
      <w:pPr>
        <w:spacing w:after="240" w:line="480" w:lineRule="auto"/>
        <w:outlineLvl w:val="0"/>
      </w:pPr>
      <w:r>
        <w:t xml:space="preserve">To return to Table 3, the balancing of “eroding” and “top-up” buyers in each quarter does not affect brand penetration – it is expected to remain steady, and the table shows it does. Higher customer churn may however bring about at least three of the deviations noted in Table 1; lower period to period repeat rates than expected, under-prediction of one-time buying for every brand (more new buyers than expected) and, because there is more switching and thus fewer repeats, the over prediction of heavier buying. </w:t>
      </w:r>
      <w:r w:rsidR="00510377">
        <w:t xml:space="preserve">Even over six years though, this cumulative loss of loyalty typically amounts </w:t>
      </w:r>
      <w:r w:rsidR="00510377">
        <w:lastRenderedPageBreak/>
        <w:t>to only 12% of a brand’s customer base (35% x 37%) and so what the data shows is that something like habitual regular choice with a small degree of churn in preferences overall, still describes the aggregate purchase patterns for all brands or categories</w:t>
      </w:r>
      <w:r w:rsidR="00510377" w:rsidRPr="00162BC3">
        <w:t xml:space="preserve"> </w:t>
      </w:r>
      <w:r w:rsidR="00510377">
        <w:t>well</w:t>
      </w:r>
    </w:p>
    <w:p w14:paraId="5734E57A" w14:textId="77777777" w:rsidR="006E768F" w:rsidRPr="003E5B16" w:rsidRDefault="006E768F" w:rsidP="006E768F">
      <w:pPr>
        <w:spacing w:after="240" w:line="480" w:lineRule="auto"/>
        <w:outlineLvl w:val="0"/>
      </w:pPr>
    </w:p>
    <w:p w14:paraId="23545509" w14:textId="77777777" w:rsidR="006E768F" w:rsidRPr="00466DB5" w:rsidRDefault="006E768F" w:rsidP="006E768F">
      <w:pPr>
        <w:spacing w:after="240" w:line="480" w:lineRule="auto"/>
        <w:rPr>
          <w:i/>
        </w:rPr>
      </w:pPr>
      <w:r>
        <w:rPr>
          <w:i/>
        </w:rPr>
        <w:t>4.4 Double Jeopardy Deviations</w:t>
      </w:r>
    </w:p>
    <w:p w14:paraId="754EFA55" w14:textId="77777777" w:rsidR="006E768F" w:rsidRDefault="006E768F" w:rsidP="006E768F">
      <w:pPr>
        <w:spacing w:after="240" w:line="480" w:lineRule="auto"/>
        <w:outlineLvl w:val="0"/>
      </w:pPr>
      <w:r w:rsidRPr="00D07677">
        <w:t xml:space="preserve">We </w:t>
      </w:r>
      <w:r>
        <w:t>next considered</w:t>
      </w:r>
      <w:r w:rsidRPr="00D07677">
        <w:t xml:space="preserve"> </w:t>
      </w:r>
      <w:r>
        <w:t>the incidence of the Double Jeopardy deviations. These differ in nature from the systematic deviations as they are not universal, but rather they affect individual brands in each category when the sales equation diverges from its Double Jeopardy relationship. We then considered the partitioning effect in brand switching defined by the Duplication of Purchase law.</w:t>
      </w:r>
    </w:p>
    <w:p w14:paraId="71E67454" w14:textId="591DE843" w:rsidR="006E768F" w:rsidRPr="00FC7227" w:rsidRDefault="006E768F" w:rsidP="006E768F">
      <w:pPr>
        <w:spacing w:after="240" w:line="480" w:lineRule="auto"/>
        <w:outlineLvl w:val="0"/>
        <w:rPr>
          <w:i/>
        </w:rPr>
      </w:pPr>
      <w:r>
        <w:rPr>
          <w:i/>
        </w:rPr>
        <w:t xml:space="preserve">Niching and </w:t>
      </w:r>
      <w:r w:rsidRPr="00B7343A">
        <w:rPr>
          <w:i/>
        </w:rPr>
        <w:t xml:space="preserve">Excess Loyalty </w:t>
      </w:r>
      <w:r>
        <w:rPr>
          <w:i/>
        </w:rPr>
        <w:t xml:space="preserve">for leading brands </w:t>
      </w:r>
      <w:r>
        <w:t xml:space="preserve">The </w:t>
      </w:r>
      <w:r w:rsidRPr="00D07677">
        <w:t>phenomenon whereby</w:t>
      </w:r>
      <w:r>
        <w:t xml:space="preserve"> some brands</w:t>
      </w:r>
      <w:r w:rsidRPr="00D07677">
        <w:t xml:space="preserve"> in a category have excess loyalty, above that predicted by Double Jeopardy</w:t>
      </w:r>
      <w:r>
        <w:t>,</w:t>
      </w:r>
      <w:r w:rsidRPr="00D07677">
        <w:t xml:space="preserve"> was first reported</w:t>
      </w:r>
      <w:r w:rsidR="00262843">
        <w:t xml:space="preserve"> by</w:t>
      </w:r>
      <w:r w:rsidRPr="00D07677">
        <w:t xml:space="preserve"> </w:t>
      </w:r>
      <w:r>
        <w:t xml:space="preserve">Khan </w:t>
      </w:r>
      <w:r w:rsidR="00AD5986">
        <w:t>et al., (</w:t>
      </w:r>
      <w:r>
        <w:t xml:space="preserve">1988) and Bhattacharya (1997). </w:t>
      </w:r>
      <w:r w:rsidRPr="00D07677">
        <w:t>Fader and Schmittlein (1993)</w:t>
      </w:r>
      <w:r>
        <w:t xml:space="preserve"> </w:t>
      </w:r>
      <w:r w:rsidRPr="00E43059">
        <w:t>estimated it to occur for the leading</w:t>
      </w:r>
      <w:r w:rsidRPr="00D07677">
        <w:t xml:space="preserve"> brand in between two-thirds and three-quarters of categories.</w:t>
      </w:r>
      <w:r>
        <w:t xml:space="preserve"> </w:t>
      </w:r>
      <w:r w:rsidRPr="00D07677">
        <w:t>We find s</w:t>
      </w:r>
      <w:r>
        <w:t>imilar results in our database.</w:t>
      </w:r>
      <w:r w:rsidRPr="00D07677">
        <w:t xml:space="preserve"> Table </w:t>
      </w:r>
      <w:r>
        <w:t>4</w:t>
      </w:r>
      <w:r w:rsidRPr="00D07677">
        <w:t xml:space="preserve"> shows </w:t>
      </w:r>
      <w:r>
        <w:t>% O-</w:t>
      </w:r>
      <w:r w:rsidRPr="00337427">
        <w:rPr>
          <w:b/>
        </w:rPr>
        <w:t>T</w:t>
      </w:r>
      <w:r w:rsidRPr="001A6D65">
        <w:t xml:space="preserve"> </w:t>
      </w:r>
      <w:r>
        <w:t xml:space="preserve">for </w:t>
      </w:r>
      <w:r w:rsidRPr="00D07677">
        <w:t xml:space="preserve">all </w:t>
      </w:r>
      <w:r>
        <w:t>1238</w:t>
      </w:r>
      <w:r w:rsidRPr="00D07677">
        <w:t xml:space="preserve"> brands divided into groups by share within their category. </w:t>
      </w:r>
      <w:r>
        <w:t>H</w:t>
      </w:r>
      <w:r w:rsidRPr="00D07677">
        <w:t xml:space="preserve">igher share brands </w:t>
      </w:r>
      <w:r>
        <w:t xml:space="preserve">(5% or more) </w:t>
      </w:r>
      <w:r w:rsidRPr="00D07677">
        <w:t>have higher purchase frequency, and higher share of category</w:t>
      </w:r>
      <w:r>
        <w:t xml:space="preserve"> requirement than expected (even after account</w:t>
      </w:r>
      <w:r w:rsidRPr="00D07677">
        <w:t xml:space="preserve">ing for Double Jeopardy, which predicts </w:t>
      </w:r>
      <w:r>
        <w:t>that</w:t>
      </w:r>
      <w:r w:rsidRPr="00D07677">
        <w:t xml:space="preserve"> larger brands</w:t>
      </w:r>
      <w:r>
        <w:t xml:space="preserve"> will have slightly higher frequency than small brands</w:t>
      </w:r>
      <w:r w:rsidRPr="00D07677">
        <w:t xml:space="preserve">).  Conversely, very small brands (less than 1% share) have much lower frequency, fewer </w:t>
      </w:r>
      <w:r>
        <w:t xml:space="preserve">heavy buyers and lower share of category </w:t>
      </w:r>
      <w:r w:rsidRPr="00D07677">
        <w:t xml:space="preserve">requirements than predicted. </w:t>
      </w:r>
    </w:p>
    <w:p w14:paraId="3109B89F" w14:textId="77777777" w:rsidR="006E768F" w:rsidRDefault="006E768F" w:rsidP="006E768F">
      <w:pPr>
        <w:jc w:val="center"/>
      </w:pPr>
      <w:r>
        <w:rPr>
          <w:noProof/>
        </w:rPr>
        <w:t>---------------------</w:t>
      </w:r>
    </w:p>
    <w:p w14:paraId="5CFC7A36" w14:textId="67447996" w:rsidR="006E768F" w:rsidRDefault="006E768F" w:rsidP="006E768F">
      <w:pPr>
        <w:jc w:val="center"/>
      </w:pPr>
      <w:r>
        <w:t>Table 4 about here</w:t>
      </w:r>
    </w:p>
    <w:p w14:paraId="5CE94A46" w14:textId="77777777" w:rsidR="006E768F" w:rsidRDefault="006E768F" w:rsidP="006E768F">
      <w:pPr>
        <w:jc w:val="center"/>
      </w:pPr>
      <w:r>
        <w:rPr>
          <w:noProof/>
        </w:rPr>
        <w:t>---------------------</w:t>
      </w:r>
    </w:p>
    <w:p w14:paraId="7CD34567" w14:textId="77777777" w:rsidR="006E768F" w:rsidRPr="00D07677" w:rsidRDefault="006E768F" w:rsidP="006E768F">
      <w:pPr>
        <w:spacing w:after="120"/>
      </w:pPr>
    </w:p>
    <w:p w14:paraId="501A88C9" w14:textId="77777777" w:rsidR="006E768F" w:rsidRPr="00B16B00" w:rsidRDefault="006E768F" w:rsidP="006E768F">
      <w:pPr>
        <w:spacing w:after="120" w:line="480" w:lineRule="auto"/>
        <w:outlineLvl w:val="0"/>
      </w:pPr>
      <w:r w:rsidRPr="00D07677">
        <w:t xml:space="preserve">If we consider just the brand leader in our 62 categories, we find that purchase frequency is under-predicted by 13% on average, </w:t>
      </w:r>
      <w:r w:rsidRPr="00EE5411">
        <w:t>i.e. very close to the level seen</w:t>
      </w:r>
      <w:r>
        <w:t xml:space="preserve"> in Table 4</w:t>
      </w:r>
      <w:r w:rsidRPr="00EE5411">
        <w:t xml:space="preserve"> for big brands </w:t>
      </w:r>
      <w:r>
        <w:t>overall.</w:t>
      </w:r>
      <w:r w:rsidRPr="00EE5411">
        <w:t xml:space="preserve"> </w:t>
      </w:r>
      <w:r w:rsidRPr="00D07677">
        <w:t xml:space="preserve"> For 18 of our 62 </w:t>
      </w:r>
      <w:r>
        <w:t xml:space="preserve">brand leaders </w:t>
      </w:r>
      <w:r w:rsidRPr="00D07677">
        <w:t>there is a small over-prediction, so 44 are under-predicted, which at 71% is in line with Fader and Schmittlein’s estimated incidence.  But there is a wide range</w:t>
      </w:r>
      <w:r>
        <w:t xml:space="preserve"> in the deviations,</w:t>
      </w:r>
      <w:r w:rsidRPr="00D07677">
        <w:t xml:space="preserve"> from 10% over-prediction to over 70% under.  </w:t>
      </w:r>
      <w:r>
        <w:t xml:space="preserve">Figure </w:t>
      </w:r>
      <w:r w:rsidRPr="00D07677">
        <w:t xml:space="preserve">1 plots the deviation </w:t>
      </w:r>
      <w:r>
        <w:t xml:space="preserve">for the brand leader </w:t>
      </w:r>
      <w:r w:rsidRPr="00D07677">
        <w:t xml:space="preserve">in each category against the penetration of the brand.  </w:t>
      </w:r>
    </w:p>
    <w:p w14:paraId="24FE7757" w14:textId="77777777" w:rsidR="006E768F" w:rsidRDefault="006E768F" w:rsidP="006E768F">
      <w:pPr>
        <w:jc w:val="center"/>
      </w:pPr>
      <w:r>
        <w:rPr>
          <w:noProof/>
        </w:rPr>
        <w:t>---------------------</w:t>
      </w:r>
    </w:p>
    <w:p w14:paraId="513502CC" w14:textId="77777777" w:rsidR="006E768F" w:rsidRDefault="006E768F" w:rsidP="006E768F">
      <w:pPr>
        <w:jc w:val="center"/>
      </w:pPr>
      <w:r>
        <w:t>Figure 1 about here</w:t>
      </w:r>
    </w:p>
    <w:p w14:paraId="79B91CCE" w14:textId="77777777" w:rsidR="006E768F" w:rsidRDefault="006E768F" w:rsidP="006E768F">
      <w:pPr>
        <w:jc w:val="center"/>
      </w:pPr>
      <w:r>
        <w:rPr>
          <w:noProof/>
        </w:rPr>
        <w:t>---------------------</w:t>
      </w:r>
    </w:p>
    <w:p w14:paraId="4D92FCBA" w14:textId="77777777" w:rsidR="006E768F" w:rsidRPr="00D07677" w:rsidRDefault="006E768F" w:rsidP="006E768F">
      <w:pPr>
        <w:spacing w:after="120"/>
      </w:pPr>
    </w:p>
    <w:p w14:paraId="1AF64902" w14:textId="77777777" w:rsidR="006E768F" w:rsidRPr="00D07677" w:rsidRDefault="006E768F" w:rsidP="006E768F">
      <w:pPr>
        <w:spacing w:after="120"/>
      </w:pPr>
    </w:p>
    <w:p w14:paraId="755B989B" w14:textId="77777777" w:rsidR="006E768F" w:rsidRPr="00093EE1" w:rsidRDefault="006E768F" w:rsidP="006E768F">
      <w:pPr>
        <w:spacing w:after="120" w:line="480" w:lineRule="auto"/>
        <w:outlineLvl w:val="0"/>
      </w:pPr>
      <w:r>
        <w:t>Not every brand leader follows the excess</w:t>
      </w:r>
      <w:r w:rsidRPr="00D07677">
        <w:t xml:space="preserve"> pattern, with some very high penetration brands showing little deviation (examples are Walkers Crisps, </w:t>
      </w:r>
      <w:r>
        <w:t>Hovis bread and Heinz soup), whereas</w:t>
      </w:r>
      <w:r w:rsidRPr="00D07677">
        <w:t xml:space="preserve"> other high penetration brands showing big under predictions (e.g. Wrigleys gum, Flora spread and Coca Cola).  There are also some low penetratio</w:t>
      </w:r>
      <w:r>
        <w:t>n brand leaders, in either infrequent</w:t>
      </w:r>
      <w:r w:rsidRPr="00D07677">
        <w:t xml:space="preserve"> or very fragmented categories, that show big under predictions in frequency</w:t>
      </w:r>
      <w:r>
        <w:t>. B</w:t>
      </w:r>
      <w:r w:rsidRPr="00D07677">
        <w:t>ut again</w:t>
      </w:r>
      <w:r>
        <w:t>,</w:t>
      </w:r>
      <w:r w:rsidRPr="00D07677">
        <w:t xml:space="preserve"> not always – e.g. Robertson’s marmalade, Evian and Lemsip.  Table </w:t>
      </w:r>
      <w:r>
        <w:t>5 shows</w:t>
      </w:r>
      <w:r w:rsidRPr="00D07677">
        <w:t xml:space="preserve"> that deviations do and don’t happen for big and small brands in all sorts of categories</w:t>
      </w:r>
      <w:r>
        <w:t>.</w:t>
      </w:r>
    </w:p>
    <w:p w14:paraId="55FA6C11" w14:textId="77777777" w:rsidR="006E768F" w:rsidRDefault="006E768F" w:rsidP="006E768F">
      <w:pPr>
        <w:jc w:val="center"/>
        <w:rPr>
          <w:noProof/>
        </w:rPr>
      </w:pPr>
    </w:p>
    <w:p w14:paraId="0310A876" w14:textId="77777777" w:rsidR="006E768F" w:rsidRDefault="006E768F" w:rsidP="006E768F">
      <w:pPr>
        <w:jc w:val="center"/>
      </w:pPr>
      <w:r>
        <w:rPr>
          <w:noProof/>
        </w:rPr>
        <w:t>---------------------</w:t>
      </w:r>
    </w:p>
    <w:p w14:paraId="311B7A01" w14:textId="48F96AD3" w:rsidR="006E768F" w:rsidRDefault="006E768F" w:rsidP="006E768F">
      <w:pPr>
        <w:jc w:val="center"/>
      </w:pPr>
      <w:r>
        <w:t>Table 5 about here</w:t>
      </w:r>
    </w:p>
    <w:p w14:paraId="0624489E" w14:textId="77777777" w:rsidR="006E768F" w:rsidRDefault="006E768F" w:rsidP="006E768F">
      <w:pPr>
        <w:jc w:val="center"/>
      </w:pPr>
      <w:r>
        <w:rPr>
          <w:noProof/>
        </w:rPr>
        <w:t>---------------------</w:t>
      </w:r>
    </w:p>
    <w:p w14:paraId="39028E1F" w14:textId="77777777" w:rsidR="006E768F" w:rsidRPr="00D07677" w:rsidRDefault="006E768F" w:rsidP="006E768F">
      <w:pPr>
        <w:spacing w:after="120"/>
        <w:rPr>
          <w:i/>
        </w:rPr>
      </w:pPr>
    </w:p>
    <w:p w14:paraId="321301FF" w14:textId="77777777" w:rsidR="006E768F" w:rsidRDefault="006E768F" w:rsidP="006E768F">
      <w:pPr>
        <w:spacing w:after="120" w:line="480" w:lineRule="auto"/>
        <w:outlineLvl w:val="0"/>
      </w:pPr>
      <w:r w:rsidRPr="00D07677">
        <w:t xml:space="preserve">As yet, there is </w:t>
      </w:r>
      <w:r>
        <w:t xml:space="preserve">still </w:t>
      </w:r>
      <w:r w:rsidRPr="00D07677">
        <w:t xml:space="preserve">no clear understanding of why many brand leaders have excess loyalty but some do not. One frequently advanced theory is that brand leaders are more likely to be available and therefore </w:t>
      </w:r>
      <w:r>
        <w:t xml:space="preserve">consistently </w:t>
      </w:r>
      <w:r w:rsidRPr="00D07677">
        <w:t xml:space="preserve">find themselves in a position where no acceptable alternative is </w:t>
      </w:r>
      <w:r>
        <w:t>competing</w:t>
      </w:r>
      <w:r w:rsidRPr="00D07677">
        <w:t xml:space="preserve">. </w:t>
      </w:r>
      <w:r>
        <w:t>This might explain the finding in Pare and Dawes (2012) that the deviation typically remains persistent, but with no trending effect on market share</w:t>
      </w:r>
      <w:r w:rsidRPr="003708E8">
        <w:t xml:space="preserve"> </w:t>
      </w:r>
      <w:r>
        <w:t>at least over three years. It</w:t>
      </w:r>
      <w:r w:rsidRPr="00D07677">
        <w:t xml:space="preserve"> does not explain why some leaders </w:t>
      </w:r>
      <w:r w:rsidRPr="001B051A">
        <w:rPr>
          <w:i/>
        </w:rPr>
        <w:t>do not</w:t>
      </w:r>
      <w:r w:rsidRPr="00D07677">
        <w:t xml:space="preserve"> show excess loyalty, in particular dominant brands like Kellogg and Walkers crisps.  </w:t>
      </w:r>
    </w:p>
    <w:p w14:paraId="1E405919" w14:textId="7DA00817" w:rsidR="006E768F" w:rsidRDefault="006E768F" w:rsidP="006E768F">
      <w:pPr>
        <w:spacing w:after="120" w:line="480" w:lineRule="auto"/>
        <w:outlineLvl w:val="0"/>
      </w:pPr>
      <w:r w:rsidRPr="00D07677">
        <w:t xml:space="preserve">An alternative view is that the pattern is not due to extra purchasing by heavier buyers, but </w:t>
      </w:r>
      <w:r>
        <w:t xml:space="preserve">to </w:t>
      </w:r>
      <w:r w:rsidRPr="00D07677">
        <w:t xml:space="preserve">a shortage of </w:t>
      </w:r>
      <w:r>
        <w:t>light buyers</w:t>
      </w:r>
      <w:r w:rsidRPr="00D07677">
        <w:t>.  This would happen if there was a l</w:t>
      </w:r>
      <w:r>
        <w:t>arger than expected group who will</w:t>
      </w:r>
      <w:r w:rsidRPr="00D07677">
        <w:t xml:space="preserve"> not buy the brand leader at all</w:t>
      </w:r>
      <w:r w:rsidR="00510377">
        <w:t xml:space="preserve"> for whatever reason</w:t>
      </w:r>
      <w:r w:rsidRPr="00D07677">
        <w:t xml:space="preserve">, and is perhaps consistent with the fact that the pattern does not happen in all categories. </w:t>
      </w:r>
      <w:r>
        <w:t xml:space="preserve">It may also be that brand leaders are less prone to erosion of propensity. Both East and Hammond (1996) and Graham (2011) found erosion to have this Double Jeopardy characteristic. </w:t>
      </w:r>
    </w:p>
    <w:p w14:paraId="25A6D62C" w14:textId="77777777" w:rsidR="006E768F" w:rsidRDefault="006E768F" w:rsidP="006E768F">
      <w:pPr>
        <w:spacing w:after="120" w:line="480" w:lineRule="auto"/>
        <w:outlineLvl w:val="0"/>
      </w:pPr>
      <w:r>
        <w:t>The customer base of the leading brand tends to show a relatively lower category purchase frequency than that of its smaller rivals, the phenomenon known as Natural Monopoly (</w:t>
      </w:r>
      <w:r w:rsidRPr="00D07677">
        <w:t>Ehrenberg, Uncles and Goodhardt</w:t>
      </w:r>
      <w:r>
        <w:t>,</w:t>
      </w:r>
      <w:r w:rsidRPr="00D07677">
        <w:t xml:space="preserve"> 2004</w:t>
      </w:r>
      <w:r>
        <w:t xml:space="preserve">; Sharp, 2010). If those buyers then show excess loyalty it follows that duplication of purchase with other brands must be lower than predicted. We do find lower purchasing of most other brands, and especially small brands, by the buyers of brand leaders, though this may be obscured if there is any partitioning at all. </w:t>
      </w:r>
    </w:p>
    <w:p w14:paraId="0C731168" w14:textId="77777777" w:rsidR="006E768F" w:rsidRPr="001A6D65" w:rsidRDefault="006E768F" w:rsidP="006E768F">
      <w:pPr>
        <w:spacing w:after="120" w:line="480" w:lineRule="auto"/>
        <w:outlineLvl w:val="0"/>
      </w:pPr>
    </w:p>
    <w:p w14:paraId="356F77D5" w14:textId="77777777" w:rsidR="006E768F" w:rsidRPr="00520C21" w:rsidRDefault="006E768F" w:rsidP="006E768F">
      <w:pPr>
        <w:spacing w:before="120" w:after="240" w:line="480" w:lineRule="auto"/>
        <w:outlineLvl w:val="0"/>
        <w:rPr>
          <w:i/>
        </w:rPr>
      </w:pPr>
      <w:r w:rsidRPr="003708E8">
        <w:rPr>
          <w:i/>
        </w:rPr>
        <w:t>Restricted Distribution</w:t>
      </w:r>
      <w:r>
        <w:rPr>
          <w:i/>
        </w:rPr>
        <w:t xml:space="preserve">. </w:t>
      </w:r>
      <w:r w:rsidRPr="00D07677">
        <w:t xml:space="preserve">Another typical </w:t>
      </w:r>
      <w:r>
        <w:t xml:space="preserve">but less frequent </w:t>
      </w:r>
      <w:r w:rsidRPr="00D07677">
        <w:t xml:space="preserve">example of </w:t>
      </w:r>
      <w:r>
        <w:t xml:space="preserve">a </w:t>
      </w:r>
      <w:r w:rsidRPr="00D07677">
        <w:t>persistent deviation comes with restricted availability, in either space or time.</w:t>
      </w:r>
      <w:r w:rsidRPr="001A6D65">
        <w:t xml:space="preserve"> Restricted availability means widely available in some circumstance, and hardly at all in others, rather than just patchily a</w:t>
      </w:r>
      <w:r>
        <w:t>cross circumstances.  Examples of restriction in space are regional brands that exist (or have much larger share) in some area and not others,</w:t>
      </w:r>
      <w:r w:rsidRPr="001A6D65">
        <w:t xml:space="preserve"> </w:t>
      </w:r>
      <w:r>
        <w:t>or private label brands that are only available in their chain and not in others (</w:t>
      </w:r>
      <w:r w:rsidRPr="007F2613">
        <w:rPr>
          <w:color w:val="222222"/>
          <w:shd w:val="clear" w:color="auto" w:fill="FFFFFF"/>
        </w:rPr>
        <w:t>Dawes</w:t>
      </w:r>
      <w:r>
        <w:rPr>
          <w:color w:val="222222"/>
          <w:shd w:val="clear" w:color="auto" w:fill="FFFFFF"/>
        </w:rPr>
        <w:t xml:space="preserve"> &amp; Nenycz-Thiel </w:t>
      </w:r>
      <w:r w:rsidRPr="007F2613">
        <w:rPr>
          <w:color w:val="222222"/>
          <w:shd w:val="clear" w:color="auto" w:fill="FFFFFF"/>
        </w:rPr>
        <w:t>2013)</w:t>
      </w:r>
      <w:r>
        <w:rPr>
          <w:color w:val="222222"/>
          <w:shd w:val="clear" w:color="auto" w:fill="FFFFFF"/>
        </w:rPr>
        <w:t>.</w:t>
      </w:r>
    </w:p>
    <w:p w14:paraId="1054F0F0" w14:textId="77777777" w:rsidR="006E768F" w:rsidRDefault="006E768F" w:rsidP="006E768F">
      <w:pPr>
        <w:spacing w:after="120" w:line="480" w:lineRule="auto"/>
        <w:outlineLvl w:val="0"/>
      </w:pPr>
      <w:r>
        <w:t>These cases lead</w:t>
      </w:r>
      <w:r w:rsidRPr="001A6D65">
        <w:t xml:space="preserve"> consistently to purchase frequency </w:t>
      </w:r>
      <w:r>
        <w:t xml:space="preserve">that is </w:t>
      </w:r>
      <w:r w:rsidRPr="001A6D65">
        <w:t xml:space="preserve">higher than predicted and penetration </w:t>
      </w:r>
      <w:r>
        <w:t>that is lower. A</w:t>
      </w:r>
      <w:r w:rsidRPr="001A6D65">
        <w:t xml:space="preserve"> brand </w:t>
      </w:r>
      <w:r>
        <w:t>shows loyalty metrics that look like a</w:t>
      </w:r>
      <w:r w:rsidRPr="001A6D65">
        <w:t xml:space="preserve"> bigger brand, </w:t>
      </w:r>
      <w:r>
        <w:t>but with a reduced</w:t>
      </w:r>
      <w:r w:rsidRPr="001A6D65">
        <w:t xml:space="preserve"> customer base because of </w:t>
      </w:r>
      <w:r>
        <w:t>its</w:t>
      </w:r>
      <w:r w:rsidRPr="001A6D65">
        <w:t xml:space="preserve"> lack of availability. If the analysis is restricted just to the area where the brand is available, then </w:t>
      </w:r>
      <w:r>
        <w:t xml:space="preserve">the brand will have a bigger share in that area and </w:t>
      </w:r>
      <w:r w:rsidRPr="001A6D65">
        <w:t xml:space="preserve">the </w:t>
      </w:r>
      <w:r>
        <w:t xml:space="preserve">predicted </w:t>
      </w:r>
      <w:r w:rsidRPr="001A6D65">
        <w:t>metrics tend to fall in line with what would be expected for the bigger brand</w:t>
      </w:r>
      <w:r>
        <w:t>,</w:t>
      </w:r>
      <w:r w:rsidRPr="001A6D65">
        <w:t xml:space="preserve"> and the excess loyalty would disappear.  The soft drink Irn Bru is a good branded example, ubiquitous in Scotland where it can outsell Coca Cola</w:t>
      </w:r>
      <w:r>
        <w:t>,</w:t>
      </w:r>
      <w:r w:rsidRPr="001A6D65">
        <w:t xml:space="preserve"> but </w:t>
      </w:r>
      <w:r>
        <w:t xml:space="preserve">less widely </w:t>
      </w:r>
      <w:r w:rsidRPr="001A6D65">
        <w:t xml:space="preserve">seen elsewhere. </w:t>
      </w:r>
      <w:r>
        <w:t>The private label deviation</w:t>
      </w:r>
      <w:r w:rsidRPr="001A6D65">
        <w:t xml:space="preserve"> </w:t>
      </w:r>
      <w:r>
        <w:t xml:space="preserve">is </w:t>
      </w:r>
      <w:r w:rsidRPr="001A6D65">
        <w:t xml:space="preserve">especially noticeable in small but regionally strong chains (e.g. Aldi and Netto </w:t>
      </w:r>
      <w:r>
        <w:t xml:space="preserve">in the UK </w:t>
      </w:r>
      <w:r w:rsidRPr="001A6D65">
        <w:t xml:space="preserve">at the time of this data). </w:t>
      </w:r>
    </w:p>
    <w:p w14:paraId="25ABD066" w14:textId="77777777" w:rsidR="006E768F" w:rsidRDefault="006E768F" w:rsidP="006E768F">
      <w:pPr>
        <w:jc w:val="center"/>
      </w:pPr>
      <w:r>
        <w:rPr>
          <w:noProof/>
        </w:rPr>
        <w:t>---------------------</w:t>
      </w:r>
    </w:p>
    <w:p w14:paraId="4B66AF26" w14:textId="2383F9BF" w:rsidR="006E768F" w:rsidRDefault="006E768F" w:rsidP="006E768F">
      <w:pPr>
        <w:jc w:val="center"/>
      </w:pPr>
      <w:r>
        <w:t>Table 6 about here</w:t>
      </w:r>
    </w:p>
    <w:p w14:paraId="3D5A1354" w14:textId="77777777" w:rsidR="006E768F" w:rsidRPr="00162B4D" w:rsidRDefault="006E768F" w:rsidP="006E768F">
      <w:pPr>
        <w:jc w:val="center"/>
      </w:pPr>
      <w:r>
        <w:rPr>
          <w:noProof/>
        </w:rPr>
        <w:t>---------------------</w:t>
      </w:r>
    </w:p>
    <w:p w14:paraId="43A46524" w14:textId="77777777" w:rsidR="006E768F" w:rsidRPr="00D07677" w:rsidRDefault="006E768F" w:rsidP="006E7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14C8F7F0" w14:textId="77777777" w:rsidR="006E768F" w:rsidRPr="003E5B16" w:rsidRDefault="006E768F" w:rsidP="006E768F">
      <w:pPr>
        <w:spacing w:after="120" w:line="480" w:lineRule="auto"/>
        <w:outlineLvl w:val="0"/>
      </w:pPr>
      <w:r w:rsidRPr="003E5B16">
        <w:t xml:space="preserve">Conversely, restriction in time (seasonality, e.g. </w:t>
      </w:r>
      <w:r>
        <w:t>Easter</w:t>
      </w:r>
      <w:r w:rsidRPr="003E5B16">
        <w:t xml:space="preserve"> Eggs are only distributed for six months of the year) leads to </w:t>
      </w:r>
      <w:r>
        <w:t xml:space="preserve">a </w:t>
      </w:r>
      <w:r w:rsidRPr="003E5B16">
        <w:t>higher penet</w:t>
      </w:r>
      <w:r>
        <w:t xml:space="preserve">ration but lower purchase frequency than </w:t>
      </w:r>
      <w:r w:rsidRPr="003E5B16">
        <w:t>predicted</w:t>
      </w:r>
      <w:r>
        <w:t xml:space="preserve"> if the analysis period covers the whole year</w:t>
      </w:r>
      <w:r w:rsidRPr="003E5B16">
        <w:t xml:space="preserve">.  </w:t>
      </w:r>
      <w:r>
        <w:t>Seasonal b</w:t>
      </w:r>
      <w:r w:rsidRPr="003E5B16">
        <w:t>rands show the customer base of a larger brand</w:t>
      </w:r>
      <w:r>
        <w:t xml:space="preserve"> for the year</w:t>
      </w:r>
      <w:r w:rsidRPr="003E5B16">
        <w:t>, but are restricted in frequency outside the peak season.</w:t>
      </w:r>
      <w:r>
        <w:t xml:space="preserve"> As with regionality, analysing for only the peak, or only the off-peak season makes the deviation disappear: the brand metrics tend to fall in line with the larger or smaller share respectively.</w:t>
      </w:r>
    </w:p>
    <w:p w14:paraId="7CDC6E34" w14:textId="77777777" w:rsidR="006E768F" w:rsidRPr="00EB301F" w:rsidRDefault="006E768F" w:rsidP="006E768F">
      <w:pPr>
        <w:spacing w:after="120" w:line="480" w:lineRule="auto"/>
        <w:outlineLvl w:val="0"/>
      </w:pPr>
      <w:r>
        <w:t>The</w:t>
      </w:r>
      <w:r w:rsidRPr="001A6D65">
        <w:t xml:space="preserve"> </w:t>
      </w:r>
      <w:r>
        <w:t xml:space="preserve">Dirichlet deviation </w:t>
      </w:r>
      <w:r w:rsidRPr="001A6D65">
        <w:t xml:space="preserve">occurs because these </w:t>
      </w:r>
      <w:r>
        <w:t xml:space="preserve">types of brand buying </w:t>
      </w:r>
      <w:r w:rsidRPr="001A6D65">
        <w:t>are examples of partitioning</w:t>
      </w:r>
      <w:r>
        <w:t xml:space="preserve"> – one part of the population has a different set of propensities from the rest, or in the case of seasonality, propensities differ at different times. It is not necessarily the case that such a brand would carry its higher loyalty into a new area if it were introduced there because the context and its history are different.</w:t>
      </w:r>
    </w:p>
    <w:p w14:paraId="2F7CADB0" w14:textId="77777777" w:rsidR="006E768F" w:rsidRPr="00D07677" w:rsidRDefault="006E768F" w:rsidP="006E768F">
      <w:pPr>
        <w:spacing w:after="120"/>
        <w:rPr>
          <w:i/>
        </w:rPr>
      </w:pPr>
    </w:p>
    <w:p w14:paraId="5D2008E2" w14:textId="77777777" w:rsidR="006E768F" w:rsidRPr="00520C21" w:rsidRDefault="006E768F" w:rsidP="006E768F">
      <w:pPr>
        <w:spacing w:after="120" w:line="480" w:lineRule="auto"/>
        <w:outlineLvl w:val="0"/>
        <w:rPr>
          <w:i/>
        </w:rPr>
      </w:pPr>
      <w:r w:rsidRPr="00520C21">
        <w:rPr>
          <w:i/>
        </w:rPr>
        <w:t>Functional Differences</w:t>
      </w:r>
      <w:r>
        <w:rPr>
          <w:i/>
        </w:rPr>
        <w:t xml:space="preserve">. </w:t>
      </w:r>
      <w:r>
        <w:t xml:space="preserve">Market partitions also occur when some functional brand characteristic exists designed to appeal to a restricted market sector. An extreme example is soya-based “ice creams” that serve the lactose-intolerant but do not compete directly with the majority of ice cream brands. These are smaller brands (because they have fewer buyers) but tend to be bought at higher rates than expected for a brand of its size (there are fewer acceptable alternatives). </w:t>
      </w:r>
    </w:p>
    <w:p w14:paraId="3101BF09" w14:textId="6B642A4E" w:rsidR="006E768F" w:rsidRPr="00F36D85" w:rsidRDefault="006E768F" w:rsidP="006E768F">
      <w:pPr>
        <w:spacing w:before="100" w:beforeAutospacing="1" w:after="240" w:line="480" w:lineRule="auto"/>
        <w:rPr>
          <w:color w:val="000000"/>
          <w:lang w:eastAsia="en-US"/>
        </w:rPr>
      </w:pPr>
      <w:r w:rsidRPr="00F36D85">
        <w:t xml:space="preserve">Excluding brand leaders and cases of restricted distribution noted earlier, the few other examples of excess loyalty are characterized by having only a marginally higher loyalty than expected.  Barely 30 of the 1238 brands show purchase frequency more than 0.5 above predicted.  Table 7 shows some examples.  Most have a clear functional difference from the mainstream offerings (e.g. Quaker crackers are rice based, Sensodyne is formulated for sensitive teeth. Space Raiders are clearly designed solely for children). </w:t>
      </w:r>
      <w:r>
        <w:t xml:space="preserve">The marketing literature regards niche brands as being small, with high levels of differentiation (in the minds of the consumer) and loyalty (Stocchi </w:t>
      </w:r>
      <w:r w:rsidRPr="001F3CAC">
        <w:rPr>
          <w:i/>
        </w:rPr>
        <w:t>et al</w:t>
      </w:r>
      <w:r>
        <w:t xml:space="preserve"> 2010).  In </w:t>
      </w:r>
      <w:r w:rsidR="00AD5986">
        <w:t>practice,</w:t>
      </w:r>
      <w:r>
        <w:t xml:space="preserve"> there is little evidence of this. A</w:t>
      </w:r>
      <w:r w:rsidRPr="00F36D85">
        <w:rPr>
          <w:color w:val="000000"/>
          <w:lang w:eastAsia="en-US"/>
        </w:rPr>
        <w:t>cross categor</w:t>
      </w:r>
      <w:r>
        <w:rPr>
          <w:color w:val="000000"/>
          <w:lang w:eastAsia="en-US"/>
        </w:rPr>
        <w:t>ies,</w:t>
      </w:r>
      <w:r w:rsidRPr="00F36D85">
        <w:rPr>
          <w:color w:val="000000"/>
          <w:lang w:eastAsia="en-US"/>
        </w:rPr>
        <w:t xml:space="preserve"> user profiles of competing brands hardly differ. (Anesbury et al, 2017)</w:t>
      </w:r>
      <w:r>
        <w:rPr>
          <w:color w:val="000000"/>
          <w:lang w:eastAsia="en-US"/>
        </w:rPr>
        <w:t xml:space="preserve">, while there is no </w:t>
      </w:r>
      <w:r w:rsidRPr="00F36D85">
        <w:rPr>
          <w:color w:val="000000"/>
          <w:lang w:eastAsia="en-US"/>
        </w:rPr>
        <w:t xml:space="preserve">association </w:t>
      </w:r>
      <w:r>
        <w:rPr>
          <w:color w:val="000000"/>
          <w:lang w:eastAsia="en-US"/>
        </w:rPr>
        <w:t xml:space="preserve">found </w:t>
      </w:r>
      <w:r w:rsidRPr="00F36D85">
        <w:rPr>
          <w:color w:val="000000"/>
          <w:lang w:eastAsia="en-US"/>
        </w:rPr>
        <w:t>between </w:t>
      </w:r>
      <w:r w:rsidRPr="00F36D85">
        <w:rPr>
          <w:b/>
          <w:bCs/>
          <w:i/>
          <w:iCs/>
          <w:color w:val="000000"/>
          <w:lang w:eastAsia="en-US"/>
        </w:rPr>
        <w:t>differential</w:t>
      </w:r>
      <w:r w:rsidRPr="00F36D85">
        <w:rPr>
          <w:color w:val="000000"/>
          <w:lang w:eastAsia="en-US"/>
        </w:rPr>
        <w:t> rates of salience and behavioural loyalty (Romaniuk &amp; Nenycz-Thiel, 2013; Stocchi, 2010; 2014; Stocchi </w:t>
      </w:r>
      <w:r w:rsidRPr="00F36D85">
        <w:rPr>
          <w:i/>
          <w:iCs/>
          <w:color w:val="000000"/>
          <w:lang w:eastAsia="en-US"/>
        </w:rPr>
        <w:t>et al,</w:t>
      </w:r>
      <w:r>
        <w:rPr>
          <w:i/>
          <w:iCs/>
          <w:color w:val="000000"/>
          <w:lang w:eastAsia="en-US"/>
        </w:rPr>
        <w:t xml:space="preserve"> </w:t>
      </w:r>
      <w:r w:rsidRPr="00F36D85">
        <w:rPr>
          <w:color w:val="000000"/>
          <w:lang w:eastAsia="en-US"/>
        </w:rPr>
        <w:t>2015)</w:t>
      </w:r>
      <w:r>
        <w:rPr>
          <w:color w:val="000000"/>
          <w:lang w:eastAsia="en-US"/>
        </w:rPr>
        <w:t xml:space="preserve">. </w:t>
      </w:r>
      <w:r>
        <w:t xml:space="preserve">The evidence here shows that niching brands certainly have </w:t>
      </w:r>
      <w:r w:rsidRPr="00F36D85">
        <w:t xml:space="preserve">a limited user base but </w:t>
      </w:r>
      <w:r>
        <w:t xml:space="preserve">they </w:t>
      </w:r>
      <w:r w:rsidRPr="00F36D85">
        <w:t xml:space="preserve">have only a marginally higher loyalty, </w:t>
      </w:r>
      <w:r>
        <w:t>typically</w:t>
      </w:r>
      <w:r w:rsidRPr="00F36D85">
        <w:t xml:space="preserve"> based on </w:t>
      </w:r>
      <w:r>
        <w:t>a</w:t>
      </w:r>
      <w:r w:rsidRPr="00F36D85">
        <w:t xml:space="preserve"> functional difference. </w:t>
      </w:r>
    </w:p>
    <w:p w14:paraId="2B0A9C8E" w14:textId="77777777" w:rsidR="006E768F" w:rsidRDefault="006E768F" w:rsidP="006E768F">
      <w:pPr>
        <w:jc w:val="center"/>
        <w:rPr>
          <w:noProof/>
        </w:rPr>
      </w:pPr>
    </w:p>
    <w:p w14:paraId="5124B6B9" w14:textId="77777777" w:rsidR="006E768F" w:rsidRDefault="006E768F" w:rsidP="006E768F">
      <w:pPr>
        <w:jc w:val="center"/>
      </w:pPr>
      <w:r>
        <w:rPr>
          <w:noProof/>
        </w:rPr>
        <w:t>---------------------</w:t>
      </w:r>
    </w:p>
    <w:p w14:paraId="0882A775" w14:textId="1910C6BE" w:rsidR="006E768F" w:rsidRDefault="006E768F" w:rsidP="006E768F">
      <w:pPr>
        <w:jc w:val="center"/>
      </w:pPr>
      <w:r>
        <w:t>Table 7 about here</w:t>
      </w:r>
    </w:p>
    <w:p w14:paraId="175EFB96" w14:textId="77777777" w:rsidR="006E768F" w:rsidRPr="00162B4D" w:rsidRDefault="006E768F" w:rsidP="006E768F">
      <w:pPr>
        <w:jc w:val="center"/>
      </w:pPr>
      <w:r>
        <w:rPr>
          <w:noProof/>
        </w:rPr>
        <w:t>---------------------</w:t>
      </w:r>
    </w:p>
    <w:p w14:paraId="31E6794B" w14:textId="77777777" w:rsidR="006E768F" w:rsidRPr="00EB301F" w:rsidRDefault="006E768F" w:rsidP="006E768F">
      <w:pPr>
        <w:spacing w:after="120"/>
      </w:pPr>
    </w:p>
    <w:p w14:paraId="71C7F6E1" w14:textId="77777777" w:rsidR="006E768F" w:rsidRPr="00520C21" w:rsidRDefault="006E768F" w:rsidP="006E768F">
      <w:pPr>
        <w:spacing w:after="120" w:line="480" w:lineRule="auto"/>
        <w:rPr>
          <w:i/>
        </w:rPr>
      </w:pPr>
      <w:r>
        <w:rPr>
          <w:i/>
        </w:rPr>
        <w:t xml:space="preserve">Deficit Loyalty </w:t>
      </w:r>
      <w:r>
        <w:t>As a counterpoint to the excess purchase frequency seen for many large brands, very small brands often show lower frequency than predicted (Table 4 above shows average deficit of 14% for brands with share less than 1%). This is perhaps not surprising given that very small brands will often have patchy availability and low levels of support, leading to low opportunity for regular choice. Sometimes the same characteristics of low loyalty coupled with a larger than expected penetration are found in bigger brands. Kahn et al (1988) use the term “Change of Pace”, meaning a brand that is</w:t>
      </w:r>
      <w:r w:rsidRPr="002B3A56">
        <w:t xml:space="preserve"> only occasionally</w:t>
      </w:r>
      <w:r>
        <w:t xml:space="preserve"> chosen by its users specifically because it is not part of their regular repertoire, i.e. change for change’s sake</w:t>
      </w:r>
      <w:r w:rsidRPr="002B3A56">
        <w:t>.</w:t>
      </w:r>
      <w:r>
        <w:t xml:space="preserve"> </w:t>
      </w:r>
      <w:r w:rsidRPr="002B3A56">
        <w:t xml:space="preserve"> </w:t>
      </w:r>
      <w:r>
        <w:t xml:space="preserve">Other authors use the term “Variety Seeking” in the same way, Van Trijp et al (1996) arguing that </w:t>
      </w:r>
      <w:r w:rsidRPr="00645630">
        <w:t>variation in behavio</w:t>
      </w:r>
      <w:r>
        <w:t>u</w:t>
      </w:r>
      <w:r w:rsidRPr="00645630">
        <w:t>r should be attributed to true variety seeking only when variation is rewarding in itself</w:t>
      </w:r>
      <w:r>
        <w:t>.</w:t>
      </w:r>
    </w:p>
    <w:p w14:paraId="1F56FE44" w14:textId="77777777" w:rsidR="006E768F" w:rsidRDefault="006E768F" w:rsidP="006E768F">
      <w:pPr>
        <w:spacing w:after="120" w:line="480" w:lineRule="auto"/>
        <w:outlineLvl w:val="0"/>
      </w:pPr>
      <w:r w:rsidRPr="002B3A56">
        <w:t>Tab</w:t>
      </w:r>
      <w:r w:rsidRPr="00341056">
        <w:t xml:space="preserve">le </w:t>
      </w:r>
      <w:r>
        <w:t>8</w:t>
      </w:r>
      <w:r w:rsidRPr="00341056">
        <w:t xml:space="preserve"> gives examples of </w:t>
      </w:r>
      <w:r>
        <w:t>lower than expected frequency</w:t>
      </w:r>
      <w:r w:rsidRPr="00341056">
        <w:t xml:space="preserve"> found in</w:t>
      </w:r>
      <w:r>
        <w:t xml:space="preserve"> </w:t>
      </w:r>
      <w:r w:rsidRPr="002B3A56">
        <w:t>our database.</w:t>
      </w:r>
      <w:r>
        <w:t xml:space="preserve">  Unlike the rarity of our niche examples, there are several hundred showing this characteristic in our data, over 100 with penetration greater than 5%, share greater than 2% and frequency deficit of 10% or more.</w:t>
      </w:r>
    </w:p>
    <w:p w14:paraId="6765392A" w14:textId="77777777" w:rsidR="006E768F" w:rsidRDefault="006E768F" w:rsidP="006E768F">
      <w:pPr>
        <w:jc w:val="center"/>
      </w:pPr>
      <w:r>
        <w:rPr>
          <w:noProof/>
        </w:rPr>
        <w:t>---------------------</w:t>
      </w:r>
    </w:p>
    <w:p w14:paraId="314EDE85" w14:textId="33A51CE6" w:rsidR="006E768F" w:rsidRDefault="006E768F" w:rsidP="006E768F">
      <w:pPr>
        <w:jc w:val="center"/>
      </w:pPr>
      <w:r>
        <w:t>Table 8 about here</w:t>
      </w:r>
    </w:p>
    <w:p w14:paraId="39BB5B20" w14:textId="77777777" w:rsidR="006E768F" w:rsidRPr="00D36394" w:rsidRDefault="006E768F" w:rsidP="006E768F">
      <w:pPr>
        <w:jc w:val="center"/>
      </w:pPr>
      <w:r>
        <w:rPr>
          <w:noProof/>
        </w:rPr>
        <w:t>---------------------</w:t>
      </w:r>
    </w:p>
    <w:p w14:paraId="63A3A70D" w14:textId="77777777" w:rsidR="006E768F" w:rsidRPr="00F10F86" w:rsidRDefault="006E768F" w:rsidP="006E768F">
      <w:pPr>
        <w:spacing w:after="120"/>
        <w:rPr>
          <w:i/>
        </w:rPr>
      </w:pPr>
    </w:p>
    <w:p w14:paraId="184C820E" w14:textId="338ADBCD" w:rsidR="006E768F" w:rsidRDefault="006E768F" w:rsidP="006E768F">
      <w:pPr>
        <w:spacing w:after="120" w:line="480" w:lineRule="auto"/>
        <w:outlineLvl w:val="0"/>
      </w:pPr>
      <w:r>
        <w:t xml:space="preserve">As with brands with niche characteristics, some of these deficit loyalty brands also seem to exhibit functional differences: for </w:t>
      </w:r>
      <w:r w:rsidR="00AD5986">
        <w:t>example,</w:t>
      </w:r>
      <w:r>
        <w:t xml:space="preserve"> Calpol is an analgesic formulated specifically for children, and the three yoghurt brands in Table 8 are all low-fat varieties aimed at adults. On the other </w:t>
      </w:r>
      <w:r w:rsidR="00AD5986">
        <w:t>hand,</w:t>
      </w:r>
      <w:r>
        <w:t xml:space="preserve"> some of the examples seem fairly undifferentiated, certainly on a functional basis (e.g. the crisps, lemonade).</w:t>
      </w:r>
    </w:p>
    <w:p w14:paraId="4A260EE1" w14:textId="711F135F" w:rsidR="006E768F" w:rsidRPr="00F10F86" w:rsidRDefault="00AD5986" w:rsidP="006E768F">
      <w:pPr>
        <w:spacing w:after="120" w:line="480" w:lineRule="auto"/>
        <w:outlineLvl w:val="0"/>
      </w:pPr>
      <w:r>
        <w:t>So,</w:t>
      </w:r>
      <w:r w:rsidR="006E768F">
        <w:t xml:space="preserve"> while being differentiated may restrict the potential user base there are clearly cases where it also seems </w:t>
      </w:r>
      <w:r w:rsidR="006E768F" w:rsidRPr="00520C21">
        <w:rPr>
          <w:b/>
          <w:i/>
        </w:rPr>
        <w:t>to reduce</w:t>
      </w:r>
      <w:r w:rsidR="006E768F">
        <w:t xml:space="preserve"> rather than increase usage among brand buyers, and not all cases of deficit loyalty can be attributed to true variety seeking.  The point is that many, possibly the majority of small brands suffer lower loyalty than expected even given Double Jeopardy. The question for marketers then becomes how to manage and possibly improve such intermittent purchasing.</w:t>
      </w:r>
    </w:p>
    <w:p w14:paraId="3115A5A1" w14:textId="77777777" w:rsidR="006E768F" w:rsidRPr="00300AA8" w:rsidRDefault="006E768F" w:rsidP="006E768F">
      <w:pPr>
        <w:spacing w:after="120"/>
        <w:outlineLvl w:val="0"/>
        <w:rPr>
          <w:i/>
        </w:rPr>
      </w:pPr>
    </w:p>
    <w:p w14:paraId="267FEDCD" w14:textId="77777777" w:rsidR="006E768F" w:rsidRDefault="006E768F" w:rsidP="006E768F">
      <w:pPr>
        <w:spacing w:after="120"/>
      </w:pPr>
    </w:p>
    <w:p w14:paraId="14D2A2EC" w14:textId="77777777" w:rsidR="006E768F" w:rsidRPr="0024285D" w:rsidRDefault="006E768F" w:rsidP="006E768F">
      <w:pPr>
        <w:spacing w:after="240"/>
        <w:rPr>
          <w:i/>
        </w:rPr>
      </w:pPr>
      <w:r>
        <w:rPr>
          <w:i/>
        </w:rPr>
        <w:t>4.5 Partitions</w:t>
      </w:r>
    </w:p>
    <w:p w14:paraId="6FC0FC37" w14:textId="77777777" w:rsidR="006E768F" w:rsidRDefault="006E768F" w:rsidP="006E768F">
      <w:pPr>
        <w:spacing w:after="120" w:line="480" w:lineRule="auto"/>
        <w:outlineLvl w:val="0"/>
      </w:pPr>
      <w:r>
        <w:t>The Dirichlet makes predictions about the other brands that buyers of any brand will buy, modelling the Duplication of Purchase Law (Ehrenberg &amp; Goodhardt, 1970). The independence assumptions of the model (and of the earlier empirical generalisation) dictate that the market remains unpartitioned (that is groups of brands do not cluster in user portfolios). The Duplication of Purchase Law then says that buyers of any brand buy other brands in line with the other brands’ size (penetration) (Scriven and Danenberg, 2010). Results are usually presented in the form of a Duplication Table as in Table 9 here.</w:t>
      </w:r>
    </w:p>
    <w:p w14:paraId="5998CAEE" w14:textId="77777777" w:rsidR="006E768F" w:rsidRDefault="006E768F" w:rsidP="006E768F">
      <w:pPr>
        <w:spacing w:after="120" w:line="480" w:lineRule="auto"/>
        <w:outlineLvl w:val="0"/>
      </w:pPr>
      <w:r>
        <w:t xml:space="preserve">In some cases, brands do group in partitions, which can be identified by the deviations from the expected, unpartitioned pattern.  This usually reveals </w:t>
      </w:r>
      <w:r w:rsidRPr="006307F7">
        <w:t xml:space="preserve">sub-categories </w:t>
      </w:r>
      <w:r>
        <w:t>in which</w:t>
      </w:r>
      <w:r w:rsidRPr="006307F7">
        <w:t xml:space="preserve"> groups of products are </w:t>
      </w:r>
      <w:r>
        <w:t xml:space="preserve">functionally </w:t>
      </w:r>
      <w:r w:rsidRPr="006307F7">
        <w:t xml:space="preserve">different, </w:t>
      </w:r>
      <w:r>
        <w:t xml:space="preserve">and therefore we classify partitioning with other Double Jeopardy deviations. Brands within a sub-category compete more closely with each other and less with brands in other sub-categories. </w:t>
      </w:r>
    </w:p>
    <w:p w14:paraId="55ADFD87" w14:textId="77777777" w:rsidR="006E768F" w:rsidRDefault="006E768F" w:rsidP="006E768F">
      <w:pPr>
        <w:spacing w:after="120" w:line="480" w:lineRule="auto"/>
        <w:outlineLvl w:val="0"/>
      </w:pPr>
      <w:r>
        <w:t xml:space="preserve">We give two examples here, revealing two slightly different but typical competitive patterns. The first involves partitions where users in one partition tend to substitute brands from that partition for brands in the other partition.  In the second example, users in one group supplement usage with additional brands, i.e. they buy the main brands just as much as other users, but tend </w:t>
      </w:r>
      <w:r w:rsidRPr="00520C21">
        <w:rPr>
          <w:b/>
          <w:i/>
        </w:rPr>
        <w:t>to add</w:t>
      </w:r>
      <w:r>
        <w:t xml:space="preserve"> other brands that are much less used by other buyers.</w:t>
      </w:r>
    </w:p>
    <w:p w14:paraId="0EE4018F" w14:textId="77777777" w:rsidR="006E768F" w:rsidRDefault="006E768F" w:rsidP="006E768F">
      <w:pPr>
        <w:spacing w:after="120" w:line="480" w:lineRule="auto"/>
        <w:outlineLvl w:val="0"/>
      </w:pPr>
      <w:r>
        <w:t xml:space="preserve">The spreads market has three very clear partitions: butter, healthy spreads (oil based) and non-dairy buttery taste substitutes (e.g. the classic “I Can’t Believe It’s Not Butter” ICBINB).  </w:t>
      </w:r>
    </w:p>
    <w:p w14:paraId="5C1C726F" w14:textId="77777777" w:rsidR="006E768F" w:rsidRDefault="006E768F" w:rsidP="006E768F">
      <w:pPr>
        <w:spacing w:after="120" w:line="480" w:lineRule="auto"/>
        <w:outlineLvl w:val="0"/>
      </w:pPr>
      <w:r>
        <w:t xml:space="preserve">The butters and the butter substitute brands duplicate buyers much more with brands within their sub-group and rather less between brands in the other group (Table 9). However, the healthy spreads </w:t>
      </w:r>
      <w:r w:rsidRPr="00446173">
        <w:t xml:space="preserve">mostly show a normal level of duplication, between each other and </w:t>
      </w:r>
      <w:r>
        <w:t xml:space="preserve">with </w:t>
      </w:r>
      <w:r w:rsidRPr="00446173">
        <w:t xml:space="preserve">the brands in the other two groups.  Similarly, buyers of the other two groups show neither more nor less </w:t>
      </w:r>
      <w:r>
        <w:t xml:space="preserve">of a </w:t>
      </w:r>
      <w:r w:rsidRPr="00446173">
        <w:t xml:space="preserve">tendency to buy a brand in the Healthy group.  </w:t>
      </w:r>
      <w:r>
        <w:t>We conclude that b</w:t>
      </w:r>
      <w:r w:rsidRPr="00446173">
        <w:t xml:space="preserve">utter substitutes tend to displace butters in portfolios </w:t>
      </w:r>
      <w:r>
        <w:t xml:space="preserve">of butter-substitute users </w:t>
      </w:r>
      <w:r w:rsidRPr="00446173">
        <w:t>and vice versa</w:t>
      </w:r>
      <w:r>
        <w:t xml:space="preserve"> in the portfolios of butter users.</w:t>
      </w:r>
      <w:r w:rsidRPr="00446173">
        <w:t xml:space="preserve"> Healthy spreads </w:t>
      </w:r>
      <w:r>
        <w:t xml:space="preserve">are bought at similar levels across users in all subgroups, so tend to </w:t>
      </w:r>
      <w:r w:rsidRPr="00446173">
        <w:t xml:space="preserve">complement </w:t>
      </w:r>
      <w:r>
        <w:t>or</w:t>
      </w:r>
      <w:r w:rsidRPr="00446173">
        <w:t xml:space="preserve"> compete directly with brands in both other sub-groups.</w:t>
      </w:r>
    </w:p>
    <w:p w14:paraId="4A5F01F6" w14:textId="77777777" w:rsidR="006E768F" w:rsidRDefault="006E768F" w:rsidP="006E768F">
      <w:pPr>
        <w:jc w:val="center"/>
      </w:pPr>
      <w:r>
        <w:rPr>
          <w:noProof/>
        </w:rPr>
        <w:t>---------------------</w:t>
      </w:r>
    </w:p>
    <w:p w14:paraId="39DB1AF3" w14:textId="77777777" w:rsidR="006E768F" w:rsidRDefault="006E768F" w:rsidP="006E768F">
      <w:pPr>
        <w:jc w:val="center"/>
      </w:pPr>
      <w:r>
        <w:t>Table 9 about here</w:t>
      </w:r>
    </w:p>
    <w:p w14:paraId="25A5BB4A" w14:textId="77777777" w:rsidR="006E768F" w:rsidRPr="004A2EEC" w:rsidRDefault="006E768F" w:rsidP="006E768F">
      <w:pPr>
        <w:jc w:val="center"/>
      </w:pPr>
      <w:r>
        <w:rPr>
          <w:noProof/>
        </w:rPr>
        <w:t>---------------------</w:t>
      </w:r>
    </w:p>
    <w:p w14:paraId="620EC5A5" w14:textId="77777777" w:rsidR="006E768F" w:rsidRDefault="006E768F" w:rsidP="006E768F">
      <w:pPr>
        <w:spacing w:after="120"/>
        <w:rPr>
          <w:color w:val="000000"/>
        </w:rPr>
      </w:pPr>
    </w:p>
    <w:p w14:paraId="6BC13AE2" w14:textId="77777777" w:rsidR="006E768F" w:rsidRDefault="006E768F" w:rsidP="006E768F">
      <w:pPr>
        <w:spacing w:after="120" w:line="480" w:lineRule="auto"/>
        <w:outlineLvl w:val="0"/>
      </w:pPr>
      <w:r w:rsidRPr="00065FA7">
        <w:t xml:space="preserve">In </w:t>
      </w:r>
      <w:r>
        <w:t>this</w:t>
      </w:r>
      <w:r w:rsidRPr="00065FA7">
        <w:t xml:space="preserve"> example, the partitions are not clearly revealed in the penetrat</w:t>
      </w:r>
      <w:r>
        <w:t>ion and purchase frequency metrics alone, although ICBINB, Utterly Butterly and St Ivel Gold all have higher penetration and lower frequency than the prediction showing a slight “variety seeking” pattern. At the same time Lurpak and Flora both reveal a large excess frequency from lower penetration bases over their Dirichlet estimates, the Excess Loyalty for Brand Leaders deviation. The full set of metrics together with their deviations reveals the nature of the structure of competition in this market.</w:t>
      </w:r>
    </w:p>
    <w:p w14:paraId="6EFCD82D" w14:textId="77777777" w:rsidR="006E768F" w:rsidRDefault="006E768F" w:rsidP="006E768F">
      <w:pPr>
        <w:spacing w:after="120" w:line="480" w:lineRule="auto"/>
        <w:outlineLvl w:val="0"/>
      </w:pPr>
      <w:r>
        <w:t>In a second example, sugar confectionery, both the duplication table and the penetration/frequency metrics identify characteristics of partitions that clearly consist of products that are different and probably used in a different way. It could be argued that the sub-categories are different markets and so are not directly competitive even though all three product-types defined by the partitions are widely used across the buyers. Analysts using Dirichlet benchmarks can define a category of interest in many ways and the resulting patterns, including the deviations, will help to answer questions about competitive structure and market composition.</w:t>
      </w:r>
    </w:p>
    <w:p w14:paraId="74FE1BB9" w14:textId="77777777" w:rsidR="006E768F" w:rsidRPr="00065FA7" w:rsidRDefault="006E768F" w:rsidP="006E768F">
      <w:pPr>
        <w:spacing w:after="120" w:line="480" w:lineRule="auto"/>
        <w:outlineLvl w:val="0"/>
      </w:pPr>
      <w:r>
        <w:t>The large and fragmented sugar confectionery</w:t>
      </w:r>
      <w:r w:rsidRPr="004B155C">
        <w:t xml:space="preserve"> </w:t>
      </w:r>
      <w:r>
        <w:t>market contains several products that might appear to be “different”, such as mints, child oriented, hard, soft etc. The bottom half of Table 10 shows a number of small brands that might be classified as change of pace, whereas the first three brands in the table, the gum brands, all exhibit somewhat high frequency with a lower consumer base than predicted and certainly lower than other brands of similar size in the category. In other words, there is a potential limit to who is in the gum subcategory, but those who are in it buy rather more than expected relative to other confectionery.</w:t>
      </w:r>
    </w:p>
    <w:p w14:paraId="537A7F44" w14:textId="77777777" w:rsidR="006E768F" w:rsidRDefault="006E768F" w:rsidP="006E768F">
      <w:pPr>
        <w:jc w:val="center"/>
      </w:pPr>
      <w:r>
        <w:rPr>
          <w:noProof/>
        </w:rPr>
        <w:t>---------------------</w:t>
      </w:r>
    </w:p>
    <w:p w14:paraId="1D7145AC" w14:textId="77777777" w:rsidR="006E768F" w:rsidRDefault="006E768F" w:rsidP="006E768F">
      <w:pPr>
        <w:jc w:val="center"/>
      </w:pPr>
      <w:r>
        <w:t>Table 10 about here</w:t>
      </w:r>
    </w:p>
    <w:p w14:paraId="1D8A9587" w14:textId="77777777" w:rsidR="006E768F" w:rsidRPr="00162B4D" w:rsidRDefault="006E768F" w:rsidP="006E768F">
      <w:pPr>
        <w:jc w:val="center"/>
      </w:pPr>
      <w:r>
        <w:rPr>
          <w:noProof/>
        </w:rPr>
        <w:t>---------------------</w:t>
      </w:r>
    </w:p>
    <w:p w14:paraId="68971ECD" w14:textId="77777777" w:rsidR="006E768F" w:rsidRDefault="006E768F" w:rsidP="006E768F">
      <w:pPr>
        <w:spacing w:after="120"/>
        <w:ind w:left="360"/>
        <w:rPr>
          <w:color w:val="000000"/>
        </w:rPr>
      </w:pPr>
    </w:p>
    <w:p w14:paraId="0885989C" w14:textId="77777777" w:rsidR="006E768F" w:rsidRDefault="006E768F" w:rsidP="006E768F">
      <w:pPr>
        <w:spacing w:after="120" w:line="480" w:lineRule="auto"/>
        <w:outlineLvl w:val="0"/>
      </w:pPr>
      <w:r w:rsidRPr="003E5B16">
        <w:t xml:space="preserve">The </w:t>
      </w:r>
      <w:r>
        <w:t xml:space="preserve">accompanying </w:t>
      </w:r>
      <w:r w:rsidRPr="003E5B16">
        <w:t xml:space="preserve">duplications in </w:t>
      </w:r>
      <w:r>
        <w:t>T</w:t>
      </w:r>
      <w:r w:rsidRPr="003E5B16">
        <w:t xml:space="preserve">able 11 confirm </w:t>
      </w:r>
      <w:r>
        <w:t xml:space="preserve">that </w:t>
      </w:r>
      <w:r w:rsidRPr="003E5B16">
        <w:t xml:space="preserve">there is much higher sharing </w:t>
      </w:r>
      <w:r>
        <w:t xml:space="preserve">of buyers </w:t>
      </w:r>
      <w:r w:rsidRPr="003E5B16">
        <w:t>between the brands of gum</w:t>
      </w:r>
      <w:r>
        <w:t xml:space="preserve"> (top left of table) than the empirical generalisation suggests</w:t>
      </w:r>
      <w:r w:rsidRPr="003E5B16">
        <w:t>.  Also</w:t>
      </w:r>
      <w:r>
        <w:t xml:space="preserve">, there is </w:t>
      </w:r>
      <w:r w:rsidRPr="003E5B16">
        <w:t xml:space="preserve">higher </w:t>
      </w:r>
      <w:r>
        <w:t>sharing between</w:t>
      </w:r>
      <w:r w:rsidRPr="003E5B16">
        <w:t xml:space="preserve"> some of the change of pace brands and with the major non-gum brands.  There is not the space in this paper to cover all the nuances of competition in this market</w:t>
      </w:r>
      <w:r>
        <w:t>,</w:t>
      </w:r>
      <w:r w:rsidRPr="003E5B16">
        <w:t xml:space="preserve"> </w:t>
      </w:r>
      <w:r>
        <w:t xml:space="preserve">which are </w:t>
      </w:r>
      <w:r w:rsidRPr="003E5B16">
        <w:t xml:space="preserve">revealed by the </w:t>
      </w:r>
      <w:r>
        <w:t>Dirichlet D</w:t>
      </w:r>
      <w:r w:rsidRPr="003E5B16">
        <w:t>eviations, but it is clear that gum operates in a different way</w:t>
      </w:r>
      <w:r>
        <w:t xml:space="preserve"> from other sugar brands. </w:t>
      </w:r>
    </w:p>
    <w:p w14:paraId="083C4F00" w14:textId="77777777" w:rsidR="006E768F" w:rsidRDefault="006E768F" w:rsidP="006E768F">
      <w:pPr>
        <w:jc w:val="center"/>
      </w:pPr>
      <w:r>
        <w:rPr>
          <w:noProof/>
        </w:rPr>
        <w:t>---------------------</w:t>
      </w:r>
    </w:p>
    <w:p w14:paraId="0CAF5A91" w14:textId="77777777" w:rsidR="006E768F" w:rsidRDefault="006E768F" w:rsidP="006E768F">
      <w:pPr>
        <w:jc w:val="center"/>
      </w:pPr>
      <w:r>
        <w:t>Table 11 about here</w:t>
      </w:r>
    </w:p>
    <w:p w14:paraId="3E321C8E" w14:textId="77777777" w:rsidR="006E768F" w:rsidRPr="004B155C" w:rsidRDefault="006E768F" w:rsidP="006E768F">
      <w:pPr>
        <w:jc w:val="center"/>
      </w:pPr>
      <w:r>
        <w:rPr>
          <w:noProof/>
        </w:rPr>
        <w:t>---------------------</w:t>
      </w:r>
    </w:p>
    <w:p w14:paraId="237E500D" w14:textId="77777777" w:rsidR="006E768F" w:rsidRDefault="006E768F" w:rsidP="006E768F">
      <w:pPr>
        <w:spacing w:after="120"/>
        <w:rPr>
          <w:b/>
          <w:u w:val="single"/>
        </w:rPr>
      </w:pPr>
    </w:p>
    <w:p w14:paraId="3FD1BBBE" w14:textId="77777777" w:rsidR="006E768F" w:rsidRDefault="006E768F" w:rsidP="006E768F">
      <w:pPr>
        <w:spacing w:after="240" w:line="480" w:lineRule="auto"/>
      </w:pPr>
      <w:r>
        <w:t>Knowledge of Dirichlet theory and the Duplication of Purchase patterns give marketing managers a benchmark for “normal” buying, which together with deviations provide insight about market structure and competitive threats.</w:t>
      </w:r>
    </w:p>
    <w:p w14:paraId="4FF91B4C" w14:textId="77777777" w:rsidR="007B05F6" w:rsidRDefault="007B05F6" w:rsidP="00EB301F">
      <w:pPr>
        <w:spacing w:after="120"/>
        <w:rPr>
          <w:b/>
          <w:u w:val="single"/>
        </w:rPr>
      </w:pPr>
    </w:p>
    <w:p w14:paraId="22991571" w14:textId="77777777" w:rsidR="007B05F6" w:rsidRPr="00D07677" w:rsidRDefault="007B05F6" w:rsidP="00EB301F">
      <w:pPr>
        <w:spacing w:after="120"/>
        <w:rPr>
          <w:b/>
          <w:u w:val="single"/>
        </w:rPr>
      </w:pPr>
    </w:p>
    <w:p w14:paraId="6D7818CA" w14:textId="01E9B93E" w:rsidR="00CB76D7" w:rsidRPr="00B2562F" w:rsidRDefault="00B2562F" w:rsidP="00FD4439">
      <w:pPr>
        <w:spacing w:after="120"/>
        <w:outlineLvl w:val="0"/>
        <w:rPr>
          <w:b/>
        </w:rPr>
      </w:pPr>
      <w:r w:rsidRPr="00B2562F">
        <w:rPr>
          <w:b/>
        </w:rPr>
        <w:t xml:space="preserve">5. </w:t>
      </w:r>
      <w:r w:rsidR="00AD172D" w:rsidRPr="00B2562F">
        <w:rPr>
          <w:b/>
        </w:rPr>
        <w:t>Conclusion</w:t>
      </w:r>
      <w:r w:rsidR="00B55143">
        <w:rPr>
          <w:b/>
        </w:rPr>
        <w:t xml:space="preserve"> &amp; Discussion</w:t>
      </w:r>
    </w:p>
    <w:p w14:paraId="335BEC81" w14:textId="77777777" w:rsidR="001031F4" w:rsidRDefault="001031F4" w:rsidP="00FD4439">
      <w:pPr>
        <w:spacing w:after="120"/>
        <w:outlineLvl w:val="0"/>
        <w:rPr>
          <w:b/>
          <w:u w:val="single"/>
        </w:rPr>
      </w:pPr>
    </w:p>
    <w:p w14:paraId="66FDE506" w14:textId="77777777" w:rsidR="00CB6EDF" w:rsidRDefault="00CB6EDF" w:rsidP="00CB6EDF">
      <w:pPr>
        <w:spacing w:line="480" w:lineRule="auto"/>
      </w:pPr>
      <w:r w:rsidRPr="00BD3CD4">
        <w:t xml:space="preserve">Any competitive market structure fitted with a Dirichlet model will show deviations between observed and modelled values. Some </w:t>
      </w:r>
      <w:r>
        <w:t>occur when</w:t>
      </w:r>
      <w:r w:rsidRPr="00BD3CD4">
        <w:t>, as a result of a marketing intervention</w:t>
      </w:r>
      <w:r>
        <w:t>, individual brands disrupt market</w:t>
      </w:r>
      <w:r w:rsidRPr="00BD3CD4">
        <w:t xml:space="preserve"> equilibrium</w:t>
      </w:r>
      <w:r>
        <w:t>.</w:t>
      </w:r>
      <w:r w:rsidRPr="00BD3CD4">
        <w:t xml:space="preserve"> Dirichlet analysts </w:t>
      </w:r>
      <w:r>
        <w:t>can then derive useful insight by</w:t>
      </w:r>
      <w:r w:rsidRPr="00BD3CD4">
        <w:t xml:space="preserve"> evaluat</w:t>
      </w:r>
      <w:r>
        <w:t>ing</w:t>
      </w:r>
      <w:r w:rsidRPr="00BD3CD4">
        <w:t xml:space="preserve"> the </w:t>
      </w:r>
      <w:r>
        <w:t xml:space="preserve">brand </w:t>
      </w:r>
      <w:r w:rsidRPr="00BD3CD4">
        <w:t xml:space="preserve">performance metrics </w:t>
      </w:r>
      <w:r>
        <w:t>in a second period</w:t>
      </w:r>
      <w:r w:rsidRPr="00BD3CD4">
        <w:t xml:space="preserve"> against </w:t>
      </w:r>
      <w:r>
        <w:t>stationary norms and the marketing objectives they set.</w:t>
      </w:r>
      <w:r w:rsidRPr="00BD3CD4">
        <w:t xml:space="preserve">  Two further </w:t>
      </w:r>
      <w:r>
        <w:t>types</w:t>
      </w:r>
      <w:r w:rsidRPr="00BD3CD4">
        <w:t xml:space="preserve"> </w:t>
      </w:r>
      <w:r>
        <w:t>of variance have also been</w:t>
      </w:r>
      <w:r w:rsidRPr="00BD3CD4">
        <w:t xml:space="preserve"> consistently </w:t>
      </w:r>
      <w:r>
        <w:t>reported</w:t>
      </w:r>
      <w:r w:rsidRPr="00C44391">
        <w:t xml:space="preserve"> </w:t>
      </w:r>
      <w:r>
        <w:t>to occur, but in the continuing near-steady state. There are five</w:t>
      </w:r>
      <w:r w:rsidRPr="00BD3CD4">
        <w:t xml:space="preserve"> Double Jeopardy </w:t>
      </w:r>
      <w:r>
        <w:t>deviations frequently observed</w:t>
      </w:r>
      <w:r w:rsidRPr="00BD3CD4">
        <w:t xml:space="preserve"> for some brands</w:t>
      </w:r>
      <w:r>
        <w:t xml:space="preserve"> in some categories, and also four further systematic deviations that occur for all brands in every category.</w:t>
      </w:r>
      <w:r w:rsidRPr="00BD3CD4">
        <w:t xml:space="preserve"> </w:t>
      </w:r>
      <w:r>
        <w:t>There have been</w:t>
      </w:r>
      <w:r w:rsidRPr="005500A6">
        <w:t xml:space="preserve"> calls to record and categorise the</w:t>
      </w:r>
      <w:r>
        <w:t>se latter types of deviation</w:t>
      </w:r>
      <w:r w:rsidRPr="005500A6">
        <w:t xml:space="preserve"> </w:t>
      </w:r>
      <w:r>
        <w:t xml:space="preserve">systematically </w:t>
      </w:r>
      <w:r w:rsidRPr="005500A6">
        <w:t xml:space="preserve">so that analysts may </w:t>
      </w:r>
      <w:r>
        <w:t xml:space="preserve">better </w:t>
      </w:r>
      <w:r w:rsidRPr="005500A6">
        <w:t xml:space="preserve">understand them as a possible context for </w:t>
      </w:r>
      <w:r>
        <w:t xml:space="preserve">the first, </w:t>
      </w:r>
      <w:r w:rsidRPr="005500A6">
        <w:t>marketing driven</w:t>
      </w:r>
      <w:r>
        <w:t>, type of variance</w:t>
      </w:r>
      <w:r w:rsidRPr="005500A6">
        <w:t xml:space="preserve"> </w:t>
      </w:r>
      <w:r>
        <w:t>(Ehrenberg et al., 2004). This study</w:t>
      </w:r>
      <w:r w:rsidRPr="005500A6">
        <w:t xml:space="preserve"> </w:t>
      </w:r>
      <w:r>
        <w:t xml:space="preserve">has therefore </w:t>
      </w:r>
      <w:r w:rsidRPr="005500A6">
        <w:t>reviewed the incidence, extent and nature</w:t>
      </w:r>
      <w:r>
        <w:t xml:space="preserve"> of nine Dirichlet deviations, drawing together </w:t>
      </w:r>
      <w:r w:rsidRPr="005500A6">
        <w:t>evidence for the first time from a single, extensive database</w:t>
      </w:r>
      <w:r>
        <w:t>.</w:t>
      </w:r>
      <w:r w:rsidRPr="005500A6">
        <w:t xml:space="preserve"> </w:t>
      </w:r>
    </w:p>
    <w:p w14:paraId="3547F285" w14:textId="77777777" w:rsidR="00CB6EDF" w:rsidRDefault="00CB6EDF" w:rsidP="00CB6EDF">
      <w:pPr>
        <w:spacing w:line="480" w:lineRule="auto"/>
      </w:pPr>
    </w:p>
    <w:p w14:paraId="242F9BE7" w14:textId="77777777" w:rsidR="00CB6EDF" w:rsidRDefault="00CB6EDF" w:rsidP="00CB6EDF">
      <w:pPr>
        <w:spacing w:line="480" w:lineRule="auto"/>
      </w:pPr>
      <w:r>
        <w:t xml:space="preserve">Results are summarised in Table 12, and compared with those from prior replication studies, which have generally considered only one or two of the deviations in isolation. We now refer to the findings in discussing their implications for theory, marketing strategy and further model development.  </w:t>
      </w:r>
    </w:p>
    <w:p w14:paraId="517CC09D" w14:textId="77777777" w:rsidR="00CB6EDF" w:rsidRDefault="00CB6EDF" w:rsidP="00CB6EDF">
      <w:pPr>
        <w:spacing w:line="480" w:lineRule="auto"/>
      </w:pPr>
    </w:p>
    <w:p w14:paraId="39F61CC1" w14:textId="77777777" w:rsidR="00CB6EDF" w:rsidRDefault="00CB6EDF" w:rsidP="00CB6EDF">
      <w:pPr>
        <w:jc w:val="center"/>
      </w:pPr>
      <w:r>
        <w:t>-----------------------</w:t>
      </w:r>
    </w:p>
    <w:p w14:paraId="31B9EA29" w14:textId="77777777" w:rsidR="00CB6EDF" w:rsidRPr="00BD3CD4" w:rsidRDefault="00CB6EDF" w:rsidP="00CB6EDF">
      <w:pPr>
        <w:jc w:val="center"/>
      </w:pPr>
      <w:r>
        <w:t>Table 12 about here</w:t>
      </w:r>
    </w:p>
    <w:p w14:paraId="4458FCC3" w14:textId="77777777" w:rsidR="00CB6EDF" w:rsidRDefault="00CB6EDF" w:rsidP="00CB6EDF">
      <w:pPr>
        <w:jc w:val="center"/>
      </w:pPr>
      <w:r>
        <w:t>-----------------------</w:t>
      </w:r>
    </w:p>
    <w:p w14:paraId="24E5A4D3" w14:textId="77777777" w:rsidR="00CB6EDF" w:rsidRDefault="00CB6EDF" w:rsidP="00CB6EDF"/>
    <w:p w14:paraId="18F10048" w14:textId="77777777" w:rsidR="00CB6EDF" w:rsidRDefault="00CB6EDF" w:rsidP="00CB6EDF"/>
    <w:p w14:paraId="70A48486" w14:textId="5EB731BF" w:rsidR="00CB6EDF" w:rsidRDefault="00CB6EDF" w:rsidP="00CB6EDF">
      <w:pPr>
        <w:spacing w:line="480" w:lineRule="auto"/>
      </w:pPr>
      <w:r>
        <w:t xml:space="preserve">First, the research has delivered a major replication of earlier work on Dirichlet deviations, examining behavioural norms and model fittings in over sixty categories and encompassing more than1300 brands. We found that the incidence and extent of the deviations continues to reflect prior research findings, some of which were first reported over thirty years ago but from far smaller data sets. The Table compares the present findings with earlier </w:t>
      </w:r>
      <w:r w:rsidR="001B1467">
        <w:t xml:space="preserve">results.  </w:t>
      </w:r>
    </w:p>
    <w:p w14:paraId="727CF59F" w14:textId="77777777" w:rsidR="00CB6EDF" w:rsidRDefault="00CB6EDF" w:rsidP="00CB6EDF">
      <w:pPr>
        <w:spacing w:line="480" w:lineRule="auto"/>
      </w:pPr>
    </w:p>
    <w:p w14:paraId="3EE7D929" w14:textId="60526E08" w:rsidR="00CB6EDF" w:rsidRDefault="00CB6EDF" w:rsidP="00CB6EDF">
      <w:pPr>
        <w:spacing w:line="480" w:lineRule="auto"/>
      </w:pPr>
      <w:r>
        <w:t xml:space="preserve">Second, from the review of literature it was notable that the focus of early attention had been on the Double Jeopardy deviations (Khan et al., 1988) later establishing individual deviations as norms in their own right (e.g. Bhattacharya, 1997; Fader &amp; Schmittlein, 1993; Pare &amp; Dawes, 2012). When viewed together though, the nine deviations fall into </w:t>
      </w:r>
      <w:r w:rsidRPr="00706098">
        <w:rPr>
          <w:i/>
        </w:rPr>
        <w:t>two</w:t>
      </w:r>
      <w:r>
        <w:t xml:space="preserve"> types: the Double Jeopardy deviations, which affect individual brands, and the systematic deviations that affect all brands in the fitting. When taken as a set the Double Jeopardy deviations describe a slightly steeper DJ curve in observed than modelled data (Li </w:t>
      </w:r>
      <w:r w:rsidRPr="000A4F19">
        <w:rPr>
          <w:i/>
        </w:rPr>
        <w:t>et al.,</w:t>
      </w:r>
      <w:r>
        <w:t xml:space="preserve"> 2006; Trinh </w:t>
      </w:r>
      <w:r w:rsidRPr="00B4001A">
        <w:rPr>
          <w:i/>
        </w:rPr>
        <w:t>et al.,</w:t>
      </w:r>
      <w:r>
        <w:t xml:space="preserve"> 201</w:t>
      </w:r>
      <w:r w:rsidR="00AF3553">
        <w:t>4</w:t>
      </w:r>
      <w:r>
        <w:t xml:space="preserve">), while the second set suggest that purchase propensities are not be quite fixed (East and Hammond, 1996; Ehrenberg, 1988). Both types of deviation have theoretical implications for Dirichlet analysts, and prompt continuing work on model adaptations. </w:t>
      </w:r>
    </w:p>
    <w:p w14:paraId="5F82D23C" w14:textId="77777777" w:rsidR="00CB6EDF" w:rsidRDefault="00CB6EDF" w:rsidP="00CB6EDF">
      <w:pPr>
        <w:spacing w:line="480" w:lineRule="auto"/>
      </w:pPr>
    </w:p>
    <w:p w14:paraId="38C8278E" w14:textId="5E98CAD5" w:rsidR="00CB6EDF" w:rsidRDefault="00CB6EDF" w:rsidP="00CB6EDF">
      <w:pPr>
        <w:spacing w:line="480" w:lineRule="auto"/>
      </w:pPr>
      <w:r>
        <w:t xml:space="preserve">Third, it was noted that </w:t>
      </w:r>
      <w:r w:rsidRPr="00724B62">
        <w:rPr>
          <w:i/>
        </w:rPr>
        <w:t>despite</w:t>
      </w:r>
      <w:r>
        <w:t xml:space="preserve"> the existence of the deviations,</w:t>
      </w:r>
      <w:r w:rsidRPr="001D212B">
        <w:t xml:space="preserve"> </w:t>
      </w:r>
      <w:r>
        <w:t xml:space="preserve">brand shares remained stable. Dirichlet deviations do not appear to lead to brand growth or decline, but are rather, “a marketing fact of life” as East &amp; Hammond (1996) described the Erosion of Repeat Purchase Loyalty.  It is however important for managers to understand the implications of any </w:t>
      </w:r>
      <w:r w:rsidR="001B1467">
        <w:t xml:space="preserve">identified </w:t>
      </w:r>
      <w:r>
        <w:t xml:space="preserve">deviation </w:t>
      </w:r>
      <w:r w:rsidR="001B1467">
        <w:t>for</w:t>
      </w:r>
      <w:r>
        <w:t xml:space="preserve"> brand performance</w:t>
      </w:r>
      <w:r w:rsidR="001B1467">
        <w:t xml:space="preserve">. In section 4 we demonstrated examples of this type of analysis, and </w:t>
      </w:r>
      <w:r>
        <w:t xml:space="preserve">in Table 12 </w:t>
      </w:r>
      <w:r w:rsidR="001B1467">
        <w:t xml:space="preserve">the implications </w:t>
      </w:r>
      <w:r>
        <w:t>are highlighted, and then discussed in more detail in Section 5.2</w:t>
      </w:r>
    </w:p>
    <w:p w14:paraId="71A251AB" w14:textId="77777777" w:rsidR="00CB6EDF" w:rsidRDefault="00CB6EDF" w:rsidP="00CB6EDF">
      <w:pPr>
        <w:spacing w:line="480" w:lineRule="auto"/>
      </w:pPr>
    </w:p>
    <w:p w14:paraId="7B23FA37" w14:textId="77777777" w:rsidR="00CB6EDF" w:rsidRPr="00825C36" w:rsidRDefault="00CB6EDF" w:rsidP="00CB6EDF">
      <w:pPr>
        <w:rPr>
          <w:i/>
        </w:rPr>
      </w:pPr>
      <w:r w:rsidRPr="00825C36">
        <w:rPr>
          <w:i/>
        </w:rPr>
        <w:t>5.1 Implications for Dirichlet theory</w:t>
      </w:r>
    </w:p>
    <w:p w14:paraId="2E42FBCE" w14:textId="77777777" w:rsidR="00CB6EDF" w:rsidRPr="00825C36" w:rsidRDefault="00CB6EDF" w:rsidP="00CB6EDF">
      <w:pPr>
        <w:rPr>
          <w:i/>
        </w:rPr>
      </w:pPr>
    </w:p>
    <w:p w14:paraId="5AC2CFFF" w14:textId="24EBAD35" w:rsidR="00CB6EDF" w:rsidRPr="00825C36" w:rsidRDefault="00CB6EDF" w:rsidP="00CB6EDF">
      <w:pPr>
        <w:spacing w:after="120" w:line="480" w:lineRule="auto"/>
        <w:outlineLvl w:val="0"/>
      </w:pPr>
      <w:r w:rsidRPr="00825C36">
        <w:t xml:space="preserve">The theoretical assumptions of the Dirichlet are strict, but since the main effects observed in near habitual split loyal buying patterns are closely described, they are broadly supported. The deviations do however suggest some shift in consumer propensities away from </w:t>
      </w:r>
      <w:r w:rsidR="001B1467">
        <w:t>a</w:t>
      </w:r>
      <w:r w:rsidR="001B1467" w:rsidRPr="00825C36">
        <w:t xml:space="preserve"> </w:t>
      </w:r>
      <w:r w:rsidRPr="00825C36">
        <w:t xml:space="preserve">steady state. First, there is an almost universal erosion in brand purchase propensities, indicating that consumers occasionally change their brand preferences and therefore underlying propensities are not truly fixed. Erosion happens relatively more for small brands than big ones, but what is most surprising is that the effect tends to be balanced, giving the impression of stationarity despite the fact that 15% of the expected repeat buyers are lost in a year (East &amp; Hammond, 1996). </w:t>
      </w:r>
      <w:r>
        <w:t xml:space="preserve">In the Dirichlet analysis this </w:t>
      </w:r>
      <w:r w:rsidRPr="00825C36">
        <w:t>non-stationarity leads to systematic deviations in under and over predictions of light and heavy buying</w:t>
      </w:r>
      <w:r>
        <w:t>,</w:t>
      </w:r>
      <w:r w:rsidRPr="00825C36">
        <w:t xml:space="preserve"> giving a flatter distribution of purchase heterogeneity, and a lower observed repeat rate. </w:t>
      </w:r>
    </w:p>
    <w:p w14:paraId="7EB25262" w14:textId="1E488F85" w:rsidR="00CB6EDF" w:rsidRPr="00825C36" w:rsidRDefault="00CB6EDF" w:rsidP="00CB6EDF">
      <w:pPr>
        <w:spacing w:after="120" w:line="480" w:lineRule="auto"/>
        <w:outlineLvl w:val="0"/>
      </w:pPr>
      <w:r w:rsidRPr="00825C36">
        <w:t xml:space="preserve">Second, there is evidence in some categories of partitioning (brand propensities not evenly distributed through the population, thus breaching the independence assumptions).  The reason is often simply explained by differences in availability or usage on a seasonal or regional basis or sometimes a clear functional difference in product attributes that has a real effect on usage. With seasonality and regionality there is often nothing a marketer can do other than be aware of how it affects the metrics. It is simply the nature of competition in that market, and the Deviations quantify </w:t>
      </w:r>
      <w:r w:rsidR="001B1467">
        <w:t>this</w:t>
      </w:r>
      <w:r w:rsidRPr="00825C36">
        <w:t xml:space="preserve">. </w:t>
      </w:r>
    </w:p>
    <w:p w14:paraId="1A0F7742" w14:textId="054DBB92" w:rsidR="00CB6EDF" w:rsidRPr="00825C36" w:rsidRDefault="00CB6EDF" w:rsidP="00CB6EDF">
      <w:pPr>
        <w:spacing w:after="120" w:line="480" w:lineRule="auto"/>
        <w:outlineLvl w:val="0"/>
      </w:pPr>
      <w:r>
        <w:t>Niche and Change of Pace brands</w:t>
      </w:r>
      <w:r w:rsidRPr="00825C36">
        <w:t xml:space="preserve"> have a bit more or a bit less loyal usage than the norm </w:t>
      </w:r>
      <w:r>
        <w:t>identifies</w:t>
      </w:r>
      <w:r w:rsidRPr="00825C36">
        <w:t xml:space="preserve">. This points to the shape of propensity distributions being slightly different for some brands. But niche brands tend to be small because they have a restricted audience who still also buy the main brands. A different propensity distribution could also be the cause of the brand leader excess loyalty pattern, but that </w:t>
      </w:r>
      <w:r w:rsidR="001B1467">
        <w:t>remains</w:t>
      </w:r>
      <w:r w:rsidRPr="00825C36">
        <w:t xml:space="preserve"> a</w:t>
      </w:r>
      <w:r w:rsidR="001B1467">
        <w:t>n important</w:t>
      </w:r>
      <w:r w:rsidRPr="00825C36">
        <w:t xml:space="preserve"> topic for further research.</w:t>
      </w:r>
    </w:p>
    <w:p w14:paraId="5E5EE9FA" w14:textId="77777777" w:rsidR="00CB6EDF" w:rsidRDefault="00CB6EDF" w:rsidP="00CB6EDF">
      <w:pPr>
        <w:rPr>
          <w:i/>
        </w:rPr>
      </w:pPr>
    </w:p>
    <w:p w14:paraId="7A431533" w14:textId="77777777" w:rsidR="00CB6EDF" w:rsidRPr="00474FC3" w:rsidRDefault="00CB6EDF" w:rsidP="00CB6EDF">
      <w:pPr>
        <w:rPr>
          <w:i/>
        </w:rPr>
      </w:pPr>
      <w:r w:rsidRPr="00474FC3">
        <w:rPr>
          <w:i/>
        </w:rPr>
        <w:t>5.2 Implications for strategic marketing planning</w:t>
      </w:r>
    </w:p>
    <w:p w14:paraId="7A914F9E" w14:textId="77777777" w:rsidR="00CB6EDF" w:rsidRPr="00474FC3" w:rsidRDefault="00CB6EDF" w:rsidP="00CB6EDF">
      <w:pPr>
        <w:rPr>
          <w:i/>
        </w:rPr>
      </w:pPr>
    </w:p>
    <w:p w14:paraId="33A8579C" w14:textId="77777777" w:rsidR="00CB6EDF" w:rsidRDefault="00CB6EDF" w:rsidP="00CB6EDF">
      <w:pPr>
        <w:spacing w:line="480" w:lineRule="auto"/>
      </w:pPr>
      <w:r>
        <w:t xml:space="preserve">The Dirichlet is easy to use for managers concerned with deriving competitive advantage for their brands because it consistently quantifies the structure of split-loyal competition between every brand in a category, identifying the behavioural metrics that can realistically be changed and how much change is needed on each in order to achieve a sales or share objective. </w:t>
      </w:r>
    </w:p>
    <w:p w14:paraId="5C35D536" w14:textId="77777777" w:rsidR="00CB6EDF" w:rsidRDefault="00CB6EDF" w:rsidP="00CB6EDF">
      <w:pPr>
        <w:spacing w:line="480" w:lineRule="auto"/>
      </w:pPr>
    </w:p>
    <w:p w14:paraId="184154C8" w14:textId="77777777" w:rsidR="00CB6EDF" w:rsidRDefault="00CB6EDF" w:rsidP="00CB6EDF">
      <w:pPr>
        <w:spacing w:line="480" w:lineRule="auto"/>
      </w:pPr>
      <w:r>
        <w:t xml:space="preserve">In this “Dirichlet world”, Sharp (2010; 2012) and Romaniuk &amp; Sharp (2015) have emphasised the importance of managing the mental and physical availability of the brand, the relative prominence of the space it holds in the minds of all category consumers, and across all available shelves. They argue that the probability of its next purchase in the face of all alternative offers depends on that prominence – brand salience - and not on what Batra </w:t>
      </w:r>
      <w:r w:rsidRPr="002130AF">
        <w:rPr>
          <w:i/>
        </w:rPr>
        <w:t>et al.,</w:t>
      </w:r>
      <w:r>
        <w:t xml:space="preserve"> (2012) describe as brand love. Romaniuk (2013) argued that brand love is not only statistically rare, but more importantly, that there </w:t>
      </w:r>
      <w:r w:rsidRPr="009F0579">
        <w:t xml:space="preserve">is no evidence </w:t>
      </w:r>
      <w:r>
        <w:t>to show that</w:t>
      </w:r>
      <w:r w:rsidRPr="009F0579">
        <w:t xml:space="preserve"> building </w:t>
      </w:r>
      <w:r>
        <w:t>it (even if that were possible)</w:t>
      </w:r>
      <w:r w:rsidRPr="009F0579">
        <w:t xml:space="preserve"> leads to higher market share, sales or profitability</w:t>
      </w:r>
      <w:r>
        <w:t xml:space="preserve">. Results presented in this study, covering nearly 1300 household-name brands, in supporting the theoretical assumptions of the Dirichlet, also found no evidence for the operation of successful loyalty-based differentiation and segmentation strategies. </w:t>
      </w:r>
    </w:p>
    <w:p w14:paraId="1D5E402B" w14:textId="77777777" w:rsidR="00CB6EDF" w:rsidRDefault="00CB6EDF" w:rsidP="00CB6EDF">
      <w:pPr>
        <w:spacing w:line="480" w:lineRule="auto"/>
      </w:pPr>
    </w:p>
    <w:p w14:paraId="43D07E59" w14:textId="77777777" w:rsidR="00CB6EDF" w:rsidRDefault="00CB6EDF" w:rsidP="00CB6EDF">
      <w:pPr>
        <w:spacing w:line="480" w:lineRule="auto"/>
      </w:pPr>
      <w:r>
        <w:t xml:space="preserve">Instead, in Dirichlet markets brands must run hard to stand still – the most expensive battle they face is to maintain penetration by constantly attracting new brand buyers and nudging existing buyers back from other brands, even if their buying is light. The Dirichlet shows that light buying is critical to sales. All brands have more light buyers than heavy, and the distributions do not change, so in a market that in aggregate views all brands as largely substitutable, all category buyers are legitimate targets because they already buy and use that product.  </w:t>
      </w:r>
    </w:p>
    <w:p w14:paraId="308BF62C" w14:textId="77777777" w:rsidR="00CB6EDF" w:rsidRDefault="00CB6EDF" w:rsidP="00CB6EDF">
      <w:pPr>
        <w:spacing w:line="480" w:lineRule="auto"/>
      </w:pPr>
    </w:p>
    <w:p w14:paraId="046FC7A9" w14:textId="2D4D1C73" w:rsidR="00CB6EDF" w:rsidRDefault="001B1467" w:rsidP="00CB6EDF">
      <w:pPr>
        <w:spacing w:line="480" w:lineRule="auto"/>
      </w:pPr>
      <w:r>
        <w:t xml:space="preserve">Where deviations occur for individual brands, they </w:t>
      </w:r>
      <w:r w:rsidR="00AD5986">
        <w:t>can highlight</w:t>
      </w:r>
      <w:r w:rsidR="00CB6EDF">
        <w:t xml:space="preserve"> opportunities, and these are identified in Table 12. For </w:t>
      </w:r>
      <w:r w:rsidR="00AD5986">
        <w:t>example,</w:t>
      </w:r>
      <w:r w:rsidR="00CB6EDF">
        <w:t xml:space="preserve"> where partitions are identified in a market, </w:t>
      </w:r>
      <w:r w:rsidR="007E3ECB">
        <w:t xml:space="preserve">a </w:t>
      </w:r>
      <w:r w:rsidR="00CB6EDF">
        <w:t xml:space="preserve">brand should be competing in every one, or it will not be competing across the whole market, </w:t>
      </w:r>
      <w:r w:rsidR="007E3ECB">
        <w:t xml:space="preserve">therefore </w:t>
      </w:r>
      <w:r w:rsidR="00CB6EDF">
        <w:t xml:space="preserve">losing potential sales. For any niching brand there is a clear opportunity to identify why penetration is low, and increase sales not through loyalty (which is already at the rate of a bigger brand) but by building the customer base.   </w:t>
      </w:r>
    </w:p>
    <w:p w14:paraId="4F4B516C" w14:textId="77777777" w:rsidR="00CB6EDF" w:rsidRPr="0028765D" w:rsidRDefault="00CB6EDF" w:rsidP="00CB6EDF">
      <w:pPr>
        <w:spacing w:line="480" w:lineRule="auto"/>
      </w:pPr>
    </w:p>
    <w:p w14:paraId="177F6A76" w14:textId="77777777" w:rsidR="00CB6EDF" w:rsidRPr="00474FC3" w:rsidRDefault="00CB6EDF" w:rsidP="00CB6EDF">
      <w:pPr>
        <w:rPr>
          <w:i/>
        </w:rPr>
      </w:pPr>
      <w:r w:rsidRPr="00474FC3">
        <w:rPr>
          <w:i/>
        </w:rPr>
        <w:t>5.3 Implications for analysts and researchers</w:t>
      </w:r>
    </w:p>
    <w:p w14:paraId="0E23FCA0" w14:textId="77777777" w:rsidR="00CB6EDF" w:rsidRPr="00474FC3" w:rsidRDefault="00CB6EDF" w:rsidP="00CB6EDF">
      <w:pPr>
        <w:rPr>
          <w:i/>
        </w:rPr>
      </w:pPr>
    </w:p>
    <w:p w14:paraId="159F2BBE" w14:textId="77777777" w:rsidR="00CB6EDF" w:rsidRDefault="00CB6EDF" w:rsidP="00CB6EDF">
      <w:pPr>
        <w:spacing w:line="480" w:lineRule="auto"/>
      </w:pPr>
      <w:r>
        <w:t xml:space="preserve">Our findings have some implications for model development. From the consistent analysis of all nine deviations it is now clear to see that the biases in the model output reflect known NBD discrepancies, in over-predicting repeat purchase and under predicting light buying (Ehrenberg, 1988; Morrison and Schmittlein,1981;1988). This is very noticeable in Table 1 from the mean brand period-to-period repeat metrics, and in the distributions of once and 5+ buyers, which suggests that these biases are distributed from the Gamma/Poisson distribution in the Dirichlet across all brands in the fittings. </w:t>
      </w:r>
    </w:p>
    <w:p w14:paraId="165DD28C" w14:textId="77777777" w:rsidR="00CB6EDF" w:rsidRDefault="00CB6EDF" w:rsidP="00CB6EDF">
      <w:pPr>
        <w:spacing w:line="480" w:lineRule="auto"/>
      </w:pPr>
    </w:p>
    <w:p w14:paraId="2862F304" w14:textId="61D400FA" w:rsidR="00CB6EDF" w:rsidRDefault="00CB6EDF" w:rsidP="00CB6EDF">
      <w:pPr>
        <w:spacing w:line="480" w:lineRule="auto"/>
        <w:rPr>
          <w:i/>
        </w:rPr>
      </w:pPr>
      <w:r>
        <w:t xml:space="preserve">Trinh </w:t>
      </w:r>
      <w:r w:rsidRPr="009638DA">
        <w:rPr>
          <w:i/>
        </w:rPr>
        <w:t>et al</w:t>
      </w:r>
      <w:r>
        <w:t xml:space="preserve"> (201</w:t>
      </w:r>
      <w:r w:rsidR="00AF3553">
        <w:t>4</w:t>
      </w:r>
      <w:r>
        <w:t xml:space="preserve">) successfully addressed this problem in the context of predicting what one buyer class will do in a subsequent period, by replacing the NBD with the Poisson log-normal distribution, but found that there was little benefit to the overall fit in a single period. The steeper PLN distribution would however appear to be a better fit to the observed Double Jeopardy curve, and might therefore reduce the incidence of Double Jeopardy deviations as Li et al (2006) suggested. Adaptations of the NBD-Dirichlet might now be benchmarked against the deviations we categorise here as a further test of fit, although any new model has a high bar to jump in terms of usability; understanding the Dirichlet deviations allows a compromise to be made between managerial ease of use, and model fit.   </w:t>
      </w:r>
    </w:p>
    <w:p w14:paraId="7711B618" w14:textId="77777777" w:rsidR="00CB6EDF" w:rsidRDefault="00CB6EDF" w:rsidP="00CB6EDF">
      <w:pPr>
        <w:rPr>
          <w:i/>
        </w:rPr>
      </w:pPr>
    </w:p>
    <w:p w14:paraId="7D83A828" w14:textId="77777777" w:rsidR="00CB6EDF" w:rsidRDefault="00CB6EDF" w:rsidP="00CB6EDF">
      <w:pPr>
        <w:rPr>
          <w:i/>
        </w:rPr>
      </w:pPr>
      <w:r w:rsidRPr="00474FC3">
        <w:rPr>
          <w:i/>
        </w:rPr>
        <w:t>5.4 Limitations and future research</w:t>
      </w:r>
    </w:p>
    <w:p w14:paraId="3ED70709" w14:textId="77777777" w:rsidR="00CB6EDF" w:rsidRDefault="00CB6EDF" w:rsidP="00CB6EDF">
      <w:pPr>
        <w:rPr>
          <w:i/>
        </w:rPr>
      </w:pPr>
    </w:p>
    <w:p w14:paraId="5A35AB86" w14:textId="00F7801E" w:rsidR="00CB6EDF" w:rsidRDefault="00CB6EDF" w:rsidP="00CB6EDF">
      <w:pPr>
        <w:spacing w:after="240" w:line="480" w:lineRule="auto"/>
      </w:pPr>
      <w:r w:rsidRPr="005C131F">
        <w:t>This study</w:t>
      </w:r>
      <w:r>
        <w:t xml:space="preserve"> considered repeat-buying of consumer packaged goods in the UK and </w:t>
      </w:r>
      <w:r w:rsidR="007E3ECB">
        <w:t xml:space="preserve">mainly </w:t>
      </w:r>
      <w:r>
        <w:t xml:space="preserve">over the course of a single </w:t>
      </w:r>
      <w:r w:rsidR="00AD5986">
        <w:t>year</w:t>
      </w:r>
      <w:r w:rsidR="00AD5986" w:rsidRPr="00393B8B">
        <w:t>.</w:t>
      </w:r>
      <w:r>
        <w:t xml:space="preserve"> Results on this basis replicated prior findings from different markets and using different datasets, but there is now a need to extend the work into further categories, and especially to pursue the systematic non-stationary deviations in further and extended time periods, but also over subscription markets and into industrial buying contexts.  </w:t>
      </w:r>
    </w:p>
    <w:p w14:paraId="580229EA" w14:textId="77777777" w:rsidR="00CB6EDF" w:rsidRDefault="00CB6EDF" w:rsidP="00CB6EDF">
      <w:pPr>
        <w:spacing w:after="240" w:line="480" w:lineRule="auto"/>
      </w:pPr>
      <w:r>
        <w:t xml:space="preserve">Knowledge of Dirichlet buying patterns and deviations will continue to contribute useful insight as long as underlying theory remains robust in the face of the rapidly developing marketing context. Eventually the deviations may come to describe a boundary condition to that theory, and work is continuing to extend the use of the Dirichlet into new buying situations, but also particularly into the domain of brand memory structure and brand knowledge, linking cognitive and behavioural dimensions in consumer choice outcomes with more certainty.  </w:t>
      </w:r>
    </w:p>
    <w:p w14:paraId="25DBFAF3" w14:textId="2DCC74DD" w:rsidR="00AB1A8A" w:rsidRDefault="00CB6EDF" w:rsidP="00162752">
      <w:pPr>
        <w:spacing w:after="120" w:line="480" w:lineRule="auto"/>
        <w:outlineLvl w:val="0"/>
      </w:pPr>
      <w:r>
        <w:t xml:space="preserve">Finally, the limitations of the NBD in describing consumer purchasing heterogeneity are well documented, particularly in analysing period-to-period repurchasing (conditional trend), but promising results using alternative models have already been reported (Trinh </w:t>
      </w:r>
      <w:r w:rsidRPr="00167662">
        <w:rPr>
          <w:i/>
        </w:rPr>
        <w:t>et al.,</w:t>
      </w:r>
      <w:r>
        <w:t xml:space="preserve"> 2014) that suggest advances on the NBD-Dirichlet analysis. Further research might now ascertain the extent to which these newer models account for </w:t>
      </w:r>
      <w:r w:rsidR="008E7E7F">
        <w:t xml:space="preserve">the Double Jeopardy and systematic Dirichlet Deviations reported here.  </w:t>
      </w:r>
    </w:p>
    <w:p w14:paraId="7122080B" w14:textId="77777777" w:rsidR="00AB1A8A" w:rsidRDefault="00AB1A8A" w:rsidP="00162752">
      <w:pPr>
        <w:spacing w:after="120" w:line="480" w:lineRule="auto"/>
        <w:outlineLvl w:val="0"/>
      </w:pPr>
    </w:p>
    <w:p w14:paraId="42A546CB" w14:textId="77777777" w:rsidR="000537F2" w:rsidRPr="00B67B8B" w:rsidRDefault="000537F2" w:rsidP="00162752">
      <w:pPr>
        <w:spacing w:after="120" w:line="480" w:lineRule="auto"/>
        <w:outlineLvl w:val="0"/>
        <w:rPr>
          <w:b/>
        </w:rPr>
      </w:pPr>
      <w:r w:rsidRPr="00B67B8B">
        <w:rPr>
          <w:b/>
        </w:rPr>
        <w:t>Acknowledgments</w:t>
      </w:r>
    </w:p>
    <w:p w14:paraId="49F0A433" w14:textId="3333244C" w:rsidR="00D42C88" w:rsidRDefault="00D42C88" w:rsidP="00D42C88">
      <w:pPr>
        <w:spacing w:after="120" w:line="480" w:lineRule="auto"/>
        <w:outlineLvl w:val="0"/>
      </w:pPr>
      <w:r>
        <w:t>The authors would like to thank Maria Clemente and Jia Lu-Henfrey for their painstaking compilation of the Dirichlet models</w:t>
      </w:r>
      <w:r w:rsidR="007E3ECB">
        <w:t xml:space="preserve"> and two anonymous reviewers for their detailed and helpful suggestions.</w:t>
      </w:r>
    </w:p>
    <w:p w14:paraId="778E5E8B" w14:textId="77777777" w:rsidR="000D5693" w:rsidRPr="00162752" w:rsidRDefault="000D5693" w:rsidP="00162752">
      <w:pPr>
        <w:spacing w:after="120" w:line="480" w:lineRule="auto"/>
        <w:outlineLvl w:val="0"/>
      </w:pPr>
      <w:r w:rsidRPr="00F72E01">
        <w:br w:type="page"/>
      </w:r>
      <w:r>
        <w:rPr>
          <w:b/>
        </w:rPr>
        <w:t xml:space="preserve">Appendix </w:t>
      </w:r>
      <w:r w:rsidR="004C0781">
        <w:rPr>
          <w:b/>
        </w:rPr>
        <w:t>–The 62 Product Categories in the main data set</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2935"/>
        <w:gridCol w:w="2459"/>
      </w:tblGrid>
      <w:tr w:rsidR="00A237FB" w14:paraId="619CC8FE" w14:textId="77777777" w:rsidTr="00440578">
        <w:tc>
          <w:tcPr>
            <w:tcW w:w="3122" w:type="dxa"/>
            <w:vAlign w:val="bottom"/>
          </w:tcPr>
          <w:p w14:paraId="2BCDE545" w14:textId="77777777" w:rsidR="004C0781" w:rsidRDefault="004C0781" w:rsidP="003058E8">
            <w:pPr>
              <w:rPr>
                <w:rFonts w:ascii="Helvetica" w:hAnsi="Helvetica"/>
                <w:sz w:val="20"/>
                <w:szCs w:val="20"/>
              </w:rPr>
            </w:pPr>
            <w:r>
              <w:rPr>
                <w:sz w:val="20"/>
                <w:szCs w:val="20"/>
              </w:rPr>
              <w:t>Analgesics</w:t>
            </w:r>
          </w:p>
        </w:tc>
        <w:tc>
          <w:tcPr>
            <w:tcW w:w="2935" w:type="dxa"/>
            <w:vAlign w:val="bottom"/>
          </w:tcPr>
          <w:p w14:paraId="14E15BC4" w14:textId="77777777" w:rsidR="004C0781" w:rsidRDefault="004C0781" w:rsidP="003058E8">
            <w:pPr>
              <w:rPr>
                <w:rFonts w:ascii="Helvetica" w:hAnsi="Helvetica"/>
                <w:sz w:val="20"/>
                <w:szCs w:val="20"/>
              </w:rPr>
            </w:pPr>
            <w:r>
              <w:rPr>
                <w:sz w:val="20"/>
                <w:szCs w:val="20"/>
              </w:rPr>
              <w:t>Everyday Biscuits</w:t>
            </w:r>
          </w:p>
        </w:tc>
        <w:tc>
          <w:tcPr>
            <w:tcW w:w="2459" w:type="dxa"/>
            <w:vAlign w:val="bottom"/>
          </w:tcPr>
          <w:p w14:paraId="248A1D8F" w14:textId="77777777" w:rsidR="004C0781" w:rsidRDefault="004C0781" w:rsidP="003058E8">
            <w:pPr>
              <w:rPr>
                <w:rFonts w:ascii="Helvetica" w:hAnsi="Helvetica"/>
                <w:sz w:val="20"/>
                <w:szCs w:val="20"/>
              </w:rPr>
            </w:pPr>
            <w:r>
              <w:rPr>
                <w:sz w:val="20"/>
                <w:szCs w:val="20"/>
              </w:rPr>
              <w:t>Packet Tea</w:t>
            </w:r>
          </w:p>
        </w:tc>
      </w:tr>
      <w:tr w:rsidR="00A237FB" w14:paraId="26448B3D" w14:textId="77777777" w:rsidTr="00440578">
        <w:tc>
          <w:tcPr>
            <w:tcW w:w="3122" w:type="dxa"/>
            <w:vAlign w:val="bottom"/>
          </w:tcPr>
          <w:p w14:paraId="56D7B481" w14:textId="77777777" w:rsidR="004C0781" w:rsidRDefault="004C0781" w:rsidP="003058E8">
            <w:pPr>
              <w:rPr>
                <w:rFonts w:ascii="Helvetica" w:hAnsi="Helvetica"/>
                <w:sz w:val="20"/>
                <w:szCs w:val="20"/>
              </w:rPr>
            </w:pPr>
            <w:r>
              <w:rPr>
                <w:sz w:val="20"/>
                <w:szCs w:val="20"/>
              </w:rPr>
              <w:t>Automatic Washing</w:t>
            </w:r>
          </w:p>
        </w:tc>
        <w:tc>
          <w:tcPr>
            <w:tcW w:w="2935" w:type="dxa"/>
            <w:vAlign w:val="bottom"/>
          </w:tcPr>
          <w:p w14:paraId="2C3498D9" w14:textId="77777777" w:rsidR="004C0781" w:rsidRDefault="004C0781" w:rsidP="003058E8">
            <w:pPr>
              <w:rPr>
                <w:rFonts w:ascii="Helvetica" w:hAnsi="Helvetica"/>
                <w:sz w:val="20"/>
                <w:szCs w:val="20"/>
              </w:rPr>
            </w:pPr>
            <w:r>
              <w:rPr>
                <w:sz w:val="20"/>
                <w:szCs w:val="20"/>
              </w:rPr>
              <w:t>Everyday Treat Biscuits</w:t>
            </w:r>
          </w:p>
        </w:tc>
        <w:tc>
          <w:tcPr>
            <w:tcW w:w="2459" w:type="dxa"/>
            <w:vAlign w:val="bottom"/>
          </w:tcPr>
          <w:p w14:paraId="78D88A74" w14:textId="77777777" w:rsidR="004C0781" w:rsidRDefault="004C0781" w:rsidP="003058E8">
            <w:pPr>
              <w:rPr>
                <w:rFonts w:ascii="Helvetica" w:hAnsi="Helvetica"/>
                <w:sz w:val="20"/>
                <w:szCs w:val="20"/>
              </w:rPr>
            </w:pPr>
            <w:r>
              <w:rPr>
                <w:sz w:val="20"/>
                <w:szCs w:val="20"/>
              </w:rPr>
              <w:t>Porridge Oats</w:t>
            </w:r>
          </w:p>
        </w:tc>
      </w:tr>
      <w:tr w:rsidR="00A237FB" w14:paraId="4B9D78B1" w14:textId="77777777" w:rsidTr="00440578">
        <w:tc>
          <w:tcPr>
            <w:tcW w:w="3122" w:type="dxa"/>
            <w:vAlign w:val="bottom"/>
          </w:tcPr>
          <w:p w14:paraId="2E9E69D2" w14:textId="77777777" w:rsidR="004C0781" w:rsidRDefault="0057320D" w:rsidP="003058E8">
            <w:pPr>
              <w:rPr>
                <w:rFonts w:ascii="Helvetica" w:hAnsi="Helvetica"/>
                <w:sz w:val="20"/>
                <w:szCs w:val="20"/>
              </w:rPr>
            </w:pPr>
            <w:r>
              <w:rPr>
                <w:sz w:val="20"/>
                <w:szCs w:val="20"/>
              </w:rPr>
              <w:t xml:space="preserve">Batteries </w:t>
            </w:r>
          </w:p>
        </w:tc>
        <w:tc>
          <w:tcPr>
            <w:tcW w:w="2935" w:type="dxa"/>
            <w:vAlign w:val="bottom"/>
          </w:tcPr>
          <w:p w14:paraId="0E4E5BC8" w14:textId="4B28CE58" w:rsidR="004C0781" w:rsidRDefault="004C0781" w:rsidP="003058E8">
            <w:pPr>
              <w:rPr>
                <w:rFonts w:ascii="Helvetica" w:hAnsi="Helvetica"/>
                <w:sz w:val="20"/>
                <w:szCs w:val="20"/>
              </w:rPr>
            </w:pPr>
            <w:r>
              <w:rPr>
                <w:sz w:val="20"/>
                <w:szCs w:val="20"/>
              </w:rPr>
              <w:t>Fab</w:t>
            </w:r>
            <w:r w:rsidR="00CF59FF">
              <w:rPr>
                <w:sz w:val="20"/>
                <w:szCs w:val="20"/>
              </w:rPr>
              <w:t>ric</w:t>
            </w:r>
            <w:r>
              <w:rPr>
                <w:sz w:val="20"/>
                <w:szCs w:val="20"/>
              </w:rPr>
              <w:t xml:space="preserve"> Conditioner Liquid</w:t>
            </w:r>
          </w:p>
        </w:tc>
        <w:tc>
          <w:tcPr>
            <w:tcW w:w="2459" w:type="dxa"/>
            <w:vAlign w:val="bottom"/>
          </w:tcPr>
          <w:p w14:paraId="6F23CDDD" w14:textId="77777777" w:rsidR="004C0781" w:rsidRDefault="004C0781" w:rsidP="003058E8">
            <w:pPr>
              <w:rPr>
                <w:rFonts w:ascii="Helvetica" w:hAnsi="Helvetica"/>
                <w:sz w:val="20"/>
                <w:szCs w:val="20"/>
              </w:rPr>
            </w:pPr>
            <w:r>
              <w:rPr>
                <w:sz w:val="20"/>
                <w:szCs w:val="20"/>
              </w:rPr>
              <w:t>Premium Ice Cream</w:t>
            </w:r>
          </w:p>
        </w:tc>
      </w:tr>
      <w:tr w:rsidR="00A237FB" w14:paraId="05DC41E9" w14:textId="77777777" w:rsidTr="00440578">
        <w:trPr>
          <w:trHeight w:val="284"/>
        </w:trPr>
        <w:tc>
          <w:tcPr>
            <w:tcW w:w="3122" w:type="dxa"/>
            <w:vAlign w:val="bottom"/>
          </w:tcPr>
          <w:p w14:paraId="732BFD3B" w14:textId="77777777" w:rsidR="004C0781" w:rsidRDefault="004C0781" w:rsidP="003058E8">
            <w:pPr>
              <w:rPr>
                <w:rFonts w:ascii="Helvetica" w:hAnsi="Helvetica"/>
                <w:sz w:val="20"/>
                <w:szCs w:val="20"/>
              </w:rPr>
            </w:pPr>
            <w:r>
              <w:rPr>
                <w:sz w:val="20"/>
                <w:szCs w:val="20"/>
              </w:rPr>
              <w:t>Bodysprays</w:t>
            </w:r>
          </w:p>
        </w:tc>
        <w:tc>
          <w:tcPr>
            <w:tcW w:w="2935" w:type="dxa"/>
            <w:vAlign w:val="bottom"/>
          </w:tcPr>
          <w:p w14:paraId="799EC5F4" w14:textId="77777777" w:rsidR="004C0781" w:rsidRDefault="004C0781" w:rsidP="003058E8">
            <w:pPr>
              <w:rPr>
                <w:rFonts w:ascii="Helvetica" w:hAnsi="Helvetica"/>
                <w:sz w:val="20"/>
                <w:szCs w:val="20"/>
              </w:rPr>
            </w:pPr>
            <w:r>
              <w:rPr>
                <w:sz w:val="20"/>
                <w:szCs w:val="20"/>
              </w:rPr>
              <w:t>First Aid Dressings</w:t>
            </w:r>
          </w:p>
        </w:tc>
        <w:tc>
          <w:tcPr>
            <w:tcW w:w="2459" w:type="dxa"/>
            <w:vAlign w:val="bottom"/>
          </w:tcPr>
          <w:p w14:paraId="5B1D15DA" w14:textId="77777777" w:rsidR="004C0781" w:rsidRDefault="004C0781" w:rsidP="003058E8">
            <w:pPr>
              <w:rPr>
                <w:rFonts w:ascii="Helvetica" w:hAnsi="Helvetica"/>
                <w:sz w:val="20"/>
                <w:szCs w:val="20"/>
              </w:rPr>
            </w:pPr>
            <w:r>
              <w:rPr>
                <w:sz w:val="20"/>
                <w:szCs w:val="20"/>
              </w:rPr>
              <w:t>Ready to Eat Cereal</w:t>
            </w:r>
          </w:p>
        </w:tc>
      </w:tr>
      <w:tr w:rsidR="00A237FB" w14:paraId="3BB8D02F" w14:textId="77777777" w:rsidTr="00440578">
        <w:trPr>
          <w:trHeight w:val="269"/>
        </w:trPr>
        <w:tc>
          <w:tcPr>
            <w:tcW w:w="3122" w:type="dxa"/>
            <w:vAlign w:val="bottom"/>
          </w:tcPr>
          <w:p w14:paraId="6DD948D4" w14:textId="77777777" w:rsidR="004C0781" w:rsidRDefault="004C0781" w:rsidP="003058E8">
            <w:pPr>
              <w:rPr>
                <w:rFonts w:ascii="Helvetica" w:hAnsi="Helvetica"/>
                <w:sz w:val="20"/>
                <w:szCs w:val="20"/>
              </w:rPr>
            </w:pPr>
            <w:r>
              <w:rPr>
                <w:sz w:val="20"/>
                <w:szCs w:val="20"/>
              </w:rPr>
              <w:t>Bowl Blocks</w:t>
            </w:r>
          </w:p>
        </w:tc>
        <w:tc>
          <w:tcPr>
            <w:tcW w:w="2935" w:type="dxa"/>
            <w:vAlign w:val="bottom"/>
          </w:tcPr>
          <w:p w14:paraId="43CBEE44" w14:textId="77777777" w:rsidR="004C0781" w:rsidRDefault="004C0781" w:rsidP="003058E8">
            <w:pPr>
              <w:rPr>
                <w:rFonts w:ascii="Helvetica" w:hAnsi="Helvetica"/>
                <w:sz w:val="20"/>
                <w:szCs w:val="20"/>
              </w:rPr>
            </w:pPr>
            <w:r>
              <w:rPr>
                <w:sz w:val="20"/>
                <w:szCs w:val="20"/>
              </w:rPr>
              <w:t>Flavoured Water</w:t>
            </w:r>
          </w:p>
        </w:tc>
        <w:tc>
          <w:tcPr>
            <w:tcW w:w="2459" w:type="dxa"/>
            <w:vAlign w:val="bottom"/>
          </w:tcPr>
          <w:p w14:paraId="01808D49" w14:textId="77777777" w:rsidR="004C0781" w:rsidRDefault="004C0781" w:rsidP="003058E8">
            <w:pPr>
              <w:rPr>
                <w:rFonts w:ascii="Helvetica" w:hAnsi="Helvetica"/>
                <w:sz w:val="20"/>
                <w:szCs w:val="20"/>
              </w:rPr>
            </w:pPr>
            <w:r>
              <w:rPr>
                <w:sz w:val="20"/>
                <w:szCs w:val="20"/>
              </w:rPr>
              <w:t>Savoury Snacks</w:t>
            </w:r>
          </w:p>
        </w:tc>
      </w:tr>
      <w:tr w:rsidR="00A237FB" w14:paraId="4530C10E" w14:textId="77777777" w:rsidTr="00440578">
        <w:tc>
          <w:tcPr>
            <w:tcW w:w="3122" w:type="dxa"/>
            <w:vAlign w:val="bottom"/>
          </w:tcPr>
          <w:p w14:paraId="3C176A6D" w14:textId="77777777" w:rsidR="004C0781" w:rsidRDefault="004C0781" w:rsidP="003058E8">
            <w:pPr>
              <w:rPr>
                <w:rFonts w:ascii="Helvetica" w:hAnsi="Helvetica"/>
                <w:sz w:val="20"/>
                <w:szCs w:val="20"/>
              </w:rPr>
            </w:pPr>
            <w:r>
              <w:rPr>
                <w:sz w:val="20"/>
                <w:szCs w:val="20"/>
              </w:rPr>
              <w:t>Butter</w:t>
            </w:r>
          </w:p>
        </w:tc>
        <w:tc>
          <w:tcPr>
            <w:tcW w:w="2935" w:type="dxa"/>
            <w:vAlign w:val="bottom"/>
          </w:tcPr>
          <w:p w14:paraId="695AA43F" w14:textId="77777777" w:rsidR="004C0781" w:rsidRDefault="004C0781" w:rsidP="003058E8">
            <w:pPr>
              <w:rPr>
                <w:rFonts w:ascii="Helvetica" w:hAnsi="Helvetica"/>
                <w:sz w:val="20"/>
                <w:szCs w:val="20"/>
              </w:rPr>
            </w:pPr>
            <w:r>
              <w:rPr>
                <w:sz w:val="20"/>
                <w:szCs w:val="20"/>
              </w:rPr>
              <w:t>Fresh Soup</w:t>
            </w:r>
          </w:p>
        </w:tc>
        <w:tc>
          <w:tcPr>
            <w:tcW w:w="2459" w:type="dxa"/>
            <w:vAlign w:val="bottom"/>
          </w:tcPr>
          <w:p w14:paraId="555BFE1F" w14:textId="77777777" w:rsidR="004C0781" w:rsidRDefault="004C0781" w:rsidP="003058E8">
            <w:pPr>
              <w:rPr>
                <w:rFonts w:ascii="Helvetica" w:hAnsi="Helvetica"/>
                <w:sz w:val="20"/>
                <w:szCs w:val="20"/>
              </w:rPr>
            </w:pPr>
            <w:r>
              <w:rPr>
                <w:sz w:val="20"/>
                <w:szCs w:val="20"/>
              </w:rPr>
              <w:t>Shampoo</w:t>
            </w:r>
          </w:p>
        </w:tc>
      </w:tr>
      <w:tr w:rsidR="00A237FB" w14:paraId="76C820F1" w14:textId="77777777" w:rsidTr="00440578">
        <w:tc>
          <w:tcPr>
            <w:tcW w:w="3122" w:type="dxa"/>
            <w:vAlign w:val="bottom"/>
          </w:tcPr>
          <w:p w14:paraId="7A6B0F19" w14:textId="77777777" w:rsidR="004C0781" w:rsidRDefault="004C0781" w:rsidP="003058E8">
            <w:pPr>
              <w:rPr>
                <w:rFonts w:ascii="Helvetica" w:hAnsi="Helvetica"/>
                <w:sz w:val="20"/>
                <w:szCs w:val="20"/>
              </w:rPr>
            </w:pPr>
            <w:r>
              <w:rPr>
                <w:sz w:val="20"/>
                <w:szCs w:val="20"/>
              </w:rPr>
              <w:t>Carbonated Water</w:t>
            </w:r>
          </w:p>
        </w:tc>
        <w:tc>
          <w:tcPr>
            <w:tcW w:w="2935" w:type="dxa"/>
            <w:vAlign w:val="bottom"/>
          </w:tcPr>
          <w:p w14:paraId="782F2A30" w14:textId="77777777" w:rsidR="004C0781" w:rsidRDefault="004C0781" w:rsidP="003058E8">
            <w:pPr>
              <w:rPr>
                <w:rFonts w:ascii="Helvetica" w:hAnsi="Helvetica"/>
                <w:sz w:val="20"/>
                <w:szCs w:val="20"/>
              </w:rPr>
            </w:pPr>
            <w:r>
              <w:rPr>
                <w:sz w:val="20"/>
                <w:szCs w:val="20"/>
              </w:rPr>
              <w:t>Fruit Drinks</w:t>
            </w:r>
          </w:p>
        </w:tc>
        <w:tc>
          <w:tcPr>
            <w:tcW w:w="2459" w:type="dxa"/>
            <w:vAlign w:val="bottom"/>
          </w:tcPr>
          <w:p w14:paraId="44727A3C" w14:textId="77777777" w:rsidR="004C0781" w:rsidRDefault="004C0781" w:rsidP="003058E8">
            <w:pPr>
              <w:rPr>
                <w:rFonts w:ascii="Helvetica" w:hAnsi="Helvetica"/>
                <w:sz w:val="20"/>
                <w:szCs w:val="20"/>
              </w:rPr>
            </w:pPr>
            <w:r>
              <w:rPr>
                <w:sz w:val="20"/>
                <w:szCs w:val="20"/>
              </w:rPr>
              <w:t>Standard Pot Ice Cream</w:t>
            </w:r>
          </w:p>
        </w:tc>
      </w:tr>
      <w:tr w:rsidR="00A237FB" w14:paraId="4C0CFE9F" w14:textId="77777777" w:rsidTr="00440578">
        <w:tc>
          <w:tcPr>
            <w:tcW w:w="3122" w:type="dxa"/>
            <w:vAlign w:val="bottom"/>
          </w:tcPr>
          <w:p w14:paraId="76A4B2E3" w14:textId="77777777" w:rsidR="004C0781" w:rsidRDefault="004C0781" w:rsidP="003058E8">
            <w:pPr>
              <w:rPr>
                <w:rFonts w:ascii="Helvetica" w:hAnsi="Helvetica"/>
                <w:sz w:val="20"/>
                <w:szCs w:val="20"/>
              </w:rPr>
            </w:pPr>
            <w:r>
              <w:rPr>
                <w:sz w:val="20"/>
                <w:szCs w:val="20"/>
              </w:rPr>
              <w:t>Carbonates no Lemonade</w:t>
            </w:r>
          </w:p>
        </w:tc>
        <w:tc>
          <w:tcPr>
            <w:tcW w:w="2935" w:type="dxa"/>
            <w:vAlign w:val="bottom"/>
          </w:tcPr>
          <w:p w14:paraId="276F99B0" w14:textId="77777777" w:rsidR="004C0781" w:rsidRDefault="004C0781" w:rsidP="003058E8">
            <w:pPr>
              <w:rPr>
                <w:rFonts w:ascii="Helvetica" w:hAnsi="Helvetica"/>
                <w:sz w:val="20"/>
                <w:szCs w:val="20"/>
              </w:rPr>
            </w:pPr>
            <w:r>
              <w:rPr>
                <w:sz w:val="20"/>
                <w:szCs w:val="20"/>
              </w:rPr>
              <w:t>Ground Coffee</w:t>
            </w:r>
          </w:p>
        </w:tc>
        <w:tc>
          <w:tcPr>
            <w:tcW w:w="2459" w:type="dxa"/>
            <w:vAlign w:val="bottom"/>
          </w:tcPr>
          <w:p w14:paraId="7F67CC13" w14:textId="77777777" w:rsidR="004C0781" w:rsidRDefault="004C0781" w:rsidP="003058E8">
            <w:pPr>
              <w:rPr>
                <w:rFonts w:ascii="Helvetica" w:hAnsi="Helvetica"/>
                <w:sz w:val="20"/>
                <w:szCs w:val="20"/>
              </w:rPr>
            </w:pPr>
            <w:r>
              <w:rPr>
                <w:sz w:val="20"/>
                <w:szCs w:val="20"/>
              </w:rPr>
              <w:t>Still Water</w:t>
            </w:r>
          </w:p>
        </w:tc>
      </w:tr>
      <w:tr w:rsidR="00A237FB" w14:paraId="76C9BF01" w14:textId="77777777" w:rsidTr="00440578">
        <w:tc>
          <w:tcPr>
            <w:tcW w:w="3122" w:type="dxa"/>
            <w:vAlign w:val="bottom"/>
          </w:tcPr>
          <w:p w14:paraId="2990EE35" w14:textId="77777777" w:rsidR="004C0781" w:rsidRDefault="004C0781" w:rsidP="003058E8">
            <w:pPr>
              <w:rPr>
                <w:rFonts w:ascii="Helvetica" w:hAnsi="Helvetica"/>
                <w:sz w:val="20"/>
                <w:szCs w:val="20"/>
              </w:rPr>
            </w:pPr>
            <w:r>
              <w:rPr>
                <w:sz w:val="20"/>
                <w:szCs w:val="20"/>
              </w:rPr>
              <w:t>Cat Food</w:t>
            </w:r>
          </w:p>
        </w:tc>
        <w:tc>
          <w:tcPr>
            <w:tcW w:w="2935" w:type="dxa"/>
            <w:vAlign w:val="bottom"/>
          </w:tcPr>
          <w:p w14:paraId="380F35EE" w14:textId="77777777" w:rsidR="004C0781" w:rsidRDefault="004C0781" w:rsidP="003058E8">
            <w:pPr>
              <w:rPr>
                <w:rFonts w:ascii="Helvetica" w:hAnsi="Helvetica"/>
                <w:sz w:val="20"/>
                <w:szCs w:val="20"/>
              </w:rPr>
            </w:pPr>
            <w:r>
              <w:rPr>
                <w:sz w:val="20"/>
                <w:szCs w:val="20"/>
              </w:rPr>
              <w:t>Hair Conditioner</w:t>
            </w:r>
          </w:p>
        </w:tc>
        <w:tc>
          <w:tcPr>
            <w:tcW w:w="2459" w:type="dxa"/>
            <w:vAlign w:val="bottom"/>
          </w:tcPr>
          <w:p w14:paraId="3A94BAA9" w14:textId="77777777" w:rsidR="004C0781" w:rsidRDefault="004C0781" w:rsidP="003058E8">
            <w:pPr>
              <w:rPr>
                <w:rFonts w:ascii="Helvetica" w:hAnsi="Helvetica"/>
                <w:sz w:val="20"/>
                <w:szCs w:val="20"/>
              </w:rPr>
            </w:pPr>
            <w:r>
              <w:rPr>
                <w:sz w:val="20"/>
                <w:szCs w:val="20"/>
              </w:rPr>
              <w:t>Sugar Confectionery</w:t>
            </w:r>
          </w:p>
        </w:tc>
      </w:tr>
      <w:tr w:rsidR="00A237FB" w14:paraId="46DE7677" w14:textId="77777777" w:rsidTr="00440578">
        <w:tc>
          <w:tcPr>
            <w:tcW w:w="3122" w:type="dxa"/>
            <w:vAlign w:val="bottom"/>
          </w:tcPr>
          <w:p w14:paraId="34B192DC" w14:textId="77777777" w:rsidR="004C0781" w:rsidRDefault="004C0781" w:rsidP="003058E8">
            <w:pPr>
              <w:rPr>
                <w:rFonts w:ascii="Helvetica" w:hAnsi="Helvetica"/>
                <w:sz w:val="20"/>
                <w:szCs w:val="20"/>
              </w:rPr>
            </w:pPr>
            <w:r>
              <w:rPr>
                <w:sz w:val="20"/>
                <w:szCs w:val="20"/>
              </w:rPr>
              <w:t>Child Lollies Ice Cream</w:t>
            </w:r>
          </w:p>
        </w:tc>
        <w:tc>
          <w:tcPr>
            <w:tcW w:w="2935" w:type="dxa"/>
            <w:vAlign w:val="bottom"/>
          </w:tcPr>
          <w:p w14:paraId="1B5BC164" w14:textId="77777777" w:rsidR="004C0781" w:rsidRDefault="004C0781" w:rsidP="003058E8">
            <w:pPr>
              <w:rPr>
                <w:rFonts w:ascii="Helvetica" w:hAnsi="Helvetica"/>
                <w:sz w:val="20"/>
                <w:szCs w:val="20"/>
              </w:rPr>
            </w:pPr>
            <w:r>
              <w:rPr>
                <w:sz w:val="20"/>
                <w:szCs w:val="20"/>
              </w:rPr>
              <w:t>Healthier Biscuits</w:t>
            </w:r>
          </w:p>
        </w:tc>
        <w:tc>
          <w:tcPr>
            <w:tcW w:w="2459" w:type="dxa"/>
            <w:vAlign w:val="bottom"/>
          </w:tcPr>
          <w:p w14:paraId="2A16C709" w14:textId="77777777" w:rsidR="004C0781" w:rsidRDefault="004C0781" w:rsidP="003058E8">
            <w:pPr>
              <w:rPr>
                <w:rFonts w:ascii="Helvetica" w:hAnsi="Helvetica"/>
                <w:sz w:val="20"/>
                <w:szCs w:val="20"/>
              </w:rPr>
            </w:pPr>
            <w:r>
              <w:rPr>
                <w:sz w:val="20"/>
                <w:szCs w:val="20"/>
              </w:rPr>
              <w:t>Tea Bags</w:t>
            </w:r>
          </w:p>
        </w:tc>
      </w:tr>
      <w:tr w:rsidR="00A237FB" w14:paraId="4E20B812" w14:textId="77777777" w:rsidTr="00440578">
        <w:tc>
          <w:tcPr>
            <w:tcW w:w="3122" w:type="dxa"/>
            <w:vAlign w:val="bottom"/>
          </w:tcPr>
          <w:p w14:paraId="5F739709" w14:textId="77777777" w:rsidR="004C0781" w:rsidRDefault="004C0781" w:rsidP="003058E8">
            <w:pPr>
              <w:rPr>
                <w:rFonts w:ascii="Helvetica" w:hAnsi="Helvetica"/>
                <w:sz w:val="20"/>
                <w:szCs w:val="20"/>
              </w:rPr>
            </w:pPr>
            <w:r>
              <w:rPr>
                <w:sz w:val="20"/>
                <w:szCs w:val="20"/>
              </w:rPr>
              <w:t>Chocolate Biscuit Bars</w:t>
            </w:r>
          </w:p>
        </w:tc>
        <w:tc>
          <w:tcPr>
            <w:tcW w:w="2935" w:type="dxa"/>
            <w:vAlign w:val="bottom"/>
          </w:tcPr>
          <w:p w14:paraId="70760C02" w14:textId="77777777" w:rsidR="004C0781" w:rsidRDefault="004C0781" w:rsidP="003058E8">
            <w:pPr>
              <w:rPr>
                <w:rFonts w:ascii="Helvetica" w:hAnsi="Helvetica"/>
                <w:sz w:val="20"/>
                <w:szCs w:val="20"/>
              </w:rPr>
            </w:pPr>
            <w:r>
              <w:rPr>
                <w:sz w:val="20"/>
                <w:szCs w:val="20"/>
              </w:rPr>
              <w:t>Ice Cream Filled Cones</w:t>
            </w:r>
          </w:p>
        </w:tc>
        <w:tc>
          <w:tcPr>
            <w:tcW w:w="2459" w:type="dxa"/>
            <w:vAlign w:val="bottom"/>
          </w:tcPr>
          <w:p w14:paraId="7BB79D76" w14:textId="77777777" w:rsidR="004C0781" w:rsidRDefault="004C0781" w:rsidP="003058E8">
            <w:pPr>
              <w:rPr>
                <w:rFonts w:ascii="Helvetica" w:hAnsi="Helvetica"/>
                <w:sz w:val="20"/>
                <w:szCs w:val="20"/>
              </w:rPr>
            </w:pPr>
            <w:r>
              <w:rPr>
                <w:sz w:val="20"/>
                <w:szCs w:val="20"/>
              </w:rPr>
              <w:t>Thick Brown Sauce</w:t>
            </w:r>
          </w:p>
        </w:tc>
      </w:tr>
      <w:tr w:rsidR="00A237FB" w14:paraId="51A62398" w14:textId="77777777" w:rsidTr="00440578">
        <w:tc>
          <w:tcPr>
            <w:tcW w:w="3122" w:type="dxa"/>
            <w:vAlign w:val="bottom"/>
          </w:tcPr>
          <w:p w14:paraId="58425C49" w14:textId="77777777" w:rsidR="004C0781" w:rsidRDefault="004C0781" w:rsidP="003058E8">
            <w:pPr>
              <w:rPr>
                <w:rFonts w:ascii="Helvetica" w:hAnsi="Helvetica"/>
                <w:sz w:val="20"/>
                <w:szCs w:val="20"/>
              </w:rPr>
            </w:pPr>
            <w:r>
              <w:rPr>
                <w:sz w:val="20"/>
                <w:szCs w:val="20"/>
              </w:rPr>
              <w:t>Chocolate Confectionery</w:t>
            </w:r>
          </w:p>
        </w:tc>
        <w:tc>
          <w:tcPr>
            <w:tcW w:w="2935" w:type="dxa"/>
            <w:vAlign w:val="bottom"/>
          </w:tcPr>
          <w:p w14:paraId="04DB3CE2" w14:textId="77777777" w:rsidR="004C0781" w:rsidRDefault="004C0781" w:rsidP="003058E8">
            <w:pPr>
              <w:rPr>
                <w:rFonts w:ascii="Helvetica" w:hAnsi="Helvetica"/>
                <w:sz w:val="20"/>
                <w:szCs w:val="20"/>
              </w:rPr>
            </w:pPr>
            <w:r>
              <w:rPr>
                <w:sz w:val="20"/>
                <w:szCs w:val="20"/>
              </w:rPr>
              <w:t>Indigestion Medicines</w:t>
            </w:r>
          </w:p>
        </w:tc>
        <w:tc>
          <w:tcPr>
            <w:tcW w:w="2459" w:type="dxa"/>
            <w:vAlign w:val="bottom"/>
          </w:tcPr>
          <w:p w14:paraId="69BB4DD7" w14:textId="77777777" w:rsidR="004C0781" w:rsidRDefault="004C0781" w:rsidP="003058E8">
            <w:pPr>
              <w:rPr>
                <w:rFonts w:ascii="Helvetica" w:hAnsi="Helvetica"/>
                <w:sz w:val="20"/>
                <w:szCs w:val="20"/>
              </w:rPr>
            </w:pPr>
            <w:r>
              <w:rPr>
                <w:sz w:val="20"/>
                <w:szCs w:val="20"/>
              </w:rPr>
              <w:t>Toilet Soap</w:t>
            </w:r>
          </w:p>
        </w:tc>
      </w:tr>
      <w:tr w:rsidR="00A237FB" w14:paraId="23452469" w14:textId="77777777" w:rsidTr="00440578">
        <w:tc>
          <w:tcPr>
            <w:tcW w:w="3122" w:type="dxa"/>
            <w:vAlign w:val="bottom"/>
          </w:tcPr>
          <w:p w14:paraId="6DB06D09" w14:textId="77777777" w:rsidR="004C0781" w:rsidRDefault="004C0781" w:rsidP="003058E8">
            <w:pPr>
              <w:rPr>
                <w:rFonts w:ascii="Helvetica" w:hAnsi="Helvetica"/>
                <w:sz w:val="20"/>
                <w:szCs w:val="20"/>
              </w:rPr>
            </w:pPr>
            <w:r>
              <w:rPr>
                <w:sz w:val="20"/>
                <w:szCs w:val="20"/>
              </w:rPr>
              <w:t>Chocolate Snack Bars Ice Cream</w:t>
            </w:r>
          </w:p>
        </w:tc>
        <w:tc>
          <w:tcPr>
            <w:tcW w:w="2935" w:type="dxa"/>
            <w:vAlign w:val="bottom"/>
          </w:tcPr>
          <w:p w14:paraId="2453E4E9" w14:textId="77777777" w:rsidR="004C0781" w:rsidRDefault="004C0781" w:rsidP="003058E8">
            <w:pPr>
              <w:rPr>
                <w:rFonts w:ascii="Helvetica" w:hAnsi="Helvetica"/>
                <w:sz w:val="20"/>
                <w:szCs w:val="20"/>
              </w:rPr>
            </w:pPr>
            <w:r>
              <w:rPr>
                <w:sz w:val="20"/>
                <w:szCs w:val="20"/>
              </w:rPr>
              <w:t>Instant Decaff Coffee</w:t>
            </w:r>
          </w:p>
        </w:tc>
        <w:tc>
          <w:tcPr>
            <w:tcW w:w="2459" w:type="dxa"/>
            <w:vAlign w:val="bottom"/>
          </w:tcPr>
          <w:p w14:paraId="41819530" w14:textId="77777777" w:rsidR="004C0781" w:rsidRDefault="004C0781" w:rsidP="003058E8">
            <w:pPr>
              <w:rPr>
                <w:rFonts w:ascii="Helvetica" w:hAnsi="Helvetica"/>
                <w:sz w:val="20"/>
                <w:szCs w:val="20"/>
              </w:rPr>
            </w:pPr>
            <w:r>
              <w:rPr>
                <w:sz w:val="20"/>
                <w:szCs w:val="20"/>
              </w:rPr>
              <w:t>Tomato Sauce &amp; Ketchup</w:t>
            </w:r>
          </w:p>
        </w:tc>
      </w:tr>
      <w:tr w:rsidR="00A237FB" w14:paraId="5D05AFEB" w14:textId="77777777" w:rsidTr="00440578">
        <w:tc>
          <w:tcPr>
            <w:tcW w:w="3122" w:type="dxa"/>
            <w:vAlign w:val="bottom"/>
          </w:tcPr>
          <w:p w14:paraId="2E929F0C" w14:textId="77777777" w:rsidR="004C0781" w:rsidRDefault="004C0781" w:rsidP="003058E8">
            <w:pPr>
              <w:rPr>
                <w:rFonts w:ascii="Helvetica" w:hAnsi="Helvetica"/>
                <w:sz w:val="20"/>
                <w:szCs w:val="20"/>
              </w:rPr>
            </w:pPr>
            <w:r>
              <w:rPr>
                <w:sz w:val="20"/>
                <w:szCs w:val="20"/>
              </w:rPr>
              <w:t>Cistern Block</w:t>
            </w:r>
          </w:p>
        </w:tc>
        <w:tc>
          <w:tcPr>
            <w:tcW w:w="2935" w:type="dxa"/>
            <w:vAlign w:val="bottom"/>
          </w:tcPr>
          <w:p w14:paraId="49EC4D1A" w14:textId="77777777" w:rsidR="004C0781" w:rsidRDefault="004C0781" w:rsidP="003058E8">
            <w:pPr>
              <w:rPr>
                <w:rFonts w:ascii="Helvetica" w:hAnsi="Helvetica"/>
                <w:sz w:val="20"/>
                <w:szCs w:val="20"/>
              </w:rPr>
            </w:pPr>
            <w:r>
              <w:rPr>
                <w:sz w:val="20"/>
                <w:szCs w:val="20"/>
              </w:rPr>
              <w:t>Instant Porridge</w:t>
            </w:r>
          </w:p>
        </w:tc>
        <w:tc>
          <w:tcPr>
            <w:tcW w:w="2459" w:type="dxa"/>
            <w:vAlign w:val="bottom"/>
          </w:tcPr>
          <w:p w14:paraId="0956ABB3" w14:textId="77777777" w:rsidR="004C0781" w:rsidRDefault="004C0781" w:rsidP="003058E8">
            <w:pPr>
              <w:rPr>
                <w:rFonts w:ascii="Helvetica" w:hAnsi="Helvetica"/>
                <w:sz w:val="20"/>
                <w:szCs w:val="20"/>
              </w:rPr>
            </w:pPr>
            <w:r>
              <w:rPr>
                <w:sz w:val="20"/>
                <w:szCs w:val="20"/>
              </w:rPr>
              <w:t>Toothpaste</w:t>
            </w:r>
          </w:p>
        </w:tc>
      </w:tr>
      <w:tr w:rsidR="00A237FB" w14:paraId="797C4460" w14:textId="77777777" w:rsidTr="00440578">
        <w:tc>
          <w:tcPr>
            <w:tcW w:w="3122" w:type="dxa"/>
            <w:vAlign w:val="bottom"/>
          </w:tcPr>
          <w:p w14:paraId="3E3AA58F" w14:textId="77777777" w:rsidR="004C0781" w:rsidRDefault="004C0781" w:rsidP="003058E8">
            <w:pPr>
              <w:rPr>
                <w:rFonts w:ascii="Helvetica" w:hAnsi="Helvetica"/>
                <w:sz w:val="20"/>
                <w:szCs w:val="20"/>
              </w:rPr>
            </w:pPr>
            <w:r>
              <w:rPr>
                <w:sz w:val="20"/>
                <w:szCs w:val="20"/>
              </w:rPr>
              <w:t>Cold Treatment Medicines</w:t>
            </w:r>
          </w:p>
        </w:tc>
        <w:tc>
          <w:tcPr>
            <w:tcW w:w="2935" w:type="dxa"/>
            <w:vAlign w:val="bottom"/>
          </w:tcPr>
          <w:p w14:paraId="6AEE3AF5" w14:textId="77777777" w:rsidR="004C0781" w:rsidRDefault="004C0781" w:rsidP="003058E8">
            <w:pPr>
              <w:rPr>
                <w:rFonts w:ascii="Helvetica" w:hAnsi="Helvetica"/>
                <w:sz w:val="20"/>
                <w:szCs w:val="20"/>
              </w:rPr>
            </w:pPr>
            <w:r>
              <w:rPr>
                <w:sz w:val="20"/>
                <w:szCs w:val="20"/>
              </w:rPr>
              <w:t>Instant Standard Coffee</w:t>
            </w:r>
          </w:p>
        </w:tc>
        <w:tc>
          <w:tcPr>
            <w:tcW w:w="2459" w:type="dxa"/>
            <w:vAlign w:val="bottom"/>
          </w:tcPr>
          <w:p w14:paraId="5058CB4E" w14:textId="77777777" w:rsidR="004C0781" w:rsidRDefault="004C0781" w:rsidP="003058E8">
            <w:pPr>
              <w:rPr>
                <w:rFonts w:ascii="Helvetica" w:hAnsi="Helvetica"/>
                <w:sz w:val="20"/>
                <w:szCs w:val="20"/>
              </w:rPr>
            </w:pPr>
            <w:r>
              <w:rPr>
                <w:sz w:val="20"/>
                <w:szCs w:val="20"/>
              </w:rPr>
              <w:t>Vitamins</w:t>
            </w:r>
          </w:p>
        </w:tc>
      </w:tr>
      <w:tr w:rsidR="00A237FB" w14:paraId="78B42399" w14:textId="77777777" w:rsidTr="00440578">
        <w:tc>
          <w:tcPr>
            <w:tcW w:w="3122" w:type="dxa"/>
            <w:vAlign w:val="bottom"/>
          </w:tcPr>
          <w:p w14:paraId="2F581D4C" w14:textId="77777777" w:rsidR="004C0781" w:rsidRDefault="004C0781" w:rsidP="003058E8">
            <w:pPr>
              <w:rPr>
                <w:rFonts w:ascii="Helvetica" w:hAnsi="Helvetica"/>
                <w:sz w:val="20"/>
                <w:szCs w:val="20"/>
              </w:rPr>
            </w:pPr>
            <w:r>
              <w:rPr>
                <w:sz w:val="20"/>
                <w:szCs w:val="20"/>
              </w:rPr>
              <w:t>Cough Liquid Medicines</w:t>
            </w:r>
          </w:p>
        </w:tc>
        <w:tc>
          <w:tcPr>
            <w:tcW w:w="2935" w:type="dxa"/>
            <w:vAlign w:val="bottom"/>
          </w:tcPr>
          <w:p w14:paraId="6268C15A" w14:textId="77777777" w:rsidR="004C0781" w:rsidRDefault="004C0781" w:rsidP="003058E8">
            <w:pPr>
              <w:rPr>
                <w:rFonts w:ascii="Helvetica" w:hAnsi="Helvetica"/>
                <w:sz w:val="20"/>
                <w:szCs w:val="20"/>
              </w:rPr>
            </w:pPr>
            <w:r>
              <w:rPr>
                <w:sz w:val="20"/>
                <w:szCs w:val="20"/>
              </w:rPr>
              <w:t>Jam</w:t>
            </w:r>
          </w:p>
        </w:tc>
        <w:tc>
          <w:tcPr>
            <w:tcW w:w="2459" w:type="dxa"/>
            <w:vAlign w:val="bottom"/>
          </w:tcPr>
          <w:p w14:paraId="67CE843E" w14:textId="77777777" w:rsidR="004C0781" w:rsidRDefault="004C0781" w:rsidP="003058E8">
            <w:pPr>
              <w:rPr>
                <w:rFonts w:ascii="Helvetica" w:hAnsi="Helvetica"/>
                <w:sz w:val="20"/>
                <w:szCs w:val="20"/>
              </w:rPr>
            </w:pPr>
            <w:r>
              <w:rPr>
                <w:sz w:val="20"/>
                <w:szCs w:val="20"/>
              </w:rPr>
              <w:t>Vodka</w:t>
            </w:r>
          </w:p>
        </w:tc>
      </w:tr>
      <w:tr w:rsidR="00A237FB" w14:paraId="7587CEF8" w14:textId="77777777" w:rsidTr="00440578">
        <w:tc>
          <w:tcPr>
            <w:tcW w:w="3122" w:type="dxa"/>
            <w:vAlign w:val="bottom"/>
          </w:tcPr>
          <w:p w14:paraId="31C6A60F" w14:textId="77777777" w:rsidR="004C0781" w:rsidRDefault="004C0781" w:rsidP="003058E8">
            <w:pPr>
              <w:rPr>
                <w:rFonts w:ascii="Helvetica" w:hAnsi="Helvetica"/>
                <w:sz w:val="20"/>
                <w:szCs w:val="20"/>
              </w:rPr>
            </w:pPr>
            <w:r>
              <w:rPr>
                <w:sz w:val="20"/>
                <w:szCs w:val="20"/>
              </w:rPr>
              <w:t>Cough Lozenges</w:t>
            </w:r>
          </w:p>
        </w:tc>
        <w:tc>
          <w:tcPr>
            <w:tcW w:w="2935" w:type="dxa"/>
            <w:vAlign w:val="bottom"/>
          </w:tcPr>
          <w:p w14:paraId="2CDD627F" w14:textId="77777777" w:rsidR="004C0781" w:rsidRDefault="004C0781" w:rsidP="003058E8">
            <w:pPr>
              <w:rPr>
                <w:rFonts w:ascii="Helvetica" w:hAnsi="Helvetica"/>
                <w:sz w:val="20"/>
                <w:szCs w:val="20"/>
              </w:rPr>
            </w:pPr>
            <w:r>
              <w:rPr>
                <w:sz w:val="20"/>
                <w:szCs w:val="20"/>
              </w:rPr>
              <w:t>Lemonade</w:t>
            </w:r>
          </w:p>
        </w:tc>
        <w:tc>
          <w:tcPr>
            <w:tcW w:w="2459" w:type="dxa"/>
            <w:vAlign w:val="bottom"/>
          </w:tcPr>
          <w:p w14:paraId="44185BD5" w14:textId="77777777" w:rsidR="004C0781" w:rsidRDefault="004C0781" w:rsidP="003058E8">
            <w:pPr>
              <w:rPr>
                <w:rFonts w:ascii="Helvetica" w:hAnsi="Helvetica"/>
                <w:sz w:val="20"/>
                <w:szCs w:val="20"/>
              </w:rPr>
            </w:pPr>
            <w:r>
              <w:rPr>
                <w:sz w:val="20"/>
                <w:szCs w:val="20"/>
              </w:rPr>
              <w:t>Wet Ambient Soup</w:t>
            </w:r>
          </w:p>
        </w:tc>
      </w:tr>
      <w:tr w:rsidR="00A237FB" w14:paraId="4DA31475" w14:textId="77777777" w:rsidTr="00440578">
        <w:tc>
          <w:tcPr>
            <w:tcW w:w="3122" w:type="dxa"/>
            <w:vAlign w:val="bottom"/>
          </w:tcPr>
          <w:p w14:paraId="761C0311" w14:textId="77777777" w:rsidR="004C0781" w:rsidRDefault="004C0781" w:rsidP="003058E8">
            <w:pPr>
              <w:rPr>
                <w:rFonts w:ascii="Helvetica" w:hAnsi="Helvetica"/>
                <w:sz w:val="20"/>
                <w:szCs w:val="20"/>
              </w:rPr>
            </w:pPr>
            <w:r>
              <w:rPr>
                <w:sz w:val="20"/>
                <w:szCs w:val="20"/>
              </w:rPr>
              <w:t>Crackers &amp; Crispbreads</w:t>
            </w:r>
          </w:p>
        </w:tc>
        <w:tc>
          <w:tcPr>
            <w:tcW w:w="2935" w:type="dxa"/>
            <w:vAlign w:val="bottom"/>
          </w:tcPr>
          <w:p w14:paraId="2BAE907F" w14:textId="77777777" w:rsidR="004C0781" w:rsidRDefault="004C0781" w:rsidP="003058E8">
            <w:pPr>
              <w:rPr>
                <w:rFonts w:ascii="Helvetica" w:hAnsi="Helvetica"/>
                <w:sz w:val="20"/>
                <w:szCs w:val="20"/>
              </w:rPr>
            </w:pPr>
            <w:r>
              <w:rPr>
                <w:sz w:val="20"/>
                <w:szCs w:val="20"/>
              </w:rPr>
              <w:t>Liquid and Ground Coffee</w:t>
            </w:r>
          </w:p>
        </w:tc>
        <w:tc>
          <w:tcPr>
            <w:tcW w:w="2459" w:type="dxa"/>
            <w:vAlign w:val="bottom"/>
          </w:tcPr>
          <w:p w14:paraId="62EA3293" w14:textId="77777777" w:rsidR="004C0781" w:rsidRDefault="004C0781" w:rsidP="003058E8">
            <w:pPr>
              <w:rPr>
                <w:rFonts w:ascii="Helvetica" w:hAnsi="Helvetica"/>
                <w:sz w:val="20"/>
                <w:szCs w:val="20"/>
              </w:rPr>
            </w:pPr>
            <w:r>
              <w:rPr>
                <w:sz w:val="20"/>
                <w:szCs w:val="20"/>
              </w:rPr>
              <w:t>Whisky</w:t>
            </w:r>
          </w:p>
        </w:tc>
      </w:tr>
      <w:tr w:rsidR="00A237FB" w14:paraId="21FDE8B4" w14:textId="77777777" w:rsidTr="00440578">
        <w:trPr>
          <w:trHeight w:val="93"/>
        </w:trPr>
        <w:tc>
          <w:tcPr>
            <w:tcW w:w="3122" w:type="dxa"/>
            <w:vAlign w:val="bottom"/>
          </w:tcPr>
          <w:p w14:paraId="0454AB4B" w14:textId="77777777" w:rsidR="004C0781" w:rsidRDefault="004C0781" w:rsidP="003058E8">
            <w:pPr>
              <w:rPr>
                <w:rFonts w:ascii="Helvetica" w:hAnsi="Helvetica"/>
                <w:sz w:val="20"/>
                <w:szCs w:val="20"/>
              </w:rPr>
            </w:pPr>
            <w:r>
              <w:rPr>
                <w:sz w:val="20"/>
                <w:szCs w:val="20"/>
              </w:rPr>
              <w:t>Crisps</w:t>
            </w:r>
          </w:p>
        </w:tc>
        <w:tc>
          <w:tcPr>
            <w:tcW w:w="2935" w:type="dxa"/>
            <w:vAlign w:val="bottom"/>
          </w:tcPr>
          <w:p w14:paraId="3F3C071B" w14:textId="77777777" w:rsidR="004C0781" w:rsidRDefault="004C0781" w:rsidP="003058E8">
            <w:pPr>
              <w:rPr>
                <w:rFonts w:ascii="Helvetica" w:hAnsi="Helvetica"/>
                <w:sz w:val="20"/>
                <w:szCs w:val="20"/>
              </w:rPr>
            </w:pPr>
            <w:r>
              <w:rPr>
                <w:sz w:val="20"/>
                <w:szCs w:val="20"/>
              </w:rPr>
              <w:t>Liquid Bleach</w:t>
            </w:r>
          </w:p>
        </w:tc>
        <w:tc>
          <w:tcPr>
            <w:tcW w:w="2459" w:type="dxa"/>
            <w:vAlign w:val="bottom"/>
          </w:tcPr>
          <w:p w14:paraId="7CE96CBF" w14:textId="77777777" w:rsidR="004C0781" w:rsidRDefault="004C0781" w:rsidP="003058E8">
            <w:pPr>
              <w:rPr>
                <w:rFonts w:ascii="Helvetica" w:hAnsi="Helvetica"/>
                <w:sz w:val="20"/>
                <w:szCs w:val="20"/>
              </w:rPr>
            </w:pPr>
            <w:r>
              <w:rPr>
                <w:sz w:val="20"/>
                <w:szCs w:val="20"/>
              </w:rPr>
              <w:t>Wrapped Bread</w:t>
            </w:r>
          </w:p>
        </w:tc>
      </w:tr>
      <w:tr w:rsidR="00A237FB" w14:paraId="78DA2FF4" w14:textId="77777777" w:rsidTr="00440578">
        <w:trPr>
          <w:trHeight w:val="167"/>
        </w:trPr>
        <w:tc>
          <w:tcPr>
            <w:tcW w:w="3122" w:type="dxa"/>
            <w:vAlign w:val="bottom"/>
          </w:tcPr>
          <w:p w14:paraId="24D50B0C" w14:textId="77777777" w:rsidR="004C0781" w:rsidRDefault="004C0781" w:rsidP="003058E8">
            <w:pPr>
              <w:rPr>
                <w:rFonts w:ascii="Helvetica" w:hAnsi="Helvetica"/>
                <w:sz w:val="20"/>
                <w:szCs w:val="20"/>
              </w:rPr>
            </w:pPr>
            <w:r>
              <w:rPr>
                <w:sz w:val="20"/>
                <w:szCs w:val="20"/>
              </w:rPr>
              <w:t>Deodorants</w:t>
            </w:r>
          </w:p>
        </w:tc>
        <w:tc>
          <w:tcPr>
            <w:tcW w:w="2935" w:type="dxa"/>
            <w:vAlign w:val="bottom"/>
          </w:tcPr>
          <w:p w14:paraId="1C15940B" w14:textId="77777777" w:rsidR="004C0781" w:rsidRDefault="004C0781" w:rsidP="003058E8">
            <w:pPr>
              <w:rPr>
                <w:rFonts w:ascii="Helvetica" w:hAnsi="Helvetica"/>
                <w:sz w:val="20"/>
                <w:szCs w:val="20"/>
              </w:rPr>
            </w:pPr>
            <w:r>
              <w:rPr>
                <w:sz w:val="20"/>
                <w:szCs w:val="20"/>
              </w:rPr>
              <w:t>Margarine</w:t>
            </w:r>
          </w:p>
        </w:tc>
        <w:tc>
          <w:tcPr>
            <w:tcW w:w="2459" w:type="dxa"/>
            <w:vAlign w:val="bottom"/>
          </w:tcPr>
          <w:p w14:paraId="02DD24D2" w14:textId="77777777" w:rsidR="004C0781" w:rsidRDefault="004C0781" w:rsidP="003058E8">
            <w:pPr>
              <w:rPr>
                <w:rFonts w:ascii="Helvetica" w:hAnsi="Helvetica"/>
                <w:sz w:val="20"/>
                <w:szCs w:val="20"/>
              </w:rPr>
            </w:pPr>
            <w:r>
              <w:rPr>
                <w:sz w:val="20"/>
                <w:szCs w:val="20"/>
              </w:rPr>
              <w:t>Yoghurt</w:t>
            </w:r>
          </w:p>
        </w:tc>
      </w:tr>
      <w:tr w:rsidR="00A237FB" w14:paraId="1C89B34B" w14:textId="77777777" w:rsidTr="00440578">
        <w:tc>
          <w:tcPr>
            <w:tcW w:w="3122" w:type="dxa"/>
          </w:tcPr>
          <w:p w14:paraId="656E8F2A" w14:textId="77777777" w:rsidR="004C0781" w:rsidRDefault="00A237FB" w:rsidP="003058E8">
            <w:pPr>
              <w:rPr>
                <w:rFonts w:ascii="Helvetica" w:hAnsi="Helvetica"/>
                <w:sz w:val="20"/>
                <w:szCs w:val="20"/>
              </w:rPr>
            </w:pPr>
            <w:r w:rsidRPr="00A237FB">
              <w:rPr>
                <w:sz w:val="20"/>
                <w:szCs w:val="20"/>
              </w:rPr>
              <w:t>Dog</w:t>
            </w:r>
            <w:r>
              <w:rPr>
                <w:rFonts w:ascii="Helvetica" w:hAnsi="Helvetica"/>
                <w:sz w:val="20"/>
                <w:szCs w:val="20"/>
              </w:rPr>
              <w:t xml:space="preserve"> </w:t>
            </w:r>
            <w:r w:rsidRPr="00A237FB">
              <w:rPr>
                <w:sz w:val="20"/>
                <w:szCs w:val="20"/>
              </w:rPr>
              <w:t>Food</w:t>
            </w:r>
          </w:p>
        </w:tc>
        <w:tc>
          <w:tcPr>
            <w:tcW w:w="2935" w:type="dxa"/>
            <w:vAlign w:val="bottom"/>
          </w:tcPr>
          <w:p w14:paraId="5D7721D6" w14:textId="77777777" w:rsidR="004C0781" w:rsidRDefault="004C0781" w:rsidP="003058E8">
            <w:pPr>
              <w:rPr>
                <w:rFonts w:ascii="Helvetica" w:hAnsi="Helvetica"/>
                <w:sz w:val="20"/>
                <w:szCs w:val="20"/>
              </w:rPr>
            </w:pPr>
            <w:r>
              <w:rPr>
                <w:sz w:val="20"/>
                <w:szCs w:val="20"/>
              </w:rPr>
              <w:t>Marmalade</w:t>
            </w:r>
          </w:p>
        </w:tc>
        <w:tc>
          <w:tcPr>
            <w:tcW w:w="2459" w:type="dxa"/>
          </w:tcPr>
          <w:p w14:paraId="3E59F7F1" w14:textId="77777777" w:rsidR="004C0781" w:rsidRDefault="004C0781" w:rsidP="003058E8">
            <w:pPr>
              <w:rPr>
                <w:rFonts w:ascii="Helvetica" w:hAnsi="Helvetica"/>
                <w:sz w:val="20"/>
                <w:szCs w:val="20"/>
              </w:rPr>
            </w:pPr>
          </w:p>
        </w:tc>
      </w:tr>
    </w:tbl>
    <w:p w14:paraId="69AFF672" w14:textId="77777777" w:rsidR="000D5693" w:rsidRDefault="000D5693" w:rsidP="003058E8">
      <w:pPr>
        <w:rPr>
          <w:rFonts w:ascii="Helvetica" w:hAnsi="Helvetica"/>
          <w:sz w:val="20"/>
          <w:szCs w:val="20"/>
        </w:rPr>
      </w:pPr>
    </w:p>
    <w:p w14:paraId="1E8E6814" w14:textId="77777777" w:rsidR="004C0781" w:rsidRPr="00481C89" w:rsidRDefault="004C0781" w:rsidP="003058E8">
      <w:pPr>
        <w:rPr>
          <w:rFonts w:ascii="Helvetica" w:hAnsi="Helvetica"/>
          <w:sz w:val="20"/>
          <w:szCs w:val="20"/>
        </w:rPr>
        <w:sectPr w:rsidR="004C0781" w:rsidRPr="00481C89">
          <w:footerReference w:type="even" r:id="rId12"/>
          <w:footerReference w:type="default" r:id="rId13"/>
          <w:pgSz w:w="11900" w:h="16840"/>
          <w:pgMar w:top="1440" w:right="1800" w:bottom="1440" w:left="1800" w:header="708" w:footer="708" w:gutter="0"/>
          <w:cols w:space="708"/>
        </w:sectPr>
      </w:pPr>
    </w:p>
    <w:p w14:paraId="583B99FC" w14:textId="77777777" w:rsidR="00462061" w:rsidRDefault="00462061" w:rsidP="000D5693">
      <w:pPr>
        <w:pStyle w:val="BodyText2"/>
        <w:spacing w:before="0"/>
        <w:jc w:val="left"/>
        <w:rPr>
          <w:rFonts w:ascii="Helvetica" w:hAnsi="Helvetica"/>
          <w:sz w:val="20"/>
        </w:rPr>
        <w:sectPr w:rsidR="00462061" w:rsidSect="00462061">
          <w:type w:val="continuous"/>
          <w:pgSz w:w="11900" w:h="16840"/>
          <w:pgMar w:top="1440" w:right="1800" w:bottom="1440" w:left="1800" w:header="708" w:footer="708" w:gutter="0"/>
          <w:cols w:num="3" w:space="709"/>
        </w:sectPr>
      </w:pPr>
    </w:p>
    <w:p w14:paraId="018F46C5" w14:textId="77777777" w:rsidR="000D5693" w:rsidRPr="006307F7" w:rsidRDefault="000D5693" w:rsidP="000D5693">
      <w:pPr>
        <w:pStyle w:val="BodyText2"/>
        <w:spacing w:before="0"/>
        <w:jc w:val="left"/>
        <w:sectPr w:rsidR="000D5693" w:rsidRPr="006307F7" w:rsidSect="00F10F86">
          <w:type w:val="continuous"/>
          <w:pgSz w:w="11900" w:h="16840"/>
          <w:pgMar w:top="1440" w:right="1800" w:bottom="1440" w:left="1800" w:header="708" w:footer="708" w:gutter="0"/>
          <w:cols w:num="3" w:space="709"/>
        </w:sectPr>
      </w:pPr>
    </w:p>
    <w:p w14:paraId="709AAE75" w14:textId="77777777" w:rsidR="000D5693" w:rsidRDefault="0096527B" w:rsidP="0096527B">
      <w:pPr>
        <w:pStyle w:val="BodyText2"/>
        <w:spacing w:before="0"/>
        <w:jc w:val="left"/>
        <w:rPr>
          <w:b/>
        </w:rPr>
      </w:pPr>
      <w:r>
        <w:rPr>
          <w:b/>
        </w:rPr>
        <w:t>References</w:t>
      </w:r>
    </w:p>
    <w:p w14:paraId="3CD046A3" w14:textId="77777777" w:rsidR="001B79A6" w:rsidRPr="00030B4F" w:rsidRDefault="001B79A6" w:rsidP="001B79A6">
      <w:pPr>
        <w:pStyle w:val="PlainText"/>
        <w:spacing w:after="240"/>
        <w:rPr>
          <w:color w:val="222222"/>
          <w:shd w:val="clear" w:color="auto" w:fill="FFFFFF"/>
        </w:rPr>
      </w:pPr>
      <w:r w:rsidRPr="00030B4F">
        <w:rPr>
          <w:rFonts w:ascii="Times New Roman" w:hAnsi="Times New Roman"/>
          <w:color w:val="222222"/>
          <w:shd w:val="clear" w:color="auto" w:fill="FFFFFF"/>
        </w:rPr>
        <w:t>Anesbury, Z., Winchester, M., &amp; Kennedy, R. (2017). Brand user profiles seldom change and seldom differ. Marketing Letters, 1-13.</w:t>
      </w:r>
    </w:p>
    <w:p w14:paraId="1D32BBA6" w14:textId="77777777" w:rsidR="001B79A6" w:rsidRPr="00030B4F" w:rsidRDefault="001B79A6" w:rsidP="001B79A6">
      <w:pPr>
        <w:pStyle w:val="PlainText"/>
        <w:spacing w:after="240"/>
        <w:rPr>
          <w:color w:val="222222"/>
          <w:shd w:val="clear" w:color="auto" w:fill="FFFFFF"/>
        </w:rPr>
      </w:pPr>
      <w:r w:rsidRPr="007E4F0C">
        <w:rPr>
          <w:rFonts w:ascii="Times New Roman" w:hAnsi="Times New Roman"/>
          <w:color w:val="222222"/>
          <w:shd w:val="clear" w:color="auto" w:fill="FFFFFF"/>
        </w:rPr>
        <w:t>Bass, F. and Pilon, T.</w:t>
      </w:r>
      <w:r w:rsidRPr="00030B4F">
        <w:rPr>
          <w:rFonts w:ascii="Times New Roman" w:hAnsi="Times New Roman"/>
          <w:color w:val="222222"/>
          <w:shd w:val="clear" w:color="auto" w:fill="FFFFFF"/>
        </w:rPr>
        <w:t xml:space="preserve"> L. (1980) A Stochastic Brand Choice Framework for Econometric Modeling of Time Series Market Share Behavior.</w:t>
      </w:r>
      <w:r w:rsidRPr="00030B4F">
        <w:t> </w:t>
      </w:r>
      <w:r w:rsidRPr="00030B4F">
        <w:rPr>
          <w:rFonts w:ascii="Times New Roman" w:hAnsi="Times New Roman"/>
          <w:color w:val="222222"/>
          <w:shd w:val="clear" w:color="auto" w:fill="FFFFFF"/>
        </w:rPr>
        <w:t>Journal of Marketing</w:t>
      </w:r>
      <w:r w:rsidRPr="00030B4F">
        <w:rPr>
          <w:shd w:val="clear" w:color="auto" w:fill="FFFFFF"/>
        </w:rPr>
        <w:t> </w:t>
      </w:r>
      <w:r w:rsidRPr="00030B4F">
        <w:rPr>
          <w:rFonts w:ascii="Times New Roman" w:hAnsi="Times New Roman"/>
          <w:color w:val="222222"/>
          <w:shd w:val="clear" w:color="auto" w:fill="FFFFFF"/>
        </w:rPr>
        <w:t>Research. XVII (November 1980) 486-97</w:t>
      </w:r>
    </w:p>
    <w:p w14:paraId="3E55A061" w14:textId="77777777" w:rsidR="001B79A6" w:rsidRPr="00B07DFA" w:rsidRDefault="001B79A6" w:rsidP="001B79A6">
      <w:pPr>
        <w:pStyle w:val="PlainText"/>
        <w:spacing w:after="240"/>
        <w:rPr>
          <w:rFonts w:ascii="Times New Roman" w:hAnsi="Times New Roman"/>
          <w:color w:val="222222"/>
          <w:shd w:val="clear" w:color="auto" w:fill="FFFFFF"/>
        </w:rPr>
      </w:pPr>
      <w:r w:rsidRPr="00030B4F">
        <w:rPr>
          <w:rFonts w:ascii="Times New Roman" w:hAnsi="Times New Roman"/>
          <w:color w:val="222222"/>
          <w:shd w:val="clear" w:color="auto" w:fill="FFFFFF"/>
        </w:rPr>
        <w:t>Batra, R., Ahuvia, A. &amp; Bagozzi, R. (2012) Brand love. Journal of Marketing, 76, 2, pp. 1-16.</w:t>
      </w:r>
    </w:p>
    <w:p w14:paraId="75F6713E" w14:textId="77777777" w:rsidR="001B79A6" w:rsidRPr="00722E5C" w:rsidRDefault="001B79A6" w:rsidP="001B79A6">
      <w:pPr>
        <w:pStyle w:val="PlainText"/>
        <w:spacing w:after="240"/>
        <w:rPr>
          <w:rFonts w:ascii="Times New Roman" w:eastAsia="MS Mincho" w:hAnsi="Times New Roman"/>
        </w:rPr>
      </w:pPr>
      <w:r w:rsidRPr="00722E5C">
        <w:rPr>
          <w:rFonts w:ascii="Times New Roman" w:hAnsi="Times New Roman"/>
          <w:color w:val="222222"/>
          <w:shd w:val="clear" w:color="auto" w:fill="FFFFFF"/>
        </w:rPr>
        <w:t>Bhattacharya, C. B. (1997). Is your brand's loyalty too much, too little, or just right?: Explaining deviations in loyalty from the Dirichlet norm. </w:t>
      </w:r>
      <w:r w:rsidRPr="00722E5C">
        <w:rPr>
          <w:rFonts w:ascii="Times New Roman" w:hAnsi="Times New Roman"/>
          <w:i/>
          <w:iCs/>
          <w:color w:val="222222"/>
          <w:shd w:val="clear" w:color="auto" w:fill="FFFFFF"/>
        </w:rPr>
        <w:t>International journal of Research in Marketing</w:t>
      </w:r>
      <w:r w:rsidRPr="00722E5C">
        <w:rPr>
          <w:rFonts w:ascii="Times New Roman" w:hAnsi="Times New Roman"/>
          <w:color w:val="222222"/>
          <w:shd w:val="clear" w:color="auto" w:fill="FFFFFF"/>
        </w:rPr>
        <w:t>, </w:t>
      </w:r>
      <w:r w:rsidRPr="00722E5C">
        <w:rPr>
          <w:rFonts w:ascii="Times New Roman" w:hAnsi="Times New Roman"/>
          <w:i/>
          <w:iCs/>
          <w:color w:val="222222"/>
          <w:shd w:val="clear" w:color="auto" w:fill="FFFFFF"/>
        </w:rPr>
        <w:t>14</w:t>
      </w:r>
      <w:r w:rsidRPr="00722E5C">
        <w:rPr>
          <w:rFonts w:ascii="Times New Roman" w:hAnsi="Times New Roman"/>
          <w:color w:val="222222"/>
          <w:shd w:val="clear" w:color="auto" w:fill="FFFFFF"/>
        </w:rPr>
        <w:t>(5), 421-435.</w:t>
      </w:r>
    </w:p>
    <w:p w14:paraId="0A6346B8" w14:textId="77777777" w:rsidR="001B79A6" w:rsidRPr="00722E5C" w:rsidRDefault="001B79A6" w:rsidP="001B79A6">
      <w:pPr>
        <w:pStyle w:val="PlainText"/>
        <w:spacing w:after="240"/>
        <w:rPr>
          <w:rFonts w:ascii="Times New Roman" w:eastAsia="MS Mincho" w:hAnsi="Times New Roman"/>
        </w:rPr>
      </w:pPr>
      <w:r w:rsidRPr="616AB9F2">
        <w:rPr>
          <w:rFonts w:ascii="Times New Roman" w:eastAsia="MS Mincho" w:hAnsi="Times New Roman"/>
        </w:rPr>
        <w:t>Bound, J. A. (2003). User's Guide to using Kearn’s Dirichlet fitting program. London, South Bank University, working paper.</w:t>
      </w:r>
    </w:p>
    <w:p w14:paraId="1D9CC99A" w14:textId="77777777" w:rsidR="001B79A6" w:rsidRPr="00030B4F" w:rsidRDefault="001B79A6" w:rsidP="001B79A6">
      <w:pPr>
        <w:spacing w:after="240"/>
        <w:rPr>
          <w:color w:val="222222"/>
          <w:shd w:val="clear" w:color="auto" w:fill="FFFFFF"/>
        </w:rPr>
      </w:pPr>
      <w:r w:rsidRPr="00030B4F">
        <w:rPr>
          <w:color w:val="222222"/>
          <w:shd w:val="clear" w:color="auto" w:fill="FFFFFF"/>
        </w:rPr>
        <w:t>Cohen, J., Lockshin, L., &amp; Sharp, B. (2012). A better understanding of the structure of a wine market using the attribute of variety.</w:t>
      </w:r>
      <w:r w:rsidRPr="00030B4F">
        <w:t> </w:t>
      </w:r>
      <w:r w:rsidRPr="00030B4F">
        <w:rPr>
          <w:color w:val="222222"/>
          <w:shd w:val="clear" w:color="auto" w:fill="FFFFFF"/>
        </w:rPr>
        <w:t>International Journal of Business and Globalisation,</w:t>
      </w:r>
      <w:r w:rsidRPr="00030B4F">
        <w:t> </w:t>
      </w:r>
      <w:r w:rsidRPr="00030B4F">
        <w:rPr>
          <w:color w:val="222222"/>
          <w:shd w:val="clear" w:color="auto" w:fill="FFFFFF"/>
        </w:rPr>
        <w:t>8(1), 66-80.</w:t>
      </w:r>
    </w:p>
    <w:p w14:paraId="22EEDABC" w14:textId="77777777" w:rsidR="001B79A6" w:rsidRPr="00030B4F" w:rsidRDefault="001B79A6" w:rsidP="001B79A6">
      <w:pPr>
        <w:spacing w:after="240"/>
        <w:rPr>
          <w:color w:val="222222"/>
          <w:shd w:val="clear" w:color="auto" w:fill="FFFFFF"/>
        </w:rPr>
      </w:pPr>
      <w:r w:rsidRPr="00722E5C">
        <w:rPr>
          <w:color w:val="222222"/>
          <w:shd w:val="clear" w:color="auto" w:fill="FFFFFF"/>
        </w:rPr>
        <w:t>Dawes, J., &amp; Nenycz-Thiel, M. (2013). Analyzing the intensity of private label competition across retailers. </w:t>
      </w:r>
      <w:r w:rsidRPr="00030B4F">
        <w:rPr>
          <w:color w:val="222222"/>
          <w:shd w:val="clear" w:color="auto" w:fill="FFFFFF"/>
        </w:rPr>
        <w:t>Journal of Business Research</w:t>
      </w:r>
      <w:r w:rsidRPr="00722E5C">
        <w:rPr>
          <w:color w:val="222222"/>
          <w:shd w:val="clear" w:color="auto" w:fill="FFFFFF"/>
        </w:rPr>
        <w:t>, </w:t>
      </w:r>
      <w:r w:rsidRPr="00030B4F">
        <w:rPr>
          <w:color w:val="222222"/>
          <w:shd w:val="clear" w:color="auto" w:fill="FFFFFF"/>
        </w:rPr>
        <w:t>66</w:t>
      </w:r>
      <w:r w:rsidRPr="00722E5C">
        <w:rPr>
          <w:color w:val="222222"/>
          <w:shd w:val="clear" w:color="auto" w:fill="FFFFFF"/>
        </w:rPr>
        <w:t>(1), 60-66.</w:t>
      </w:r>
    </w:p>
    <w:p w14:paraId="404A2435" w14:textId="77777777" w:rsidR="001B79A6" w:rsidRPr="00030B4F" w:rsidRDefault="001B79A6" w:rsidP="001B79A6">
      <w:pPr>
        <w:spacing w:after="240"/>
        <w:rPr>
          <w:color w:val="222222"/>
          <w:shd w:val="clear" w:color="auto" w:fill="FFFFFF"/>
        </w:rPr>
      </w:pPr>
      <w:r w:rsidRPr="00030B4F">
        <w:rPr>
          <w:color w:val="222222"/>
          <w:shd w:val="clear" w:color="auto" w:fill="FFFFFF"/>
        </w:rPr>
        <w:t>Dawes, J., Meyer-Waarden, L., &amp; Driesener, C. (2015). Has brand loyalty declined? A longitudinal analysis of repeat purchase behavior in the UK and the USA.</w:t>
      </w:r>
      <w:r w:rsidRPr="00030B4F">
        <w:t> </w:t>
      </w:r>
      <w:r w:rsidRPr="00030B4F">
        <w:rPr>
          <w:color w:val="222222"/>
          <w:shd w:val="clear" w:color="auto" w:fill="FFFFFF"/>
        </w:rPr>
        <w:t>Journal of Business Research,</w:t>
      </w:r>
      <w:r w:rsidRPr="00030B4F">
        <w:t> </w:t>
      </w:r>
      <w:r w:rsidRPr="00030B4F">
        <w:rPr>
          <w:color w:val="222222"/>
          <w:shd w:val="clear" w:color="auto" w:fill="FFFFFF"/>
        </w:rPr>
        <w:t>68(2), 425-432.</w:t>
      </w:r>
    </w:p>
    <w:p w14:paraId="775BCAC9" w14:textId="77777777" w:rsidR="001B79A6" w:rsidRPr="00030B4F" w:rsidRDefault="001B79A6" w:rsidP="001B79A6">
      <w:pPr>
        <w:spacing w:after="240"/>
        <w:rPr>
          <w:color w:val="222222"/>
          <w:shd w:val="clear" w:color="auto" w:fill="FFFFFF"/>
        </w:rPr>
      </w:pPr>
      <w:r w:rsidRPr="00030B4F">
        <w:rPr>
          <w:color w:val="222222"/>
          <w:shd w:val="clear" w:color="auto" w:fill="FFFFFF"/>
        </w:rPr>
        <w:t>Dawes, J. G. (2016). Brand growth in packaged goods markets: Ten cases with common patterns. Journal of Consumer Behaviour, 15(5), 475-489.</w:t>
      </w:r>
    </w:p>
    <w:p w14:paraId="177F7071" w14:textId="77777777" w:rsidR="001B79A6" w:rsidRPr="00722E5C" w:rsidRDefault="001B79A6" w:rsidP="001B79A6">
      <w:pPr>
        <w:spacing w:after="240"/>
      </w:pPr>
      <w:r>
        <w:t xml:space="preserve">Dekimpe, M., and Hanssens, D. (1995) The Persistence of Marketing Effects on Sales </w:t>
      </w:r>
      <w:r w:rsidRPr="616AB9F2">
        <w:rPr>
          <w:i/>
          <w:iCs/>
        </w:rPr>
        <w:t>Marketing Science</w:t>
      </w:r>
      <w:r>
        <w:t xml:space="preserve"> 14(1) pp.1-21</w:t>
      </w:r>
    </w:p>
    <w:p w14:paraId="0F09566D" w14:textId="77777777" w:rsidR="001B79A6" w:rsidRDefault="001B79A6" w:rsidP="001B79A6">
      <w:pPr>
        <w:spacing w:after="240"/>
      </w:pPr>
      <w:r w:rsidRPr="00030B4F">
        <w:t>Dekimpe, M., and Hanssens, D. (2000) Time-series models in marketing: past, present and future. International Journal of Research in Marketing 17, (2000) 183- 193</w:t>
      </w:r>
    </w:p>
    <w:p w14:paraId="74454FFD" w14:textId="77777777" w:rsidR="001B79A6" w:rsidRPr="00722E5C" w:rsidRDefault="001B79A6" w:rsidP="001B79A6">
      <w:pPr>
        <w:spacing w:after="240"/>
      </w:pPr>
      <w:r>
        <w:t xml:space="preserve">East, R. and Hammond, K. (1996) ‘The Erosion of Repeat-Purchase Loyalty’, </w:t>
      </w:r>
      <w:r w:rsidRPr="616AB9F2">
        <w:rPr>
          <w:i/>
          <w:iCs/>
        </w:rPr>
        <w:t>Marketing Letters</w:t>
      </w:r>
      <w:r>
        <w:t>, 7:2 163-171.</w:t>
      </w:r>
    </w:p>
    <w:p w14:paraId="221A8630" w14:textId="77777777" w:rsidR="001B79A6" w:rsidRPr="00722E5C" w:rsidRDefault="001B79A6" w:rsidP="001B79A6">
      <w:pPr>
        <w:spacing w:after="240"/>
      </w:pPr>
      <w:r w:rsidRPr="00722E5C">
        <w:t xml:space="preserve">Ehrenberg, A. (1988). </w:t>
      </w:r>
      <w:r w:rsidRPr="00722E5C">
        <w:rPr>
          <w:i/>
        </w:rPr>
        <w:t>Repeat Buying Facts, Theory and Application</w:t>
      </w:r>
      <w:r w:rsidRPr="00722E5C">
        <w:t>. New York, Oxford University Press.</w:t>
      </w:r>
      <w:r w:rsidRPr="00722E5C">
        <w:tab/>
      </w:r>
    </w:p>
    <w:p w14:paraId="6E9A9ADA" w14:textId="77777777" w:rsidR="001B79A6" w:rsidRPr="00722E5C" w:rsidRDefault="001B79A6" w:rsidP="001B79A6">
      <w:pPr>
        <w:spacing w:after="240"/>
      </w:pPr>
      <w:r w:rsidRPr="00722E5C">
        <w:t>Ehrenberg, A. S., &amp; Goodhardt, G. J. (1970). A model of multi-brand buying. </w:t>
      </w:r>
      <w:r w:rsidRPr="00722E5C">
        <w:rPr>
          <w:i/>
          <w:iCs/>
        </w:rPr>
        <w:t>Journal of Marketing Research</w:t>
      </w:r>
      <w:r w:rsidRPr="00722E5C">
        <w:t>, 77-84.</w:t>
      </w:r>
    </w:p>
    <w:p w14:paraId="3C339EF9" w14:textId="77777777" w:rsidR="001B79A6" w:rsidRPr="00722E5C" w:rsidRDefault="001B79A6" w:rsidP="001B79A6">
      <w:pPr>
        <w:spacing w:after="240"/>
      </w:pPr>
      <w:r w:rsidRPr="00722E5C">
        <w:t>Ehrenberg, A. Goodhardt, G. and Barwise, P. (1990). "Double Jeopardy Revisited."</w:t>
      </w:r>
      <w:r w:rsidRPr="00722E5C">
        <w:rPr>
          <w:u w:val="single"/>
        </w:rPr>
        <w:t xml:space="preserve"> </w:t>
      </w:r>
      <w:r w:rsidRPr="00722E5C">
        <w:t>Journal of Marketing Management 54(July): 82-91.</w:t>
      </w:r>
      <w:r w:rsidRPr="00722E5C">
        <w:tab/>
      </w:r>
      <w:r w:rsidRPr="00722E5C">
        <w:tab/>
      </w:r>
    </w:p>
    <w:p w14:paraId="23668103" w14:textId="77777777" w:rsidR="001B79A6" w:rsidRDefault="001B79A6" w:rsidP="001B79A6">
      <w:pPr>
        <w:spacing w:after="240"/>
      </w:pPr>
      <w:r>
        <w:t xml:space="preserve">Ehrenberg, A., Barnard, N., and Sharp, B (2000) Decision Models or Descriptive Models? </w:t>
      </w:r>
      <w:r w:rsidRPr="00883784">
        <w:rPr>
          <w:i/>
        </w:rPr>
        <w:t>International Journal of Research in Marketing</w:t>
      </w:r>
      <w:r w:rsidRPr="00883784">
        <w:t xml:space="preserve"> 17 </w:t>
      </w:r>
      <w:r>
        <w:t>(</w:t>
      </w:r>
      <w:r w:rsidRPr="00883784">
        <w:t>2000</w:t>
      </w:r>
      <w:r>
        <w:t>) pp</w:t>
      </w:r>
      <w:r w:rsidRPr="00883784">
        <w:t xml:space="preserve"> 147–158 </w:t>
      </w:r>
    </w:p>
    <w:p w14:paraId="2E701FAA" w14:textId="77777777" w:rsidR="001B79A6" w:rsidRDefault="001B79A6" w:rsidP="001B79A6">
      <w:pPr>
        <w:spacing w:after="100" w:afterAutospacing="1"/>
        <w:rPr>
          <w:lang w:eastAsia="en-US"/>
        </w:rPr>
      </w:pPr>
      <w:r w:rsidRPr="00CC39E6">
        <w:rPr>
          <w:color w:val="222222"/>
          <w:shd w:val="clear" w:color="auto" w:fill="FFFFFF"/>
          <w:lang w:eastAsia="en-US"/>
        </w:rPr>
        <w:t>Ehrenberg, A., &amp; Sharp, B. (2000). </w:t>
      </w:r>
      <w:r w:rsidRPr="00883784">
        <w:rPr>
          <w:iCs/>
          <w:color w:val="222222"/>
          <w:lang w:eastAsia="en-US"/>
        </w:rPr>
        <w:t>Managerial Uses of Descriptive Marketing Models-The Case of the Dirichlet</w:t>
      </w:r>
      <w:r w:rsidRPr="00883784">
        <w:rPr>
          <w:color w:val="222222"/>
          <w:shd w:val="clear" w:color="auto" w:fill="FFFFFF"/>
          <w:lang w:eastAsia="en-US"/>
        </w:rPr>
        <w:t xml:space="preserve">. </w:t>
      </w:r>
      <w:r w:rsidRPr="00883784">
        <w:rPr>
          <w:i/>
          <w:color w:val="222222"/>
          <w:shd w:val="clear" w:color="auto" w:fill="FFFFFF"/>
          <w:lang w:eastAsia="en-US"/>
        </w:rPr>
        <w:t>ANZMAC Conference</w:t>
      </w:r>
      <w:r>
        <w:rPr>
          <w:color w:val="222222"/>
          <w:shd w:val="clear" w:color="auto" w:fill="FFFFFF"/>
          <w:lang w:eastAsia="en-US"/>
        </w:rPr>
        <w:t xml:space="preserve"> </w:t>
      </w:r>
      <w:r w:rsidRPr="00883784">
        <w:rPr>
          <w:i/>
          <w:color w:val="222222"/>
          <w:shd w:val="clear" w:color="auto" w:fill="FFFFFF"/>
          <w:lang w:eastAsia="en-US"/>
        </w:rPr>
        <w:t>2000</w:t>
      </w:r>
      <w:r w:rsidRPr="00FB3B1F">
        <w:rPr>
          <w:color w:val="222222"/>
          <w:shd w:val="clear" w:color="auto" w:fill="FFFFFF"/>
          <w:lang w:eastAsia="en-US"/>
        </w:rPr>
        <w:t xml:space="preserve"> </w:t>
      </w:r>
      <w:r>
        <w:rPr>
          <w:color w:val="222222"/>
          <w:shd w:val="clear" w:color="auto" w:fill="FFFFFF"/>
          <w:lang w:eastAsia="en-US"/>
        </w:rPr>
        <w:t xml:space="preserve">Griffith University. </w:t>
      </w:r>
    </w:p>
    <w:p w14:paraId="1E7B92DA" w14:textId="77777777" w:rsidR="001B79A6" w:rsidRPr="00722E5C" w:rsidRDefault="001B79A6" w:rsidP="001B79A6">
      <w:pPr>
        <w:spacing w:after="240"/>
      </w:pPr>
      <w:r w:rsidRPr="00722E5C">
        <w:t xml:space="preserve">Ehrenberg, A. S. C., M. D. Uncles, and G.J.Goodhardt (2004). "Understanding Brand Performance Measures: Using Dirichlet Benchmarks." </w:t>
      </w:r>
      <w:r w:rsidRPr="00722E5C">
        <w:rPr>
          <w:i/>
        </w:rPr>
        <w:t>Journal of Business Research</w:t>
      </w:r>
      <w:r w:rsidRPr="00722E5C">
        <w:t xml:space="preserve"> </w:t>
      </w:r>
      <w:r w:rsidRPr="00722E5C">
        <w:rPr>
          <w:b/>
        </w:rPr>
        <w:t>57</w:t>
      </w:r>
      <w:r w:rsidRPr="00722E5C">
        <w:t>: 1307-1325.</w:t>
      </w:r>
      <w:r w:rsidRPr="00722E5C">
        <w:tab/>
      </w:r>
    </w:p>
    <w:p w14:paraId="05BD83B9" w14:textId="77777777" w:rsidR="001B79A6" w:rsidRPr="00722E5C" w:rsidRDefault="001B79A6" w:rsidP="001B79A6">
      <w:pPr>
        <w:spacing w:after="240"/>
      </w:pPr>
      <w:r w:rsidRPr="00722E5C">
        <w:t xml:space="preserve">Fader, P. and D. Schmittlein (1993). "Excess Behavioural Loyalty for High-Share Brands: Deviations from the Dirichlet Model for Repeat Purchasing." </w:t>
      </w:r>
      <w:r w:rsidRPr="00722E5C">
        <w:rPr>
          <w:i/>
        </w:rPr>
        <w:t>Journal of Marketing Research</w:t>
      </w:r>
      <w:r w:rsidRPr="00722E5C">
        <w:t xml:space="preserve"> </w:t>
      </w:r>
      <w:r w:rsidRPr="00722E5C">
        <w:rPr>
          <w:b/>
        </w:rPr>
        <w:t>30</w:t>
      </w:r>
      <w:r w:rsidRPr="00722E5C">
        <w:t>(4).</w:t>
      </w:r>
    </w:p>
    <w:p w14:paraId="52731178" w14:textId="77777777" w:rsidR="001B79A6" w:rsidRPr="00030B4F" w:rsidRDefault="001B79A6" w:rsidP="001B79A6">
      <w:pPr>
        <w:spacing w:after="240"/>
        <w:rPr>
          <w:lang w:val="en-US"/>
        </w:rPr>
      </w:pPr>
      <w:r w:rsidRPr="00030B4F">
        <w:rPr>
          <w:lang w:val="en-US"/>
        </w:rPr>
        <w:t>Franke, K., Bennett, D. R., &amp; Graham, C. (2017). Loyalty Deficits for Small Share Brands. Academy of Marketing UK Conference, 03 July 2017 - 06 July 2017, Hull</w:t>
      </w:r>
    </w:p>
    <w:p w14:paraId="23720A74" w14:textId="77777777" w:rsidR="001B79A6" w:rsidRPr="0049306E" w:rsidRDefault="001B79A6" w:rsidP="001B79A6">
      <w:pPr>
        <w:spacing w:after="240"/>
        <w:rPr>
          <w:lang w:val="en-US"/>
        </w:rPr>
      </w:pPr>
      <w:r w:rsidRPr="0049306E">
        <w:rPr>
          <w:lang w:val="en-US"/>
        </w:rPr>
        <w:t xml:space="preserve">Franses, </w:t>
      </w:r>
      <w:r>
        <w:rPr>
          <w:lang w:val="en-US"/>
        </w:rPr>
        <w:t>P.</w:t>
      </w:r>
      <w:r w:rsidRPr="0049306E">
        <w:rPr>
          <w:lang w:val="en-US"/>
        </w:rPr>
        <w:t>, Srinivasan, S</w:t>
      </w:r>
      <w:r>
        <w:rPr>
          <w:lang w:val="en-US"/>
        </w:rPr>
        <w:t xml:space="preserve">. </w:t>
      </w:r>
      <w:r w:rsidRPr="0049306E">
        <w:rPr>
          <w:lang w:val="en-US"/>
        </w:rPr>
        <w:t xml:space="preserve">and Boswijk, P (2001) Testing for Unit Roots in Market Shares. </w:t>
      </w:r>
      <w:r w:rsidRPr="0049306E">
        <w:rPr>
          <w:i/>
          <w:iCs/>
          <w:lang w:val="en-US"/>
        </w:rPr>
        <w:t xml:space="preserve">Marketing Letters, </w:t>
      </w:r>
      <w:r w:rsidRPr="0049306E">
        <w:rPr>
          <w:lang w:val="en-US"/>
        </w:rPr>
        <w:t xml:space="preserve">12(4), 351-364. </w:t>
      </w:r>
    </w:p>
    <w:p w14:paraId="6907C028" w14:textId="77777777" w:rsidR="001B79A6" w:rsidRDefault="001B79A6" w:rsidP="001B79A6">
      <w:pPr>
        <w:spacing w:after="240"/>
      </w:pPr>
      <w:r w:rsidRPr="00030B4F">
        <w:t>G. J. Goodhardt and A. S. C. Ehrenberg (1967) Conditional Trend Analysis: A Breakdown by Initial Purchasing Level Journal of Marketing Research Vol. 4, No. 2 (May, 1967), pp. 155-161</w:t>
      </w:r>
    </w:p>
    <w:p w14:paraId="6963AB53" w14:textId="77777777" w:rsidR="001B79A6" w:rsidRDefault="001B79A6" w:rsidP="001B79A6">
      <w:pPr>
        <w:spacing w:after="240"/>
      </w:pPr>
      <w:r w:rsidRPr="0065284A">
        <w:t>Goodhardt,</w:t>
      </w:r>
      <w:r>
        <w:t xml:space="preserve"> G.J.,</w:t>
      </w:r>
      <w:r w:rsidRPr="0065284A">
        <w:t xml:space="preserve"> A</w:t>
      </w:r>
      <w:r>
        <w:t>.</w:t>
      </w:r>
      <w:r w:rsidRPr="0065284A">
        <w:t>S</w:t>
      </w:r>
      <w:r>
        <w:t>.</w:t>
      </w:r>
      <w:r w:rsidRPr="0065284A">
        <w:t>C</w:t>
      </w:r>
      <w:r>
        <w:t xml:space="preserve">. Ehrenberg and </w:t>
      </w:r>
      <w:r w:rsidRPr="0065284A">
        <w:t>C</w:t>
      </w:r>
      <w:r>
        <w:t>.</w:t>
      </w:r>
      <w:r w:rsidRPr="0065284A">
        <w:t xml:space="preserve"> Chatfield</w:t>
      </w:r>
      <w:r>
        <w:t xml:space="preserve"> (1984) “</w:t>
      </w:r>
      <w:hyperlink r:id="rId14" w:history="1">
        <w:r w:rsidRPr="00980FAB">
          <w:t>The Dirichlet: A comprehensive model of buying behaviour</w:t>
        </w:r>
      </w:hyperlink>
      <w:r>
        <w:t xml:space="preserve">” </w:t>
      </w:r>
      <w:r w:rsidRPr="00030B4F">
        <w:t xml:space="preserve">Journal of the Royal Statistical Society. </w:t>
      </w:r>
      <w:r w:rsidRPr="0065284A">
        <w:t>Series A (General), 621-655</w:t>
      </w:r>
      <w:r>
        <w:t>.</w:t>
      </w:r>
    </w:p>
    <w:p w14:paraId="2FB08577" w14:textId="77777777" w:rsidR="001B79A6" w:rsidRDefault="001B79A6" w:rsidP="001B79A6">
      <w:pPr>
        <w:spacing w:after="240"/>
      </w:pPr>
      <w:r w:rsidRPr="00722E5C">
        <w:t xml:space="preserve">Graham, C. (2011) A steady drip from the leaky bucket. The long-term erosion of repeat-purchase loyalty. Proceedings of the Academy of Marketing Annual Conference, Liverpool University. </w:t>
      </w:r>
    </w:p>
    <w:p w14:paraId="21FCF8CE" w14:textId="77777777" w:rsidR="001B79A6" w:rsidRPr="00722E5C" w:rsidRDefault="001B79A6" w:rsidP="001B79A6">
      <w:pPr>
        <w:spacing w:after="240"/>
      </w:pPr>
      <w:r w:rsidRPr="00722E5C">
        <w:t>Jung, S., Gruca, T., &amp; Rego, L. (2010). Excess loyalty in CPG markets: A comprehensive examination. </w:t>
      </w:r>
      <w:r w:rsidRPr="00722E5C">
        <w:rPr>
          <w:i/>
          <w:iCs/>
        </w:rPr>
        <w:t>Journal of Empirical Generalisations in Marketing Science</w:t>
      </w:r>
      <w:r w:rsidRPr="00722E5C">
        <w:t>, </w:t>
      </w:r>
      <w:r w:rsidRPr="00722E5C">
        <w:rPr>
          <w:i/>
          <w:iCs/>
        </w:rPr>
        <w:t>13</w:t>
      </w:r>
      <w:r w:rsidRPr="00722E5C">
        <w:t>(1).</w:t>
      </w:r>
    </w:p>
    <w:p w14:paraId="00E1B0C2" w14:textId="77777777" w:rsidR="001B79A6" w:rsidRPr="00722E5C" w:rsidRDefault="001B79A6" w:rsidP="001B79A6">
      <w:pPr>
        <w:spacing w:after="240"/>
      </w:pPr>
      <w:r w:rsidRPr="00722E5C">
        <w:t xml:space="preserve">Kahn, B., Kalwani, M., and Morrison, D. (1988), Niching Versus Change-of-Pace Brands: Using Purchase Frequencies and Penetration Rates to Infer Brand Positionings, </w:t>
      </w:r>
      <w:r w:rsidRPr="00722E5C">
        <w:rPr>
          <w:i/>
        </w:rPr>
        <w:t>Journal of Marketing Research</w:t>
      </w:r>
      <w:r w:rsidRPr="00722E5C">
        <w:t>, 25 (November), 384-90.</w:t>
      </w:r>
    </w:p>
    <w:p w14:paraId="6D46C59C" w14:textId="77777777" w:rsidR="001B79A6" w:rsidRPr="00030B4F" w:rsidRDefault="001B79A6" w:rsidP="001B79A6">
      <w:pPr>
        <w:spacing w:after="240"/>
        <w:rPr>
          <w:color w:val="222222"/>
          <w:shd w:val="clear" w:color="auto" w:fill="FFFFFF"/>
        </w:rPr>
      </w:pPr>
      <w:r w:rsidRPr="00030B4F">
        <w:rPr>
          <w:color w:val="222222"/>
          <w:shd w:val="clear" w:color="auto" w:fill="FFFFFF"/>
        </w:rPr>
        <w:t>Kennedy, R., &amp; Ehrenberg, A. (2001). There is no brand segmentation. Marketing Research, 13(1), 4.</w:t>
      </w:r>
    </w:p>
    <w:p w14:paraId="4F17E849" w14:textId="77777777" w:rsidR="001B79A6" w:rsidRDefault="001B79A6" w:rsidP="001B79A6">
      <w:pPr>
        <w:spacing w:after="240"/>
      </w:pPr>
      <w:r w:rsidRPr="00896E86">
        <w:t>Kenned</w:t>
      </w:r>
      <w:r>
        <w:t>y</w:t>
      </w:r>
      <w:r w:rsidRPr="00896E86">
        <w:t xml:space="preserve">, </w:t>
      </w:r>
      <w:r>
        <w:t>R</w:t>
      </w:r>
      <w:r w:rsidRPr="00896E86">
        <w:t xml:space="preserve">., and </w:t>
      </w:r>
      <w:r>
        <w:t>Mc</w:t>
      </w:r>
      <w:r w:rsidRPr="00896E86">
        <w:t>Coll</w:t>
      </w:r>
      <w:r>
        <w:t>, B. (2012)</w:t>
      </w:r>
      <w:r w:rsidRPr="00896E86">
        <w:t xml:space="preserve"> Brand Growth at Mars, Inc.: How the Global Marketer Embraced Ehrenberg’s Science with Creativity. </w:t>
      </w:r>
      <w:r w:rsidRPr="00896E86">
        <w:rPr>
          <w:i/>
          <w:iCs/>
        </w:rPr>
        <w:t xml:space="preserve">Journal of Advertising Research </w:t>
      </w:r>
      <w:r w:rsidRPr="00896E86">
        <w:t xml:space="preserve">52, 2 (2012): 270–276. </w:t>
      </w:r>
    </w:p>
    <w:p w14:paraId="63370C36" w14:textId="77777777" w:rsidR="001B79A6" w:rsidRPr="00030B4F" w:rsidRDefault="001B79A6" w:rsidP="001B79A6">
      <w:pPr>
        <w:spacing w:after="240"/>
        <w:rPr>
          <w:color w:val="222222"/>
          <w:shd w:val="clear" w:color="auto" w:fill="FFFFFF"/>
        </w:rPr>
      </w:pPr>
      <w:r w:rsidRPr="00030B4F">
        <w:rPr>
          <w:color w:val="222222"/>
          <w:shd w:val="clear" w:color="auto" w:fill="FFFFFF"/>
        </w:rPr>
        <w:t>Kennedy R., Scriven J. and Nenycz-Thiel, M. (2014) When “significant” is not significant. International Journal of Market Research, 56 (5), 591-607. </w:t>
      </w:r>
    </w:p>
    <w:p w14:paraId="51DC6FB3" w14:textId="77777777" w:rsidR="001B79A6" w:rsidRPr="00722E5C" w:rsidRDefault="001B79A6" w:rsidP="001B79A6">
      <w:pPr>
        <w:spacing w:after="240"/>
      </w:pPr>
      <w:r w:rsidRPr="00722E5C">
        <w:t>Li, Fang, Habel C. and Rungie C. (2006) Excess Loyalty – How often does it occur?  ANZMAC Conference, Brisbane 2006.</w:t>
      </w:r>
    </w:p>
    <w:p w14:paraId="10B5F814" w14:textId="77777777" w:rsidR="001B79A6" w:rsidRPr="00030B4F" w:rsidRDefault="001B79A6" w:rsidP="001B79A6">
      <w:pPr>
        <w:spacing w:after="240"/>
        <w:rPr>
          <w:color w:val="222222"/>
          <w:shd w:val="clear" w:color="auto" w:fill="FFFFFF"/>
        </w:rPr>
      </w:pPr>
      <w:r w:rsidRPr="00030B4F">
        <w:rPr>
          <w:color w:val="222222"/>
          <w:shd w:val="clear" w:color="auto" w:fill="FFFFFF"/>
        </w:rPr>
        <w:t>Li, F., Habel, C., &amp; Rungie, C. (2009). Using Polarisation to Reveal Systematic Deviations in Dirichlet Loyalty Estimation.</w:t>
      </w:r>
      <w:r w:rsidRPr="00030B4F">
        <w:t> </w:t>
      </w:r>
      <w:r w:rsidRPr="00030B4F">
        <w:rPr>
          <w:color w:val="222222"/>
          <w:shd w:val="clear" w:color="auto" w:fill="FFFFFF"/>
        </w:rPr>
        <w:t>Marketing Bulletin,</w:t>
      </w:r>
      <w:r w:rsidRPr="00030B4F">
        <w:t> </w:t>
      </w:r>
      <w:r w:rsidRPr="00030B4F">
        <w:rPr>
          <w:color w:val="222222"/>
          <w:shd w:val="clear" w:color="auto" w:fill="FFFFFF"/>
        </w:rPr>
        <w:t>20.</w:t>
      </w:r>
    </w:p>
    <w:p w14:paraId="2FFAC6C5" w14:textId="77777777" w:rsidR="001B79A6" w:rsidRPr="00030B4F" w:rsidRDefault="001B79A6" w:rsidP="001B79A6">
      <w:pPr>
        <w:spacing w:after="240"/>
        <w:rPr>
          <w:color w:val="222222"/>
          <w:shd w:val="clear" w:color="auto" w:fill="FFFFFF"/>
        </w:rPr>
      </w:pPr>
      <w:r w:rsidRPr="00030B4F">
        <w:rPr>
          <w:color w:val="222222"/>
          <w:shd w:val="clear" w:color="auto" w:fill="FFFFFF"/>
        </w:rPr>
        <w:t>Lomax, W., &amp; McWilliam, G. (2001). Consumer response to line extensions: Trial and cannibalisation effects. Journal of Marketing Management, 17(3-4), 391-406.</w:t>
      </w:r>
    </w:p>
    <w:p w14:paraId="42A8538D" w14:textId="77777777" w:rsidR="001B79A6" w:rsidRPr="00030B4F" w:rsidRDefault="001B79A6" w:rsidP="001B79A6">
      <w:pPr>
        <w:spacing w:after="240"/>
        <w:rPr>
          <w:color w:val="222222"/>
          <w:shd w:val="clear" w:color="auto" w:fill="FFFFFF"/>
        </w:rPr>
      </w:pPr>
      <w:r w:rsidRPr="00030B4F">
        <w:rPr>
          <w:color w:val="222222"/>
          <w:shd w:val="clear" w:color="auto" w:fill="FFFFFF"/>
        </w:rPr>
        <w:t>Ludwichowska, G, Romaniuk, J., &amp; Nenycz-Thiel, M. (2017). Systematic response errors in self-reported category buying frequencies. European Journal of Marketing, 51(7/8), 1440-1459.</w:t>
      </w:r>
    </w:p>
    <w:p w14:paraId="4E9A15D9" w14:textId="77777777" w:rsidR="001B79A6" w:rsidRDefault="001B79A6" w:rsidP="001B79A6">
      <w:pPr>
        <w:spacing w:after="240"/>
        <w:rPr>
          <w:color w:val="222222"/>
          <w:shd w:val="clear" w:color="auto" w:fill="FFFFFF"/>
        </w:rPr>
      </w:pPr>
      <w:r w:rsidRPr="003C2EF7">
        <w:rPr>
          <w:color w:val="222222"/>
          <w:shd w:val="clear" w:color="auto" w:fill="FFFFFF"/>
        </w:rPr>
        <w:t>McCabe, J</w:t>
      </w:r>
      <w:r w:rsidRPr="00030B4F">
        <w:rPr>
          <w:color w:val="222222"/>
          <w:shd w:val="clear" w:color="auto" w:fill="FFFFFF"/>
        </w:rPr>
        <w:t>, </w:t>
      </w:r>
      <w:r w:rsidRPr="003C2EF7">
        <w:rPr>
          <w:color w:val="222222"/>
          <w:shd w:val="clear" w:color="auto" w:fill="FFFFFF"/>
        </w:rPr>
        <w:t>Stern, P</w:t>
      </w:r>
      <w:r w:rsidRPr="00030B4F">
        <w:rPr>
          <w:color w:val="222222"/>
          <w:shd w:val="clear" w:color="auto" w:fill="FFFFFF"/>
        </w:rPr>
        <w:t> and </w:t>
      </w:r>
      <w:r w:rsidRPr="003C2EF7">
        <w:rPr>
          <w:color w:val="222222"/>
          <w:shd w:val="clear" w:color="auto" w:fill="FFFFFF"/>
        </w:rPr>
        <w:t>Dacko, S</w:t>
      </w:r>
      <w:r w:rsidRPr="00030B4F">
        <w:rPr>
          <w:color w:val="222222"/>
          <w:shd w:val="clear" w:color="auto" w:fill="FFFFFF"/>
        </w:rPr>
        <w:t>. (2012) The power of before and after : how the Dirichlet can analyze the sales impact of a promotional activity. Journal of Advertising Research, 52 (2). pp. 214-224.</w:t>
      </w:r>
    </w:p>
    <w:p w14:paraId="08450691" w14:textId="77777777" w:rsidR="001B79A6" w:rsidRPr="000F326F" w:rsidRDefault="001B79A6" w:rsidP="001B79A6">
      <w:pPr>
        <w:spacing w:after="240"/>
        <w:rPr>
          <w:color w:val="222222"/>
          <w:shd w:val="clear" w:color="auto" w:fill="FFFFFF"/>
        </w:rPr>
      </w:pPr>
      <w:r w:rsidRPr="000F326F">
        <w:rPr>
          <w:color w:val="222222"/>
          <w:shd w:val="clear" w:color="auto" w:fill="FFFFFF"/>
        </w:rPr>
        <w:t>Morrison</w:t>
      </w:r>
      <w:r>
        <w:rPr>
          <w:color w:val="222222"/>
          <w:shd w:val="clear" w:color="auto" w:fill="FFFFFF"/>
        </w:rPr>
        <w:t>, D.G.</w:t>
      </w:r>
      <w:r w:rsidRPr="000F326F">
        <w:rPr>
          <w:color w:val="222222"/>
          <w:shd w:val="clear" w:color="auto" w:fill="FFFFFF"/>
        </w:rPr>
        <w:t xml:space="preserve"> (1969) Conditional Trend Analysis. A Model that Allows for Non-Users</w:t>
      </w:r>
      <w:r w:rsidRPr="000F326F">
        <w:rPr>
          <w:color w:val="222222"/>
        </w:rPr>
        <w:t> </w:t>
      </w:r>
      <w:r w:rsidRPr="000F326F">
        <w:rPr>
          <w:color w:val="222222"/>
          <w:shd w:val="clear" w:color="auto" w:fill="FFFFFF"/>
        </w:rPr>
        <w:t>Journal of Marketing Research</w:t>
      </w:r>
      <w:r w:rsidRPr="000F326F">
        <w:rPr>
          <w:color w:val="222222"/>
        </w:rPr>
        <w:t> </w:t>
      </w:r>
      <w:r w:rsidRPr="000F326F">
        <w:rPr>
          <w:color w:val="222222"/>
          <w:shd w:val="clear" w:color="auto" w:fill="FFFFFF"/>
        </w:rPr>
        <w:t>Vol. 6, No. 3 (Aug., 1969), pp. 342-346</w:t>
      </w:r>
    </w:p>
    <w:p w14:paraId="5B19AF42" w14:textId="77777777" w:rsidR="001B79A6" w:rsidRPr="00030B4F" w:rsidRDefault="001B79A6" w:rsidP="001B79A6">
      <w:pPr>
        <w:spacing w:after="240"/>
        <w:rPr>
          <w:color w:val="222222"/>
          <w:shd w:val="clear" w:color="auto" w:fill="FFFFFF"/>
        </w:rPr>
      </w:pPr>
      <w:r w:rsidRPr="00030B4F">
        <w:rPr>
          <w:color w:val="222222"/>
          <w:shd w:val="clear" w:color="auto" w:fill="FFFFFF"/>
        </w:rPr>
        <w:t>Morrison, D. G., &amp; Schmittlein, D. C. (1981). Predicting future random events based on past performance.</w:t>
      </w:r>
      <w:r w:rsidRPr="00030B4F">
        <w:t> </w:t>
      </w:r>
      <w:r w:rsidRPr="00030B4F">
        <w:rPr>
          <w:color w:val="222222"/>
          <w:shd w:val="clear" w:color="auto" w:fill="FFFFFF"/>
        </w:rPr>
        <w:t>Management Science,</w:t>
      </w:r>
      <w:r w:rsidRPr="00030B4F">
        <w:t> </w:t>
      </w:r>
      <w:r w:rsidRPr="00030B4F">
        <w:rPr>
          <w:color w:val="222222"/>
          <w:shd w:val="clear" w:color="auto" w:fill="FFFFFF"/>
        </w:rPr>
        <w:t>27(9), 1006-1023.</w:t>
      </w:r>
    </w:p>
    <w:p w14:paraId="036554DE" w14:textId="77777777" w:rsidR="001B79A6" w:rsidRPr="00722E5C" w:rsidRDefault="001B79A6" w:rsidP="001B79A6">
      <w:pPr>
        <w:spacing w:after="240"/>
      </w:pPr>
      <w:r w:rsidRPr="00722E5C">
        <w:rPr>
          <w:color w:val="222222"/>
          <w:shd w:val="clear" w:color="auto" w:fill="FFFFFF"/>
        </w:rPr>
        <w:t>Morrison, D. G., &amp; Schmittlein, D. C. (1988). Generalizing the NBD model for customer purchases: What are the implications and is it worth the effort?. </w:t>
      </w:r>
      <w:r w:rsidRPr="00722E5C">
        <w:rPr>
          <w:i/>
          <w:iCs/>
          <w:color w:val="222222"/>
          <w:shd w:val="clear" w:color="auto" w:fill="FFFFFF"/>
        </w:rPr>
        <w:t>Journal of Business &amp; Economic Statistics</w:t>
      </w:r>
      <w:r w:rsidRPr="00722E5C">
        <w:rPr>
          <w:color w:val="222222"/>
          <w:shd w:val="clear" w:color="auto" w:fill="FFFFFF"/>
        </w:rPr>
        <w:t>, </w:t>
      </w:r>
      <w:r w:rsidRPr="00722E5C">
        <w:rPr>
          <w:i/>
          <w:iCs/>
          <w:color w:val="222222"/>
          <w:shd w:val="clear" w:color="auto" w:fill="FFFFFF"/>
        </w:rPr>
        <w:t>6</w:t>
      </w:r>
      <w:r w:rsidRPr="00722E5C">
        <w:rPr>
          <w:color w:val="222222"/>
          <w:shd w:val="clear" w:color="auto" w:fill="FFFFFF"/>
        </w:rPr>
        <w:t>(2), 145-159.</w:t>
      </w:r>
    </w:p>
    <w:p w14:paraId="61756C9D" w14:textId="77777777" w:rsidR="001B79A6" w:rsidRPr="00030B4F" w:rsidRDefault="001B79A6" w:rsidP="001B79A6">
      <w:pPr>
        <w:spacing w:after="240"/>
        <w:rPr>
          <w:color w:val="222222"/>
          <w:shd w:val="clear" w:color="auto" w:fill="FFFFFF"/>
        </w:rPr>
      </w:pPr>
      <w:r w:rsidRPr="00030B4F">
        <w:rPr>
          <w:color w:val="222222"/>
          <w:shd w:val="clear" w:color="auto" w:fill="FFFFFF"/>
        </w:rPr>
        <w:t>Nelson-Field, K., Riebe, E., &amp; Sharp, B. (2012). What’s Not to “Like?”. Journal of Advertising Research, 52(2), 262-269.</w:t>
      </w:r>
    </w:p>
    <w:p w14:paraId="70D4A411" w14:textId="77777777" w:rsidR="001B79A6" w:rsidRPr="00722E5C" w:rsidRDefault="001B79A6" w:rsidP="001B79A6">
      <w:pPr>
        <w:spacing w:after="240"/>
      </w:pPr>
      <w:r w:rsidRPr="00722E5C">
        <w:t xml:space="preserve">Pare, V., and Dawes, J. (2012) The persistence of excess brand loyalty over multiple years </w:t>
      </w:r>
      <w:r w:rsidRPr="00722E5C">
        <w:rPr>
          <w:i/>
          <w:iCs/>
        </w:rPr>
        <w:t>Marketing Letters</w:t>
      </w:r>
      <w:r w:rsidRPr="00722E5C">
        <w:t xml:space="preserve"> Vol. 23, No. 1 (March 2012), pp. 163-175</w:t>
      </w:r>
    </w:p>
    <w:p w14:paraId="28A702A2" w14:textId="77777777" w:rsidR="001B79A6" w:rsidRPr="00030B4F" w:rsidRDefault="001B79A6" w:rsidP="001B79A6">
      <w:pPr>
        <w:spacing w:after="240"/>
        <w:rPr>
          <w:color w:val="222222"/>
          <w:shd w:val="clear" w:color="auto" w:fill="FFFFFF"/>
        </w:rPr>
      </w:pPr>
      <w:r w:rsidRPr="00030B4F">
        <w:rPr>
          <w:color w:val="222222"/>
          <w:shd w:val="clear" w:color="auto" w:fill="FFFFFF"/>
        </w:rPr>
        <w:t>Riebe, E., Wright, M., Stern, P., &amp; Sharp, B. (2014). How to grow a brand: Retain or acquire customers?. Journal of Business Research, 67(5), 990-997.</w:t>
      </w:r>
    </w:p>
    <w:p w14:paraId="2A1CCE67" w14:textId="77777777" w:rsidR="001B79A6" w:rsidRPr="00030B4F" w:rsidRDefault="001B79A6" w:rsidP="001B79A6">
      <w:pPr>
        <w:spacing w:after="240"/>
        <w:rPr>
          <w:color w:val="222222"/>
          <w:shd w:val="clear" w:color="auto" w:fill="FFFFFF"/>
        </w:rPr>
      </w:pPr>
      <w:r w:rsidRPr="00030B4F">
        <w:rPr>
          <w:color w:val="222222"/>
          <w:shd w:val="clear" w:color="auto" w:fill="FFFFFF"/>
        </w:rPr>
        <w:t>Romaniuk,</w:t>
      </w:r>
      <w:r>
        <w:rPr>
          <w:color w:val="222222"/>
          <w:shd w:val="clear" w:color="auto" w:fill="FFFFFF"/>
        </w:rPr>
        <w:t xml:space="preserve"> J.,</w:t>
      </w:r>
      <w:r w:rsidRPr="00CD2948">
        <w:rPr>
          <w:color w:val="222222"/>
          <w:shd w:val="clear" w:color="auto" w:fill="FFFFFF"/>
        </w:rPr>
        <w:t xml:space="preserve"> </w:t>
      </w:r>
      <w:r w:rsidRPr="00030B4F">
        <w:rPr>
          <w:color w:val="222222"/>
          <w:shd w:val="clear" w:color="auto" w:fill="FFFFFF"/>
        </w:rPr>
        <w:t>Sharp</w:t>
      </w:r>
      <w:r>
        <w:rPr>
          <w:color w:val="222222"/>
          <w:shd w:val="clear" w:color="auto" w:fill="FFFFFF"/>
        </w:rPr>
        <w:t xml:space="preserve"> B</w:t>
      </w:r>
      <w:r w:rsidRPr="00CD2948">
        <w:rPr>
          <w:color w:val="222222"/>
          <w:shd w:val="clear" w:color="auto" w:fill="FFFFFF"/>
        </w:rPr>
        <w:t xml:space="preserve"> and </w:t>
      </w:r>
      <w:r w:rsidRPr="00030B4F">
        <w:rPr>
          <w:color w:val="222222"/>
          <w:shd w:val="clear" w:color="auto" w:fill="FFFFFF"/>
        </w:rPr>
        <w:t xml:space="preserve"> Ehrenberg</w:t>
      </w:r>
      <w:r>
        <w:rPr>
          <w:color w:val="222222"/>
          <w:shd w:val="clear" w:color="auto" w:fill="FFFFFF"/>
        </w:rPr>
        <w:t>, A.(2007)</w:t>
      </w:r>
      <w:r w:rsidRPr="00030B4F">
        <w:rPr>
          <w:color w:val="222222"/>
          <w:shd w:val="clear" w:color="auto" w:fill="FFFFFF"/>
        </w:rPr>
        <w:t xml:space="preserve"> </w:t>
      </w:r>
      <w:hyperlink r:id="rId15" w:history="1">
        <w:r w:rsidRPr="00F4661A">
          <w:rPr>
            <w:color w:val="222222"/>
            <w:shd w:val="clear" w:color="auto" w:fill="FFFFFF"/>
          </w:rPr>
          <w:t>Evidence concerning the importance of perceived brand differentiation</w:t>
        </w:r>
      </w:hyperlink>
      <w:r w:rsidRPr="00030B4F">
        <w:rPr>
          <w:color w:val="222222"/>
          <w:shd w:val="clear" w:color="auto" w:fill="FFFFFF"/>
        </w:rPr>
        <w:t>- Australasi</w:t>
      </w:r>
      <w:r w:rsidRPr="00CD2948">
        <w:rPr>
          <w:color w:val="222222"/>
          <w:shd w:val="clear" w:color="auto" w:fill="FFFFFF"/>
        </w:rPr>
        <w:t xml:space="preserve">an Marketing Journal, </w:t>
      </w:r>
      <w:r>
        <w:rPr>
          <w:color w:val="222222"/>
          <w:shd w:val="clear" w:color="auto" w:fill="FFFFFF"/>
        </w:rPr>
        <w:t>15 (2) pp 42-54</w:t>
      </w:r>
    </w:p>
    <w:p w14:paraId="2E271F2F" w14:textId="77777777" w:rsidR="001B79A6" w:rsidRPr="00030B4F" w:rsidRDefault="001B79A6" w:rsidP="001B79A6">
      <w:pPr>
        <w:spacing w:after="240"/>
        <w:rPr>
          <w:color w:val="222222"/>
          <w:shd w:val="clear" w:color="auto" w:fill="FFFFFF"/>
        </w:rPr>
      </w:pPr>
      <w:r w:rsidRPr="00030B4F">
        <w:rPr>
          <w:color w:val="222222"/>
          <w:shd w:val="clear" w:color="auto" w:fill="FFFFFF"/>
        </w:rPr>
        <w:t>Romaniuk, J (2013) What’s (brand) love got to do with it? International Journal of Marketing Research Vol. 55 No. 2, 2013 p.185–186</w:t>
      </w:r>
    </w:p>
    <w:p w14:paraId="2DE418C7" w14:textId="77777777" w:rsidR="001B79A6" w:rsidRPr="00030B4F" w:rsidRDefault="001B79A6" w:rsidP="001B79A6">
      <w:pPr>
        <w:spacing w:after="240"/>
        <w:rPr>
          <w:color w:val="222222"/>
          <w:shd w:val="clear" w:color="auto" w:fill="FFFFFF"/>
        </w:rPr>
      </w:pPr>
      <w:r w:rsidRPr="00030B4F">
        <w:rPr>
          <w:color w:val="222222"/>
          <w:shd w:val="clear" w:color="auto" w:fill="FFFFFF"/>
        </w:rPr>
        <w:t>Romaniuk</w:t>
      </w:r>
      <w:r>
        <w:rPr>
          <w:color w:val="222222"/>
          <w:shd w:val="clear" w:color="auto" w:fill="FFFFFF"/>
        </w:rPr>
        <w:t xml:space="preserve"> J.</w:t>
      </w:r>
      <w:r w:rsidRPr="00030B4F">
        <w:rPr>
          <w:color w:val="222222"/>
          <w:shd w:val="clear" w:color="auto" w:fill="FFFFFF"/>
        </w:rPr>
        <w:t> and  Nenycz-Thiel</w:t>
      </w:r>
      <w:r>
        <w:rPr>
          <w:color w:val="222222"/>
          <w:shd w:val="clear" w:color="auto" w:fill="FFFFFF"/>
        </w:rPr>
        <w:t>, M.(2013)</w:t>
      </w:r>
      <w:r w:rsidRPr="001C53E2">
        <w:rPr>
          <w:color w:val="222222"/>
          <w:shd w:val="clear" w:color="auto" w:fill="FFFFFF"/>
        </w:rPr>
        <w:t xml:space="preserve"> </w:t>
      </w:r>
      <w:r w:rsidRPr="00140565">
        <w:rPr>
          <w:color w:val="222222"/>
          <w:shd w:val="clear" w:color="auto" w:fill="FFFFFF"/>
        </w:rPr>
        <w:t>Behavioral brand loyalty and consumer brand associations</w:t>
      </w:r>
      <w:r>
        <w:rPr>
          <w:color w:val="222222"/>
          <w:shd w:val="clear" w:color="auto" w:fill="FFFFFF"/>
        </w:rPr>
        <w:t xml:space="preserve">, </w:t>
      </w:r>
      <w:hyperlink r:id="rId16" w:history="1">
        <w:r w:rsidRPr="00030B4F">
          <w:rPr>
            <w:color w:val="222222"/>
            <w:shd w:val="clear" w:color="auto" w:fill="FFFFFF"/>
          </w:rPr>
          <w:t>Journal of Business Research</w:t>
        </w:r>
      </w:hyperlink>
      <w:r w:rsidRPr="00030B4F">
        <w:rPr>
          <w:color w:val="222222"/>
          <w:shd w:val="clear" w:color="auto" w:fill="FFFFFF"/>
        </w:rPr>
        <w:t>, vol. 66, issue 1, 67-72</w:t>
      </w:r>
    </w:p>
    <w:p w14:paraId="229767CE" w14:textId="77777777" w:rsidR="001B79A6" w:rsidRPr="00030B4F" w:rsidRDefault="001B79A6" w:rsidP="001B79A6">
      <w:pPr>
        <w:spacing w:after="240"/>
        <w:rPr>
          <w:color w:val="222222"/>
          <w:shd w:val="clear" w:color="auto" w:fill="FFFFFF"/>
        </w:rPr>
      </w:pPr>
      <w:r w:rsidRPr="00030B4F">
        <w:rPr>
          <w:color w:val="222222"/>
          <w:shd w:val="clear" w:color="auto" w:fill="FFFFFF"/>
        </w:rPr>
        <w:t>Romaniuk, J., &amp; Wight, S. (2015). The stability and sales contribution of heavy</w:t>
      </w:r>
      <w:r w:rsidRPr="00030B4F">
        <w:rPr>
          <w:rFonts w:ascii="Calibri" w:eastAsia="Calibri" w:hAnsi="Calibri" w:cs="Calibri"/>
          <w:color w:val="222222"/>
          <w:shd w:val="clear" w:color="auto" w:fill="FFFFFF"/>
        </w:rPr>
        <w:t>‐</w:t>
      </w:r>
      <w:r w:rsidRPr="00030B4F">
        <w:rPr>
          <w:color w:val="222222"/>
          <w:shd w:val="clear" w:color="auto" w:fill="FFFFFF"/>
        </w:rPr>
        <w:t>buying households. Journal of Consumer Behaviour, 14(1), 13-20.</w:t>
      </w:r>
    </w:p>
    <w:p w14:paraId="257617B0" w14:textId="77777777" w:rsidR="001B79A6" w:rsidRDefault="001B79A6" w:rsidP="001B79A6">
      <w:pPr>
        <w:spacing w:after="240"/>
      </w:pPr>
      <w:r w:rsidRPr="00030B4F">
        <w:t>Romaniuk, J., &amp; Sharp, B. (2015). How Brands Grow 2.</w:t>
      </w:r>
      <w:r>
        <w:t xml:space="preserve"> Melbourne, OUP</w:t>
      </w:r>
    </w:p>
    <w:p w14:paraId="3E778A36" w14:textId="77777777" w:rsidR="001B79A6" w:rsidRPr="00722E5C" w:rsidRDefault="001B79A6" w:rsidP="001B79A6">
      <w:pPr>
        <w:spacing w:after="240"/>
      </w:pPr>
      <w:r w:rsidRPr="00722E5C">
        <w:t>Scriven, J. A, and Bound, J. A., (2004) “A Discussion of Dirichlet Deviations”, Australia and New Zealand Marketing Academy Conference, Wellington, 2004.</w:t>
      </w:r>
    </w:p>
    <w:p w14:paraId="0AFE1A34" w14:textId="77777777" w:rsidR="001B79A6" w:rsidRPr="00722E5C" w:rsidRDefault="001B79A6" w:rsidP="001B79A6">
      <w:pPr>
        <w:spacing w:after="240"/>
      </w:pPr>
      <w:r w:rsidRPr="00722E5C">
        <w:t>Scriven, J., &amp; Danenberg, N. (2010). Understanding how brands compete: a guide to duplication of purchase analysis. </w:t>
      </w:r>
      <w:r w:rsidRPr="00722E5C">
        <w:rPr>
          <w:i/>
          <w:iCs/>
        </w:rPr>
        <w:t>Report 53 for Corporate Supporters</w:t>
      </w:r>
      <w:r w:rsidRPr="00722E5C">
        <w:t>. Ehrenberg-Bass Institute, University of South Australia.</w:t>
      </w:r>
    </w:p>
    <w:p w14:paraId="513FF589" w14:textId="77777777" w:rsidR="001B79A6" w:rsidRDefault="001B79A6" w:rsidP="001B79A6">
      <w:pPr>
        <w:spacing w:after="240"/>
      </w:pPr>
      <w:r>
        <w:t xml:space="preserve">Scriven, J. and Goodhardt, G.J. (2012). </w:t>
      </w:r>
      <w:r w:rsidRPr="00030B4F">
        <w:t>The Ehrenberg Legacy</w:t>
      </w:r>
      <w:r>
        <w:t xml:space="preserve">: </w:t>
      </w:r>
      <w:r w:rsidRPr="00030B4F">
        <w:t>Lessons in Buying Behavior, Television, Brand Perception, Advertising, and Pricing</w:t>
      </w:r>
      <w:r>
        <w:t xml:space="preserve"> Journal of Advertising Research, </w:t>
      </w:r>
      <w:r>
        <w:rPr>
          <w:rFonts w:ascii="Open Sans" w:hAnsi="Open Sans"/>
          <w:color w:val="333333"/>
          <w:shd w:val="clear" w:color="auto" w:fill="FFFFFF"/>
        </w:rPr>
        <w:t>vol. 52 no. 2 198-202</w:t>
      </w:r>
    </w:p>
    <w:p w14:paraId="1DBB6EE6" w14:textId="77777777" w:rsidR="001B79A6" w:rsidRPr="00030B4F" w:rsidRDefault="00533CC7" w:rsidP="001B79A6">
      <w:pPr>
        <w:spacing w:after="240"/>
        <w:rPr>
          <w:color w:val="222222"/>
          <w:shd w:val="clear" w:color="auto" w:fill="FFFFFF"/>
        </w:rPr>
      </w:pPr>
      <w:hyperlink r:id="rId17" w:history="1">
        <w:r w:rsidR="001B79A6" w:rsidRPr="00227E84">
          <w:rPr>
            <w:color w:val="222222"/>
            <w:shd w:val="clear" w:color="auto" w:fill="FFFFFF"/>
          </w:rPr>
          <w:t xml:space="preserve">Sharp, B., </w:t>
        </w:r>
        <w:r w:rsidR="001B79A6" w:rsidRPr="00030B4F">
          <w:rPr>
            <w:color w:val="222222"/>
            <w:shd w:val="clear" w:color="auto" w:fill="FFFFFF"/>
          </w:rPr>
          <w:t xml:space="preserve">Wright, </w:t>
        </w:r>
        <w:r w:rsidR="001B79A6">
          <w:rPr>
            <w:color w:val="222222"/>
            <w:shd w:val="clear" w:color="auto" w:fill="FFFFFF"/>
          </w:rPr>
          <w:t xml:space="preserve">M. </w:t>
        </w:r>
        <w:r w:rsidR="001B79A6" w:rsidRPr="00227E84">
          <w:rPr>
            <w:color w:val="222222"/>
            <w:shd w:val="clear" w:color="auto" w:fill="FFFFFF"/>
          </w:rPr>
          <w:t>and</w:t>
        </w:r>
        <w:r w:rsidR="001B79A6" w:rsidRPr="00030B4F">
          <w:rPr>
            <w:color w:val="222222"/>
            <w:shd w:val="clear" w:color="auto" w:fill="FFFFFF"/>
          </w:rPr>
          <w:t xml:space="preserve"> Goodhardt</w:t>
        </w:r>
        <w:r w:rsidR="001B79A6">
          <w:rPr>
            <w:color w:val="222222"/>
            <w:shd w:val="clear" w:color="auto" w:fill="FFFFFF"/>
          </w:rPr>
          <w:t xml:space="preserve"> G.J.</w:t>
        </w:r>
        <w:r w:rsidR="001B79A6" w:rsidRPr="00030B4F">
          <w:rPr>
            <w:color w:val="222222"/>
            <w:shd w:val="clear" w:color="auto" w:fill="FFFFFF"/>
          </w:rPr>
          <w:t xml:space="preserve"> (2002), “Purchase loyalty is polarised into either repertoire or subscription patterns” Australasian Marketing Journal, 10 (3), 7-20.</w:t>
        </w:r>
      </w:hyperlink>
    </w:p>
    <w:p w14:paraId="3A9A3723" w14:textId="77777777" w:rsidR="001B79A6" w:rsidRPr="00722E5C" w:rsidRDefault="001B79A6" w:rsidP="001B79A6">
      <w:pPr>
        <w:spacing w:after="240"/>
      </w:pPr>
      <w:r w:rsidRPr="00722E5C">
        <w:t xml:space="preserve">Sharp, B., (2010) </w:t>
      </w:r>
      <w:r w:rsidRPr="00722E5C">
        <w:rPr>
          <w:i/>
        </w:rPr>
        <w:t>How Brands Grow.</w:t>
      </w:r>
      <w:r w:rsidRPr="00722E5C">
        <w:t xml:space="preserve"> Melbourne: Oxford University Press</w:t>
      </w:r>
    </w:p>
    <w:p w14:paraId="4941FB6D" w14:textId="77777777" w:rsidR="001B79A6" w:rsidRPr="00722E5C" w:rsidRDefault="001B79A6" w:rsidP="001B79A6">
      <w:pPr>
        <w:spacing w:after="240"/>
      </w:pPr>
      <w:r w:rsidRPr="00722E5C">
        <w:rPr>
          <w:color w:val="222222"/>
          <w:shd w:val="clear" w:color="auto" w:fill="FFFFFF"/>
        </w:rPr>
        <w:t>Sharp, B., Wright, M., Dawes, J., Driesener, C., Meyer-Waarden, L., Stocchi, L., &amp; Stern, P. (2012). It's a Dirichlet World. </w:t>
      </w:r>
      <w:r w:rsidRPr="00722E5C">
        <w:rPr>
          <w:i/>
          <w:iCs/>
          <w:color w:val="222222"/>
        </w:rPr>
        <w:t>Journal of Advertising Research</w:t>
      </w:r>
      <w:r w:rsidRPr="00722E5C">
        <w:rPr>
          <w:color w:val="222222"/>
          <w:shd w:val="clear" w:color="auto" w:fill="FFFFFF"/>
        </w:rPr>
        <w:t>, </w:t>
      </w:r>
      <w:r w:rsidRPr="00722E5C">
        <w:rPr>
          <w:i/>
          <w:iCs/>
          <w:color w:val="222222"/>
        </w:rPr>
        <w:t>52</w:t>
      </w:r>
      <w:r w:rsidRPr="00722E5C">
        <w:rPr>
          <w:color w:val="222222"/>
          <w:shd w:val="clear" w:color="auto" w:fill="FFFFFF"/>
        </w:rPr>
        <w:t>(2), pp.203-213.</w:t>
      </w:r>
    </w:p>
    <w:p w14:paraId="035769E8" w14:textId="77777777" w:rsidR="001B79A6" w:rsidRPr="00847367" w:rsidRDefault="001B79A6" w:rsidP="001B79A6">
      <w:pPr>
        <w:spacing w:after="240"/>
        <w:rPr>
          <w:color w:val="222222"/>
          <w:shd w:val="clear" w:color="auto" w:fill="FFFFFF"/>
        </w:rPr>
      </w:pPr>
      <w:r w:rsidRPr="00847367">
        <w:rPr>
          <w:color w:val="222222"/>
          <w:shd w:val="clear" w:color="auto" w:fill="FFFFFF"/>
        </w:rPr>
        <w:t>Stocchi, L., (2014) Is consumer memory (really) Dirichlet-like? Marketing Bulletin, 2014, 25, Technical Note 1. Massey University, Palmerston North, New Zealand.</w:t>
      </w:r>
    </w:p>
    <w:p w14:paraId="4B868C92" w14:textId="77777777" w:rsidR="001B79A6" w:rsidRPr="00030B4F" w:rsidRDefault="001B79A6" w:rsidP="001B79A6">
      <w:pPr>
        <w:spacing w:after="240"/>
        <w:rPr>
          <w:color w:val="222222"/>
          <w:shd w:val="clear" w:color="auto" w:fill="FFFFFF"/>
        </w:rPr>
      </w:pPr>
      <w:r w:rsidRPr="0012239F">
        <w:rPr>
          <w:color w:val="222222"/>
          <w:shd w:val="clear" w:color="auto" w:fill="FFFFFF"/>
        </w:rPr>
        <w:t xml:space="preserve">Stocchi, L. </w:t>
      </w:r>
      <w:r w:rsidRPr="00030B4F">
        <w:rPr>
          <w:color w:val="222222"/>
          <w:shd w:val="clear" w:color="auto" w:fill="FFFFFF"/>
        </w:rPr>
        <w:t xml:space="preserve">Driesener, </w:t>
      </w:r>
      <w:r>
        <w:rPr>
          <w:color w:val="222222"/>
          <w:shd w:val="clear" w:color="auto" w:fill="FFFFFF"/>
        </w:rPr>
        <w:t xml:space="preserve"> C. and </w:t>
      </w:r>
      <w:r w:rsidRPr="00030B4F">
        <w:rPr>
          <w:color w:val="222222"/>
          <w:shd w:val="clear" w:color="auto" w:fill="FFFFFF"/>
        </w:rPr>
        <w:t>Nenycz</w:t>
      </w:r>
      <w:r w:rsidRPr="00030B4F">
        <w:rPr>
          <w:rFonts w:ascii="Calibri" w:eastAsia="Calibri" w:hAnsi="Calibri" w:cs="Calibri"/>
          <w:color w:val="222222"/>
          <w:shd w:val="clear" w:color="auto" w:fill="FFFFFF"/>
        </w:rPr>
        <w:t>‐</w:t>
      </w:r>
      <w:r w:rsidRPr="00030B4F">
        <w:rPr>
          <w:color w:val="222222"/>
          <w:shd w:val="clear" w:color="auto" w:fill="FFFFFF"/>
        </w:rPr>
        <w:t>Thiel</w:t>
      </w:r>
      <w:r>
        <w:rPr>
          <w:color w:val="222222"/>
          <w:shd w:val="clear" w:color="auto" w:fill="FFFFFF"/>
        </w:rPr>
        <w:t>, M. (2015)</w:t>
      </w:r>
      <w:r w:rsidRPr="0012239F">
        <w:rPr>
          <w:color w:val="222222"/>
          <w:shd w:val="clear" w:color="auto" w:fill="FFFFFF"/>
        </w:rPr>
        <w:t xml:space="preserve"> </w:t>
      </w:r>
      <w:r>
        <w:rPr>
          <w:color w:val="222222"/>
          <w:shd w:val="clear" w:color="auto" w:fill="FFFFFF"/>
        </w:rPr>
        <w:t xml:space="preserve"> </w:t>
      </w:r>
      <w:hyperlink r:id="rId18" w:history="1">
        <w:r w:rsidRPr="00691178">
          <w:rPr>
            <w:color w:val="222222"/>
            <w:shd w:val="clear" w:color="auto" w:fill="FFFFFF"/>
          </w:rPr>
          <w:t>Brand image and brand loyalty: Do they show the same deviations from a common underlying pattern?</w:t>
        </w:r>
      </w:hyperlink>
      <w:r>
        <w:rPr>
          <w:color w:val="222222"/>
          <w:shd w:val="clear" w:color="auto" w:fill="FFFFFF"/>
        </w:rPr>
        <w:t xml:space="preserve"> </w:t>
      </w:r>
      <w:r w:rsidRPr="00030B4F">
        <w:rPr>
          <w:color w:val="222222"/>
          <w:shd w:val="clear" w:color="auto" w:fill="FFFFFF"/>
        </w:rPr>
        <w:t>Journal of Consumer Behaviour 14 (5), 317-324</w:t>
      </w:r>
    </w:p>
    <w:p w14:paraId="4FFA7317" w14:textId="77777777" w:rsidR="009B1EBD" w:rsidRPr="00AD5986" w:rsidRDefault="009B1EBD" w:rsidP="00AD5986">
      <w:pPr>
        <w:spacing w:after="240"/>
        <w:rPr>
          <w:color w:val="222222"/>
          <w:shd w:val="clear" w:color="auto" w:fill="FFFFFF"/>
        </w:rPr>
      </w:pPr>
      <w:r w:rsidRPr="00AD5986">
        <w:rPr>
          <w:color w:val="222222"/>
          <w:shd w:val="clear" w:color="auto" w:fill="FFFFFF"/>
        </w:rPr>
        <w:t>Trinh, G., Rungie, C., Wright, M., Driesener, C., &amp; Dawes, J. (2014). Predicting future purchases with the Poisson log-normal model.</w:t>
      </w:r>
      <w:r w:rsidRPr="00AD5986">
        <w:t> </w:t>
      </w:r>
      <w:r w:rsidRPr="00AD5986">
        <w:rPr>
          <w:color w:val="222222"/>
          <w:shd w:val="clear" w:color="auto" w:fill="FFFFFF"/>
        </w:rPr>
        <w:t>Marketing Letters,</w:t>
      </w:r>
      <w:r w:rsidRPr="00AD5986">
        <w:t> </w:t>
      </w:r>
      <w:r w:rsidRPr="00AD5986">
        <w:rPr>
          <w:color w:val="222222"/>
          <w:shd w:val="clear" w:color="auto" w:fill="FFFFFF"/>
        </w:rPr>
        <w:t>25(2), 219-234.</w:t>
      </w:r>
    </w:p>
    <w:p w14:paraId="1141EFA4" w14:textId="02CC58A9" w:rsidR="00DC3242" w:rsidRPr="00AD5986" w:rsidRDefault="00DC3242" w:rsidP="00AD5986">
      <w:pPr>
        <w:spacing w:after="240"/>
        <w:rPr>
          <w:color w:val="222222"/>
          <w:shd w:val="clear" w:color="auto" w:fill="FFFFFF"/>
        </w:rPr>
      </w:pPr>
      <w:r w:rsidRPr="00AD5986">
        <w:rPr>
          <w:color w:val="222222"/>
          <w:shd w:val="clear" w:color="auto" w:fill="FFFFFF"/>
        </w:rPr>
        <w:t>Trinh, G. T., &amp; Anesbury, Z. W. (2015). An investigation of variation in brand growth and decline across categories.</w:t>
      </w:r>
      <w:r w:rsidR="001E1122" w:rsidRPr="00AD5986">
        <w:rPr>
          <w:color w:val="222222"/>
        </w:rPr>
        <w:t xml:space="preserve">  </w:t>
      </w:r>
      <w:r w:rsidR="001E1122" w:rsidRPr="00AD5986">
        <w:rPr>
          <w:color w:val="222222"/>
          <w:shd w:val="clear" w:color="auto" w:fill="FFFFFF"/>
        </w:rPr>
        <w:t>International Journal of Market Research vol. 57, no. 3, pp. 347-356</w:t>
      </w:r>
    </w:p>
    <w:p w14:paraId="03CBAC16" w14:textId="358CBD1A" w:rsidR="001B79A6" w:rsidRPr="00030B4F" w:rsidRDefault="001B79A6" w:rsidP="001B79A6">
      <w:pPr>
        <w:spacing w:after="240"/>
        <w:rPr>
          <w:color w:val="222222"/>
          <w:shd w:val="clear" w:color="auto" w:fill="FFFFFF"/>
        </w:rPr>
      </w:pPr>
      <w:r w:rsidRPr="00030B4F">
        <w:rPr>
          <w:color w:val="222222"/>
          <w:shd w:val="clear" w:color="auto" w:fill="FFFFFF"/>
        </w:rPr>
        <w:t xml:space="preserve">Trinh, G, Romaniuk, J &amp; Tanusondjaja, A (2016) Benchmarking buyer behavior towards new brands Marketing Letters, vol. 27, no. 4, pp. 743-752 </w:t>
      </w:r>
    </w:p>
    <w:p w14:paraId="379582D0" w14:textId="77777777" w:rsidR="001B79A6" w:rsidRPr="00030B4F" w:rsidRDefault="001B79A6" w:rsidP="001B79A6">
      <w:pPr>
        <w:spacing w:after="240"/>
        <w:rPr>
          <w:color w:val="222222"/>
          <w:shd w:val="clear" w:color="auto" w:fill="FFFFFF"/>
        </w:rPr>
      </w:pPr>
      <w:r w:rsidRPr="00030B4F">
        <w:rPr>
          <w:color w:val="222222"/>
          <w:shd w:val="clear" w:color="auto" w:fill="FFFFFF"/>
        </w:rPr>
        <w:t xml:space="preserve">Twedt, D.W. (1964) How Important to Marketing Strategy is the Heavy User? Journal of Marketing, 28 (January 1964) pp. 71-72. </w:t>
      </w:r>
    </w:p>
    <w:p w14:paraId="7DC82F97" w14:textId="77777777" w:rsidR="001B79A6" w:rsidRPr="00990D51" w:rsidRDefault="001B79A6" w:rsidP="001B79A6">
      <w:pPr>
        <w:spacing w:after="240"/>
        <w:rPr>
          <w:color w:val="222222"/>
          <w:shd w:val="clear" w:color="auto" w:fill="FFFFFF"/>
        </w:rPr>
      </w:pPr>
      <w:r w:rsidRPr="00990D51">
        <w:rPr>
          <w:color w:val="222222"/>
          <w:shd w:val="clear" w:color="auto" w:fill="FFFFFF"/>
        </w:rPr>
        <w:t>Uncles, M. D., &amp; Ellis, K. (1989). The buying of own labels. European Journal of Marketing, 23(3), 57-70.</w:t>
      </w:r>
    </w:p>
    <w:p w14:paraId="03D69F62" w14:textId="77777777" w:rsidR="001B79A6" w:rsidRPr="00030B4F" w:rsidRDefault="001B79A6" w:rsidP="001B79A6">
      <w:pPr>
        <w:spacing w:after="240"/>
        <w:rPr>
          <w:color w:val="222222"/>
          <w:shd w:val="clear" w:color="auto" w:fill="FFFFFF"/>
        </w:rPr>
      </w:pPr>
      <w:r w:rsidRPr="00030B4F">
        <w:rPr>
          <w:color w:val="222222"/>
          <w:shd w:val="clear" w:color="auto" w:fill="FFFFFF"/>
        </w:rPr>
        <w:t>Uncles, M. D., Hammond, K. A., Ehrenberg, A. S., &amp; Davis, R. E. (1994). A replication study of two brand-loyalty measures. European Journal of Operational Research, 76(2), 375-384.</w:t>
      </w:r>
    </w:p>
    <w:p w14:paraId="5BAD18E3" w14:textId="77777777" w:rsidR="001B79A6" w:rsidRPr="00030B4F" w:rsidRDefault="001B79A6" w:rsidP="001B79A6">
      <w:pPr>
        <w:spacing w:after="240"/>
        <w:rPr>
          <w:color w:val="222222"/>
          <w:shd w:val="clear" w:color="auto" w:fill="FFFFFF"/>
        </w:rPr>
      </w:pPr>
      <w:r w:rsidRPr="00030B4F">
        <w:rPr>
          <w:color w:val="222222"/>
          <w:shd w:val="clear" w:color="auto" w:fill="FFFFFF"/>
        </w:rPr>
        <w:t>Uncles, M., Ehrenberg, A., &amp; Hammond, K. (1995). Patterns of buyer behavior: Regularities, models, and extensions.</w:t>
      </w:r>
      <w:r w:rsidRPr="00030B4F">
        <w:t> </w:t>
      </w:r>
      <w:r w:rsidRPr="00030B4F">
        <w:rPr>
          <w:color w:val="222222"/>
          <w:shd w:val="clear" w:color="auto" w:fill="FFFFFF"/>
        </w:rPr>
        <w:t>Marketing Science,</w:t>
      </w:r>
      <w:r w:rsidRPr="00030B4F">
        <w:t> </w:t>
      </w:r>
      <w:r w:rsidRPr="00030B4F">
        <w:rPr>
          <w:color w:val="222222"/>
          <w:shd w:val="clear" w:color="auto" w:fill="FFFFFF"/>
        </w:rPr>
        <w:t>14(3_supplement), G71-G78.</w:t>
      </w:r>
    </w:p>
    <w:p w14:paraId="1AA0B5B4" w14:textId="77777777" w:rsidR="001B79A6" w:rsidRPr="00722E5C" w:rsidRDefault="001B79A6" w:rsidP="001B79A6">
      <w:pPr>
        <w:spacing w:after="240"/>
      </w:pPr>
      <w:r w:rsidRPr="00722E5C">
        <w:t xml:space="preserve">Uncles, M. D., &amp; Wright, M. (2004). Empirical generalisation in marketing. </w:t>
      </w:r>
      <w:r w:rsidRPr="00722E5C">
        <w:rPr>
          <w:i/>
        </w:rPr>
        <w:t>Australasian Marketing Journal</w:t>
      </w:r>
      <w:r w:rsidRPr="00722E5C">
        <w:t>, 12(3), 5-18.</w:t>
      </w:r>
    </w:p>
    <w:p w14:paraId="226769D3" w14:textId="77777777" w:rsidR="001B79A6" w:rsidRPr="00144248" w:rsidRDefault="001B79A6" w:rsidP="001B79A6">
      <w:pPr>
        <w:spacing w:after="240"/>
      </w:pPr>
      <w:r w:rsidRPr="00144248">
        <w:t>Uncles, M. D., &amp; Kwok, S. (2008). Generalizing patterns of store-type patronage: an analysis across major Chinese cities. The International Review of Retail, Distribution and Consumer Research, 18(5), 473-493.</w:t>
      </w:r>
    </w:p>
    <w:p w14:paraId="7453764D" w14:textId="77777777" w:rsidR="001B79A6" w:rsidRPr="00030B4F" w:rsidRDefault="001B79A6" w:rsidP="001B79A6">
      <w:pPr>
        <w:spacing w:after="240"/>
        <w:rPr>
          <w:color w:val="222222"/>
          <w:shd w:val="clear" w:color="auto" w:fill="FFFFFF"/>
        </w:rPr>
      </w:pPr>
      <w:r w:rsidRPr="00030B4F">
        <w:rPr>
          <w:color w:val="222222"/>
          <w:shd w:val="clear" w:color="auto" w:fill="FFFFFF"/>
        </w:rPr>
        <w:t>Uncles, M., Kennedy, R., Nenycz-Thiel, M., Singh, J., &amp; Kwok, S. (2012). In 25 years, across 50 categories, user profiles for directly competing brands seldom differ. Journal of Advertising Research, 52(2), 252-261.</w:t>
      </w:r>
    </w:p>
    <w:p w14:paraId="40EE6015" w14:textId="77777777" w:rsidR="001B79A6" w:rsidRDefault="001B79A6" w:rsidP="001B79A6">
      <w:pPr>
        <w:spacing w:after="240"/>
      </w:pPr>
      <w:r w:rsidRPr="00980CD4">
        <w:t>Uncles, M. D., &amp; Kwok, S. (2013). Designing research with in-built differentiated replication. </w:t>
      </w:r>
      <w:r w:rsidRPr="00980CD4">
        <w:rPr>
          <w:i/>
          <w:iCs/>
        </w:rPr>
        <w:t>Journal of Business Research</w:t>
      </w:r>
      <w:r w:rsidRPr="00980CD4">
        <w:t>, </w:t>
      </w:r>
      <w:r w:rsidRPr="00980CD4">
        <w:rPr>
          <w:i/>
          <w:iCs/>
        </w:rPr>
        <w:t>66</w:t>
      </w:r>
      <w:r w:rsidRPr="00980CD4">
        <w:t>(9), 1398-1405.</w:t>
      </w:r>
    </w:p>
    <w:p w14:paraId="13E8E611" w14:textId="77777777" w:rsidR="001B79A6" w:rsidRDefault="001B79A6" w:rsidP="001B79A6">
      <w:pPr>
        <w:spacing w:after="240"/>
      </w:pPr>
      <w:r w:rsidRPr="00030B4F">
        <w:t>Van Trijp, H. C., Hoyer, W. D., &amp; Inman, J. J. (1996). Why switch? Product category: level explanations for true variety-seeking behavior. Journal of Marketing Research, 281-292.</w:t>
      </w:r>
    </w:p>
    <w:p w14:paraId="68CEC4E2" w14:textId="77777777" w:rsidR="001B79A6" w:rsidRPr="00030B4F" w:rsidRDefault="001B79A6" w:rsidP="001B79A6">
      <w:pPr>
        <w:spacing w:after="240"/>
        <w:rPr>
          <w:color w:val="222222"/>
          <w:shd w:val="clear" w:color="auto" w:fill="FFFFFF"/>
        </w:rPr>
      </w:pPr>
      <w:r w:rsidRPr="00030B4F">
        <w:rPr>
          <w:color w:val="222222"/>
          <w:shd w:val="clear" w:color="auto" w:fill="FFFFFF"/>
        </w:rPr>
        <w:t>Wright, M., Sharp, A., &amp; Sharp, B. (2002). Market statistics for the Dirichlet model: Using the Juster scale to replace panel data. International Journal of Research in Marketing, 19(1), 81-90.</w:t>
      </w:r>
    </w:p>
    <w:p w14:paraId="05EF3845" w14:textId="5F640078" w:rsidR="001B79A6" w:rsidRDefault="001B79A6">
      <w:pPr>
        <w:rPr>
          <w:rFonts w:ascii="Times" w:eastAsia="Times" w:hAnsi="Times"/>
          <w:b/>
          <w:szCs w:val="20"/>
          <w:lang w:eastAsia="en-US"/>
        </w:rPr>
      </w:pPr>
      <w:r>
        <w:rPr>
          <w:b/>
        </w:rPr>
        <w:br w:type="page"/>
      </w:r>
    </w:p>
    <w:p w14:paraId="1A72EACA" w14:textId="77777777" w:rsidR="001B79A6" w:rsidRDefault="001B79A6" w:rsidP="0096527B">
      <w:pPr>
        <w:pStyle w:val="BodyText2"/>
        <w:spacing w:before="0"/>
        <w:jc w:val="left"/>
        <w:rPr>
          <w:b/>
        </w:rPr>
      </w:pPr>
    </w:p>
    <w:p w14:paraId="454E66BD" w14:textId="77777777" w:rsidR="001B79A6" w:rsidRDefault="001B79A6" w:rsidP="0096527B">
      <w:pPr>
        <w:pStyle w:val="BodyText2"/>
        <w:spacing w:before="0"/>
        <w:jc w:val="left"/>
        <w:rPr>
          <w:b/>
        </w:rPr>
      </w:pPr>
    </w:p>
    <w:p w14:paraId="6BC838EC" w14:textId="77777777" w:rsidR="001B79A6" w:rsidRPr="0096527B" w:rsidRDefault="001B79A6" w:rsidP="0096527B">
      <w:pPr>
        <w:pStyle w:val="BodyText2"/>
        <w:spacing w:before="0"/>
        <w:jc w:val="left"/>
        <w:rPr>
          <w:b/>
        </w:rPr>
      </w:pPr>
    </w:p>
    <w:p w14:paraId="12520741" w14:textId="77777777" w:rsidR="00722E5C" w:rsidRPr="00D07677" w:rsidRDefault="00722E5C" w:rsidP="00722E5C">
      <w:pPr>
        <w:spacing w:after="120" w:line="360" w:lineRule="auto"/>
        <w:jc w:val="center"/>
        <w:rPr>
          <w:sz w:val="20"/>
          <w:u w:val="single"/>
        </w:rPr>
      </w:pPr>
      <w:r w:rsidRPr="00D07677">
        <w:rPr>
          <w:b/>
        </w:rPr>
        <w:t>Table 1. Observed (</w:t>
      </w:r>
      <w:r w:rsidRPr="00D07677">
        <w:t xml:space="preserve">O) </w:t>
      </w:r>
      <w:r w:rsidRPr="00D07677">
        <w:rPr>
          <w:b/>
        </w:rPr>
        <w:t xml:space="preserve">and Theoretical (T) summary for </w:t>
      </w:r>
      <w:r>
        <w:rPr>
          <w:b/>
        </w:rPr>
        <w:t>n</w:t>
      </w:r>
      <w:r w:rsidRPr="00D07677">
        <w:rPr>
          <w:b/>
        </w:rPr>
        <w:t xml:space="preserve">ine </w:t>
      </w:r>
      <w:r>
        <w:rPr>
          <w:b/>
        </w:rPr>
        <w:t>b</w:t>
      </w:r>
      <w:r w:rsidRPr="00D07677">
        <w:rPr>
          <w:b/>
        </w:rPr>
        <w:t xml:space="preserve">rand </w:t>
      </w:r>
      <w:r>
        <w:rPr>
          <w:b/>
        </w:rPr>
        <w:t>m</w:t>
      </w:r>
      <w:r w:rsidRPr="00D07677">
        <w:rPr>
          <w:b/>
        </w:rPr>
        <w:t>etrics</w:t>
      </w:r>
      <w:r w:rsidRPr="00D07677">
        <w:rPr>
          <w:b/>
        </w:rPr>
        <w:br/>
      </w:r>
      <w:r>
        <w:rPr>
          <w:sz w:val="20"/>
        </w:rPr>
        <w:t xml:space="preserve"> Kantar Worldpanel</w:t>
      </w:r>
      <w:r w:rsidRPr="00D07677">
        <w:rPr>
          <w:sz w:val="20"/>
        </w:rPr>
        <w:t>: 52 weeks to Jan 2005</w:t>
      </w:r>
      <w:r>
        <w:rPr>
          <w:sz w:val="20"/>
        </w:rPr>
        <w:t>.</w:t>
      </w:r>
      <w:r w:rsidRPr="00491D4A">
        <w:rPr>
          <w:sz w:val="20"/>
        </w:rPr>
        <w:t xml:space="preserve"> </w:t>
      </w:r>
      <w:r>
        <w:rPr>
          <w:sz w:val="20"/>
        </w:rPr>
        <w:t>Brand level data.</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53"/>
        <w:gridCol w:w="1134"/>
        <w:gridCol w:w="851"/>
        <w:gridCol w:w="850"/>
        <w:gridCol w:w="851"/>
        <w:gridCol w:w="1313"/>
      </w:tblGrid>
      <w:tr w:rsidR="00722E5C" w:rsidRPr="00D81BEB" w14:paraId="01430C10" w14:textId="77777777" w:rsidTr="00440578">
        <w:trPr>
          <w:jc w:val="center"/>
        </w:trPr>
        <w:tc>
          <w:tcPr>
            <w:tcW w:w="1953" w:type="dxa"/>
            <w:tcBorders>
              <w:top w:val="single" w:sz="4" w:space="0" w:color="auto"/>
              <w:bottom w:val="single" w:sz="4" w:space="0" w:color="auto"/>
            </w:tcBorders>
            <w:vAlign w:val="center"/>
          </w:tcPr>
          <w:p w14:paraId="6FED1483" w14:textId="77777777" w:rsidR="00722E5C" w:rsidRPr="00D81BEB" w:rsidRDefault="00722E5C" w:rsidP="00722E5C">
            <w:pPr>
              <w:rPr>
                <w:sz w:val="20"/>
              </w:rPr>
            </w:pPr>
            <w:r w:rsidRPr="00D81BEB">
              <w:rPr>
                <w:sz w:val="20"/>
              </w:rPr>
              <w:t>1238 Brands</w:t>
            </w:r>
          </w:p>
          <w:p w14:paraId="7538E5DD" w14:textId="77777777" w:rsidR="00722E5C" w:rsidRPr="00D81BEB" w:rsidRDefault="00722E5C" w:rsidP="00722E5C">
            <w:pPr>
              <w:rPr>
                <w:sz w:val="20"/>
              </w:rPr>
            </w:pPr>
            <w:r w:rsidRPr="00D81BEB">
              <w:rPr>
                <w:sz w:val="20"/>
              </w:rPr>
              <w:t>in 62 categories</w:t>
            </w:r>
          </w:p>
        </w:tc>
        <w:tc>
          <w:tcPr>
            <w:tcW w:w="1134" w:type="dxa"/>
            <w:tcBorders>
              <w:top w:val="single" w:sz="4" w:space="0" w:color="auto"/>
              <w:bottom w:val="single" w:sz="4" w:space="0" w:color="auto"/>
            </w:tcBorders>
            <w:vAlign w:val="center"/>
          </w:tcPr>
          <w:p w14:paraId="22D74E4A" w14:textId="77777777" w:rsidR="00722E5C" w:rsidRPr="00D81BEB" w:rsidRDefault="00722E5C" w:rsidP="00722E5C">
            <w:pPr>
              <w:jc w:val="center"/>
              <w:rPr>
                <w:sz w:val="20"/>
              </w:rPr>
            </w:pPr>
            <w:r w:rsidRPr="00D81BEB">
              <w:rPr>
                <w:sz w:val="20"/>
              </w:rPr>
              <w:t>Average</w:t>
            </w:r>
          </w:p>
        </w:tc>
        <w:tc>
          <w:tcPr>
            <w:tcW w:w="851" w:type="dxa"/>
            <w:tcBorders>
              <w:top w:val="single" w:sz="4" w:space="0" w:color="auto"/>
              <w:bottom w:val="single" w:sz="4" w:space="0" w:color="auto"/>
            </w:tcBorders>
            <w:vAlign w:val="center"/>
          </w:tcPr>
          <w:p w14:paraId="38E3423A" w14:textId="77777777" w:rsidR="00722E5C" w:rsidRPr="00D81BEB" w:rsidRDefault="00722E5C" w:rsidP="00722E5C">
            <w:pPr>
              <w:jc w:val="center"/>
              <w:rPr>
                <w:sz w:val="20"/>
              </w:rPr>
            </w:pPr>
            <w:r w:rsidRPr="00D81BEB">
              <w:rPr>
                <w:sz w:val="20"/>
              </w:rPr>
              <w:t>Min</w:t>
            </w:r>
          </w:p>
        </w:tc>
        <w:tc>
          <w:tcPr>
            <w:tcW w:w="850" w:type="dxa"/>
            <w:tcBorders>
              <w:top w:val="single" w:sz="4" w:space="0" w:color="auto"/>
              <w:bottom w:val="single" w:sz="4" w:space="0" w:color="auto"/>
            </w:tcBorders>
            <w:vAlign w:val="center"/>
          </w:tcPr>
          <w:p w14:paraId="017080A4" w14:textId="77777777" w:rsidR="00722E5C" w:rsidRPr="00D81BEB" w:rsidRDefault="00722E5C" w:rsidP="00722E5C">
            <w:pPr>
              <w:rPr>
                <w:sz w:val="20"/>
              </w:rPr>
            </w:pPr>
            <w:r w:rsidRPr="00D81BEB">
              <w:rPr>
                <w:sz w:val="20"/>
              </w:rPr>
              <w:t>Max</w:t>
            </w:r>
          </w:p>
        </w:tc>
        <w:tc>
          <w:tcPr>
            <w:tcW w:w="851" w:type="dxa"/>
            <w:tcBorders>
              <w:top w:val="single" w:sz="4" w:space="0" w:color="auto"/>
              <w:bottom w:val="single" w:sz="4" w:space="0" w:color="auto"/>
            </w:tcBorders>
            <w:vAlign w:val="center"/>
          </w:tcPr>
          <w:p w14:paraId="5403D7B0" w14:textId="77777777" w:rsidR="00722E5C" w:rsidRPr="00D81BEB" w:rsidRDefault="00722E5C" w:rsidP="00722E5C">
            <w:pPr>
              <w:rPr>
                <w:sz w:val="20"/>
              </w:rPr>
            </w:pPr>
            <w:r w:rsidRPr="00D81BEB">
              <w:rPr>
                <w:sz w:val="20"/>
              </w:rPr>
              <w:t>MAD</w:t>
            </w:r>
          </w:p>
        </w:tc>
        <w:tc>
          <w:tcPr>
            <w:tcW w:w="1313" w:type="dxa"/>
            <w:tcBorders>
              <w:top w:val="single" w:sz="4" w:space="0" w:color="auto"/>
              <w:bottom w:val="single" w:sz="4" w:space="0" w:color="auto"/>
            </w:tcBorders>
            <w:vAlign w:val="center"/>
          </w:tcPr>
          <w:p w14:paraId="3276590D" w14:textId="77777777" w:rsidR="00722E5C" w:rsidRPr="00D81BEB" w:rsidRDefault="00722E5C" w:rsidP="00722E5C">
            <w:pPr>
              <w:jc w:val="center"/>
              <w:rPr>
                <w:sz w:val="20"/>
              </w:rPr>
            </w:pPr>
            <w:r w:rsidRPr="00D81BEB">
              <w:rPr>
                <w:sz w:val="20"/>
              </w:rPr>
              <w:t>Correlation: O and T</w:t>
            </w:r>
          </w:p>
        </w:tc>
      </w:tr>
      <w:tr w:rsidR="00722E5C" w:rsidRPr="00D07677" w14:paraId="0436CFFF" w14:textId="77777777" w:rsidTr="00440578">
        <w:trPr>
          <w:jc w:val="center"/>
        </w:trPr>
        <w:tc>
          <w:tcPr>
            <w:tcW w:w="1953" w:type="dxa"/>
            <w:tcBorders>
              <w:top w:val="single" w:sz="4" w:space="0" w:color="auto"/>
            </w:tcBorders>
            <w:vAlign w:val="center"/>
          </w:tcPr>
          <w:p w14:paraId="0432681B" w14:textId="77777777" w:rsidR="00722E5C" w:rsidRDefault="00722E5C" w:rsidP="00722E5C">
            <w:pPr>
              <w:tabs>
                <w:tab w:val="right" w:pos="1572"/>
              </w:tabs>
              <w:rPr>
                <w:b/>
                <w:sz w:val="20"/>
              </w:rPr>
            </w:pPr>
          </w:p>
          <w:p w14:paraId="1CD08052" w14:textId="77777777" w:rsidR="00722E5C" w:rsidRPr="00900252" w:rsidRDefault="00722E5C" w:rsidP="00722E5C">
            <w:pPr>
              <w:tabs>
                <w:tab w:val="right" w:pos="1572"/>
              </w:tabs>
              <w:rPr>
                <w:b/>
                <w:sz w:val="20"/>
              </w:rPr>
            </w:pPr>
            <w:r w:rsidRPr="00900252">
              <w:rPr>
                <w:b/>
                <w:sz w:val="20"/>
              </w:rPr>
              <w:t xml:space="preserve">Penetration     </w:t>
            </w:r>
            <w:r w:rsidRPr="00900252">
              <w:rPr>
                <w:b/>
                <w:sz w:val="20"/>
              </w:rPr>
              <w:tab/>
            </w:r>
          </w:p>
          <w:p w14:paraId="05D784B8" w14:textId="77777777" w:rsidR="00722E5C" w:rsidRPr="00D07677" w:rsidRDefault="00722E5C" w:rsidP="00722E5C">
            <w:pPr>
              <w:tabs>
                <w:tab w:val="right" w:pos="1572"/>
              </w:tabs>
              <w:jc w:val="right"/>
              <w:rPr>
                <w:sz w:val="20"/>
              </w:rPr>
            </w:pPr>
            <w:r w:rsidRPr="00D07677">
              <w:rPr>
                <w:sz w:val="20"/>
              </w:rPr>
              <w:t>O</w:t>
            </w:r>
          </w:p>
        </w:tc>
        <w:tc>
          <w:tcPr>
            <w:tcW w:w="1134" w:type="dxa"/>
            <w:tcBorders>
              <w:top w:val="single" w:sz="4" w:space="0" w:color="auto"/>
            </w:tcBorders>
            <w:vAlign w:val="bottom"/>
          </w:tcPr>
          <w:p w14:paraId="380B4080" w14:textId="77777777" w:rsidR="00722E5C" w:rsidRPr="00D07677" w:rsidRDefault="00722E5C" w:rsidP="00722E5C">
            <w:pPr>
              <w:tabs>
                <w:tab w:val="decimal" w:pos="459"/>
              </w:tabs>
              <w:rPr>
                <w:rFonts w:ascii="Arial" w:hAnsi="Arial"/>
                <w:sz w:val="20"/>
              </w:rPr>
            </w:pPr>
            <w:r w:rsidRPr="00D07677">
              <w:rPr>
                <w:sz w:val="20"/>
              </w:rPr>
              <w:t>6.6</w:t>
            </w:r>
          </w:p>
        </w:tc>
        <w:tc>
          <w:tcPr>
            <w:tcW w:w="851" w:type="dxa"/>
            <w:tcBorders>
              <w:top w:val="single" w:sz="4" w:space="0" w:color="auto"/>
            </w:tcBorders>
            <w:vAlign w:val="center"/>
          </w:tcPr>
          <w:p w14:paraId="22B652CB" w14:textId="77777777" w:rsidR="00722E5C" w:rsidRDefault="00722E5C" w:rsidP="00722E5C">
            <w:pPr>
              <w:tabs>
                <w:tab w:val="decimal" w:pos="317"/>
              </w:tabs>
              <w:rPr>
                <w:sz w:val="20"/>
              </w:rPr>
            </w:pPr>
          </w:p>
          <w:p w14:paraId="47930146" w14:textId="77777777" w:rsidR="00722E5C" w:rsidRDefault="00722E5C" w:rsidP="00722E5C">
            <w:pPr>
              <w:tabs>
                <w:tab w:val="decimal" w:pos="317"/>
              </w:tabs>
              <w:rPr>
                <w:sz w:val="20"/>
              </w:rPr>
            </w:pPr>
          </w:p>
          <w:p w14:paraId="6DA4B7DD" w14:textId="77777777" w:rsidR="00722E5C" w:rsidRPr="00D07677" w:rsidRDefault="00722E5C" w:rsidP="00722E5C">
            <w:pPr>
              <w:tabs>
                <w:tab w:val="decimal" w:pos="317"/>
              </w:tabs>
              <w:rPr>
                <w:rFonts w:ascii="Arial" w:hAnsi="Arial"/>
                <w:sz w:val="20"/>
              </w:rPr>
            </w:pPr>
            <w:r w:rsidRPr="00D07677">
              <w:rPr>
                <w:sz w:val="20"/>
              </w:rPr>
              <w:t>0</w:t>
            </w:r>
          </w:p>
        </w:tc>
        <w:tc>
          <w:tcPr>
            <w:tcW w:w="850" w:type="dxa"/>
            <w:tcBorders>
              <w:top w:val="single" w:sz="4" w:space="0" w:color="auto"/>
            </w:tcBorders>
            <w:vAlign w:val="center"/>
          </w:tcPr>
          <w:p w14:paraId="632E8687" w14:textId="77777777" w:rsidR="00722E5C" w:rsidRDefault="00722E5C" w:rsidP="00722E5C">
            <w:pPr>
              <w:tabs>
                <w:tab w:val="decimal" w:pos="318"/>
              </w:tabs>
              <w:rPr>
                <w:sz w:val="20"/>
              </w:rPr>
            </w:pPr>
          </w:p>
          <w:p w14:paraId="0AEBE2F4" w14:textId="77777777" w:rsidR="00722E5C" w:rsidRDefault="00722E5C" w:rsidP="00722E5C">
            <w:pPr>
              <w:tabs>
                <w:tab w:val="decimal" w:pos="318"/>
              </w:tabs>
              <w:rPr>
                <w:sz w:val="20"/>
              </w:rPr>
            </w:pPr>
          </w:p>
          <w:p w14:paraId="166E726D" w14:textId="77777777" w:rsidR="00722E5C" w:rsidRPr="00D07677" w:rsidRDefault="00722E5C" w:rsidP="00722E5C">
            <w:pPr>
              <w:tabs>
                <w:tab w:val="decimal" w:pos="318"/>
              </w:tabs>
              <w:rPr>
                <w:rFonts w:ascii="Arial" w:hAnsi="Arial"/>
                <w:sz w:val="20"/>
              </w:rPr>
            </w:pPr>
            <w:r w:rsidRPr="00D07677">
              <w:rPr>
                <w:sz w:val="20"/>
              </w:rPr>
              <w:t>78</w:t>
            </w:r>
          </w:p>
        </w:tc>
        <w:tc>
          <w:tcPr>
            <w:tcW w:w="851" w:type="dxa"/>
            <w:tcBorders>
              <w:top w:val="single" w:sz="4" w:space="0" w:color="auto"/>
            </w:tcBorders>
            <w:vAlign w:val="center"/>
          </w:tcPr>
          <w:p w14:paraId="26287386" w14:textId="77777777" w:rsidR="00722E5C" w:rsidRDefault="00722E5C" w:rsidP="00722E5C">
            <w:pPr>
              <w:tabs>
                <w:tab w:val="decimal" w:pos="406"/>
              </w:tabs>
              <w:rPr>
                <w:sz w:val="20"/>
              </w:rPr>
            </w:pPr>
          </w:p>
          <w:p w14:paraId="78E4B0CC" w14:textId="77777777" w:rsidR="00722E5C" w:rsidRDefault="00722E5C" w:rsidP="00722E5C">
            <w:pPr>
              <w:tabs>
                <w:tab w:val="decimal" w:pos="406"/>
              </w:tabs>
              <w:rPr>
                <w:sz w:val="20"/>
              </w:rPr>
            </w:pPr>
          </w:p>
          <w:p w14:paraId="785F6922" w14:textId="77777777" w:rsidR="00722E5C" w:rsidRPr="00D07677" w:rsidRDefault="00722E5C" w:rsidP="00722E5C">
            <w:pPr>
              <w:tabs>
                <w:tab w:val="decimal" w:pos="406"/>
              </w:tabs>
              <w:rPr>
                <w:rFonts w:ascii="Arial" w:hAnsi="Arial"/>
                <w:sz w:val="20"/>
              </w:rPr>
            </w:pPr>
            <w:r w:rsidRPr="00D07677">
              <w:rPr>
                <w:sz w:val="20"/>
              </w:rPr>
              <w:t>6</w:t>
            </w:r>
          </w:p>
        </w:tc>
        <w:tc>
          <w:tcPr>
            <w:tcW w:w="1313" w:type="dxa"/>
            <w:tcBorders>
              <w:top w:val="single" w:sz="4" w:space="0" w:color="auto"/>
            </w:tcBorders>
            <w:vAlign w:val="center"/>
          </w:tcPr>
          <w:p w14:paraId="7F513442" w14:textId="77777777" w:rsidR="00722E5C" w:rsidRDefault="00722E5C" w:rsidP="00722E5C">
            <w:pPr>
              <w:tabs>
                <w:tab w:val="decimal" w:pos="365"/>
              </w:tabs>
              <w:jc w:val="center"/>
              <w:rPr>
                <w:sz w:val="20"/>
              </w:rPr>
            </w:pPr>
          </w:p>
          <w:p w14:paraId="694ED25E" w14:textId="77777777" w:rsidR="00722E5C" w:rsidRDefault="00722E5C" w:rsidP="00722E5C">
            <w:pPr>
              <w:tabs>
                <w:tab w:val="decimal" w:pos="365"/>
              </w:tabs>
              <w:jc w:val="center"/>
              <w:rPr>
                <w:sz w:val="20"/>
              </w:rPr>
            </w:pPr>
          </w:p>
          <w:p w14:paraId="0FE94CDF" w14:textId="77777777" w:rsidR="00722E5C" w:rsidRPr="00D07677" w:rsidRDefault="00722E5C" w:rsidP="00722E5C">
            <w:pPr>
              <w:tabs>
                <w:tab w:val="decimal" w:pos="365"/>
              </w:tabs>
              <w:jc w:val="center"/>
              <w:rPr>
                <w:rFonts w:ascii="Arial" w:hAnsi="Arial"/>
                <w:sz w:val="20"/>
              </w:rPr>
            </w:pPr>
            <w:r w:rsidRPr="00D07677">
              <w:rPr>
                <w:sz w:val="20"/>
              </w:rPr>
              <w:t>0.98</w:t>
            </w:r>
          </w:p>
        </w:tc>
      </w:tr>
      <w:tr w:rsidR="00722E5C" w:rsidRPr="00D07677" w14:paraId="5C99BD5F" w14:textId="77777777" w:rsidTr="00440578">
        <w:trPr>
          <w:jc w:val="center"/>
        </w:trPr>
        <w:tc>
          <w:tcPr>
            <w:tcW w:w="1953" w:type="dxa"/>
          </w:tcPr>
          <w:p w14:paraId="45D619F7" w14:textId="77777777" w:rsidR="00722E5C" w:rsidRPr="00D07677" w:rsidRDefault="00722E5C" w:rsidP="00722E5C">
            <w:pPr>
              <w:jc w:val="right"/>
              <w:rPr>
                <w:b/>
                <w:sz w:val="20"/>
              </w:rPr>
            </w:pPr>
            <w:r w:rsidRPr="00D07677">
              <w:rPr>
                <w:b/>
                <w:sz w:val="20"/>
              </w:rPr>
              <w:t>T</w:t>
            </w:r>
          </w:p>
        </w:tc>
        <w:tc>
          <w:tcPr>
            <w:tcW w:w="1134" w:type="dxa"/>
            <w:vAlign w:val="bottom"/>
          </w:tcPr>
          <w:p w14:paraId="41AEF8A4" w14:textId="77777777" w:rsidR="00722E5C" w:rsidRPr="00D07677" w:rsidRDefault="00722E5C" w:rsidP="00722E5C">
            <w:pPr>
              <w:tabs>
                <w:tab w:val="decimal" w:pos="459"/>
              </w:tabs>
              <w:rPr>
                <w:rFonts w:ascii="Arial" w:hAnsi="Arial"/>
                <w:b/>
                <w:sz w:val="20"/>
              </w:rPr>
            </w:pPr>
            <w:r w:rsidRPr="00D07677">
              <w:rPr>
                <w:b/>
                <w:sz w:val="20"/>
              </w:rPr>
              <w:t>6.8</w:t>
            </w:r>
          </w:p>
        </w:tc>
        <w:tc>
          <w:tcPr>
            <w:tcW w:w="851" w:type="dxa"/>
          </w:tcPr>
          <w:p w14:paraId="7085723C" w14:textId="77777777" w:rsidR="00722E5C" w:rsidRPr="00D07677" w:rsidRDefault="00722E5C" w:rsidP="00722E5C">
            <w:pPr>
              <w:tabs>
                <w:tab w:val="decimal" w:pos="317"/>
              </w:tabs>
              <w:rPr>
                <w:rFonts w:ascii="Arial" w:hAnsi="Arial"/>
                <w:b/>
                <w:sz w:val="20"/>
              </w:rPr>
            </w:pPr>
            <w:r w:rsidRPr="00D07677">
              <w:rPr>
                <w:b/>
                <w:sz w:val="20"/>
              </w:rPr>
              <w:t>0</w:t>
            </w:r>
          </w:p>
        </w:tc>
        <w:tc>
          <w:tcPr>
            <w:tcW w:w="850" w:type="dxa"/>
          </w:tcPr>
          <w:p w14:paraId="4A7C4CA6" w14:textId="77777777" w:rsidR="00722E5C" w:rsidRPr="00D07677" w:rsidRDefault="00722E5C" w:rsidP="00722E5C">
            <w:pPr>
              <w:tabs>
                <w:tab w:val="decimal" w:pos="318"/>
              </w:tabs>
              <w:rPr>
                <w:rFonts w:ascii="Arial" w:hAnsi="Arial"/>
                <w:b/>
                <w:sz w:val="20"/>
              </w:rPr>
            </w:pPr>
            <w:r w:rsidRPr="00D07677">
              <w:rPr>
                <w:b/>
                <w:sz w:val="20"/>
              </w:rPr>
              <w:t>79</w:t>
            </w:r>
          </w:p>
        </w:tc>
        <w:tc>
          <w:tcPr>
            <w:tcW w:w="851" w:type="dxa"/>
          </w:tcPr>
          <w:p w14:paraId="1D956907" w14:textId="77777777" w:rsidR="00722E5C" w:rsidRPr="00D07677" w:rsidRDefault="00722E5C" w:rsidP="00722E5C">
            <w:pPr>
              <w:tabs>
                <w:tab w:val="decimal" w:pos="406"/>
              </w:tabs>
              <w:rPr>
                <w:rFonts w:ascii="Arial" w:hAnsi="Arial"/>
                <w:b/>
                <w:sz w:val="20"/>
              </w:rPr>
            </w:pPr>
            <w:r w:rsidRPr="00D07677">
              <w:rPr>
                <w:b/>
                <w:sz w:val="20"/>
              </w:rPr>
              <w:t>6</w:t>
            </w:r>
          </w:p>
        </w:tc>
        <w:tc>
          <w:tcPr>
            <w:tcW w:w="1313" w:type="dxa"/>
          </w:tcPr>
          <w:p w14:paraId="07EAFA87" w14:textId="77777777" w:rsidR="00722E5C" w:rsidRPr="00D07677" w:rsidRDefault="00722E5C" w:rsidP="00722E5C">
            <w:pPr>
              <w:tabs>
                <w:tab w:val="decimal" w:pos="365"/>
              </w:tabs>
              <w:jc w:val="center"/>
              <w:rPr>
                <w:b/>
                <w:sz w:val="20"/>
              </w:rPr>
            </w:pPr>
          </w:p>
        </w:tc>
      </w:tr>
      <w:tr w:rsidR="00722E5C" w:rsidRPr="00D07677" w14:paraId="23E3A48C" w14:textId="77777777" w:rsidTr="00440578">
        <w:trPr>
          <w:jc w:val="center"/>
        </w:trPr>
        <w:tc>
          <w:tcPr>
            <w:tcW w:w="1953" w:type="dxa"/>
          </w:tcPr>
          <w:p w14:paraId="1102C56C" w14:textId="77777777" w:rsidR="00722E5C" w:rsidRPr="00D07677" w:rsidRDefault="00722E5C" w:rsidP="00722E5C">
            <w:pPr>
              <w:jc w:val="right"/>
              <w:rPr>
                <w:b/>
                <w:sz w:val="20"/>
              </w:rPr>
            </w:pPr>
            <w:r w:rsidRPr="00D07677">
              <w:rPr>
                <w:b/>
                <w:sz w:val="20"/>
              </w:rPr>
              <w:t>(</w:t>
            </w:r>
            <w:r w:rsidRPr="00D07677">
              <w:rPr>
                <w:sz w:val="20"/>
              </w:rPr>
              <w:t>O-</w:t>
            </w:r>
            <w:r w:rsidRPr="00D07677">
              <w:rPr>
                <w:b/>
                <w:sz w:val="20"/>
              </w:rPr>
              <w:t>T</w:t>
            </w:r>
            <w:r w:rsidRPr="00D07677">
              <w:rPr>
                <w:sz w:val="20"/>
              </w:rPr>
              <w:t>)/</w:t>
            </w:r>
            <w:r w:rsidRPr="00D07677">
              <w:rPr>
                <w:b/>
                <w:sz w:val="20"/>
              </w:rPr>
              <w:t>T %</w:t>
            </w:r>
          </w:p>
        </w:tc>
        <w:tc>
          <w:tcPr>
            <w:tcW w:w="1134" w:type="dxa"/>
            <w:vAlign w:val="bottom"/>
          </w:tcPr>
          <w:p w14:paraId="325C86E5" w14:textId="77777777" w:rsidR="00722E5C" w:rsidRPr="00D07677" w:rsidRDefault="00722E5C" w:rsidP="00722E5C">
            <w:pPr>
              <w:tabs>
                <w:tab w:val="decimal" w:pos="459"/>
              </w:tabs>
              <w:rPr>
                <w:rFonts w:ascii="Arial" w:hAnsi="Arial"/>
                <w:b/>
                <w:sz w:val="20"/>
              </w:rPr>
            </w:pPr>
            <w:r w:rsidRPr="00D07677">
              <w:rPr>
                <w:sz w:val="20"/>
                <w:szCs w:val="20"/>
              </w:rPr>
              <w:t>5.2</w:t>
            </w:r>
          </w:p>
        </w:tc>
        <w:tc>
          <w:tcPr>
            <w:tcW w:w="851" w:type="dxa"/>
          </w:tcPr>
          <w:p w14:paraId="22AFBDAF" w14:textId="77777777" w:rsidR="00722E5C" w:rsidRPr="00D07677" w:rsidRDefault="00722E5C" w:rsidP="00722E5C">
            <w:pPr>
              <w:tabs>
                <w:tab w:val="decimal" w:pos="317"/>
              </w:tabs>
              <w:rPr>
                <w:b/>
                <w:sz w:val="20"/>
              </w:rPr>
            </w:pPr>
          </w:p>
        </w:tc>
        <w:tc>
          <w:tcPr>
            <w:tcW w:w="850" w:type="dxa"/>
          </w:tcPr>
          <w:p w14:paraId="4B0CA8C8" w14:textId="77777777" w:rsidR="00722E5C" w:rsidRPr="00D07677" w:rsidRDefault="00722E5C" w:rsidP="00722E5C">
            <w:pPr>
              <w:tabs>
                <w:tab w:val="decimal" w:pos="318"/>
              </w:tabs>
              <w:rPr>
                <w:b/>
                <w:sz w:val="20"/>
              </w:rPr>
            </w:pPr>
          </w:p>
        </w:tc>
        <w:tc>
          <w:tcPr>
            <w:tcW w:w="851" w:type="dxa"/>
          </w:tcPr>
          <w:p w14:paraId="3FB3E210" w14:textId="77777777" w:rsidR="00722E5C" w:rsidRPr="00D07677" w:rsidRDefault="00722E5C" w:rsidP="00722E5C">
            <w:pPr>
              <w:tabs>
                <w:tab w:val="decimal" w:pos="406"/>
              </w:tabs>
              <w:rPr>
                <w:b/>
                <w:sz w:val="20"/>
              </w:rPr>
            </w:pPr>
          </w:p>
        </w:tc>
        <w:tc>
          <w:tcPr>
            <w:tcW w:w="1313" w:type="dxa"/>
          </w:tcPr>
          <w:p w14:paraId="72F45EBE" w14:textId="77777777" w:rsidR="00722E5C" w:rsidRPr="00D07677" w:rsidRDefault="00722E5C" w:rsidP="00722E5C">
            <w:pPr>
              <w:tabs>
                <w:tab w:val="decimal" w:pos="365"/>
              </w:tabs>
              <w:jc w:val="center"/>
              <w:rPr>
                <w:b/>
                <w:sz w:val="20"/>
              </w:rPr>
            </w:pPr>
          </w:p>
        </w:tc>
      </w:tr>
      <w:tr w:rsidR="00722E5C" w:rsidRPr="00D07677" w14:paraId="20A485A8" w14:textId="77777777" w:rsidTr="00440578">
        <w:trPr>
          <w:jc w:val="center"/>
        </w:trPr>
        <w:tc>
          <w:tcPr>
            <w:tcW w:w="1953" w:type="dxa"/>
            <w:vAlign w:val="bottom"/>
          </w:tcPr>
          <w:p w14:paraId="6F2C5CB5" w14:textId="77777777" w:rsidR="00722E5C" w:rsidRDefault="00722E5C" w:rsidP="00722E5C">
            <w:pPr>
              <w:tabs>
                <w:tab w:val="right" w:pos="1572"/>
              </w:tabs>
              <w:rPr>
                <w:b/>
                <w:sz w:val="20"/>
              </w:rPr>
            </w:pPr>
          </w:p>
          <w:p w14:paraId="13ED8165" w14:textId="77777777" w:rsidR="00722E5C" w:rsidRPr="00900252" w:rsidRDefault="00722E5C" w:rsidP="00722E5C">
            <w:pPr>
              <w:tabs>
                <w:tab w:val="right" w:pos="1572"/>
              </w:tabs>
              <w:rPr>
                <w:b/>
                <w:sz w:val="20"/>
              </w:rPr>
            </w:pPr>
            <w:r w:rsidRPr="00900252">
              <w:rPr>
                <w:b/>
                <w:sz w:val="20"/>
              </w:rPr>
              <w:t xml:space="preserve">Ave Purchase </w:t>
            </w:r>
            <w:r w:rsidRPr="00900252">
              <w:rPr>
                <w:b/>
                <w:sz w:val="20"/>
              </w:rPr>
              <w:tab/>
            </w:r>
          </w:p>
          <w:p w14:paraId="1989BA10" w14:textId="77777777" w:rsidR="00722E5C" w:rsidRPr="00D07677" w:rsidRDefault="00722E5C" w:rsidP="00722E5C">
            <w:pPr>
              <w:tabs>
                <w:tab w:val="right" w:pos="1572"/>
              </w:tabs>
              <w:jc w:val="right"/>
              <w:rPr>
                <w:sz w:val="20"/>
              </w:rPr>
            </w:pPr>
            <w:r w:rsidRPr="00D07677">
              <w:rPr>
                <w:sz w:val="20"/>
              </w:rPr>
              <w:t>O</w:t>
            </w:r>
          </w:p>
        </w:tc>
        <w:tc>
          <w:tcPr>
            <w:tcW w:w="1134" w:type="dxa"/>
            <w:vAlign w:val="bottom"/>
          </w:tcPr>
          <w:p w14:paraId="53B3BE65" w14:textId="77777777" w:rsidR="00722E5C" w:rsidRPr="00D07677" w:rsidRDefault="00722E5C" w:rsidP="00722E5C">
            <w:pPr>
              <w:tabs>
                <w:tab w:val="decimal" w:pos="459"/>
              </w:tabs>
              <w:rPr>
                <w:rFonts w:ascii="Arial" w:hAnsi="Arial"/>
                <w:sz w:val="20"/>
              </w:rPr>
            </w:pPr>
            <w:r w:rsidRPr="00D07677">
              <w:rPr>
                <w:sz w:val="20"/>
              </w:rPr>
              <w:t>3.3</w:t>
            </w:r>
          </w:p>
        </w:tc>
        <w:tc>
          <w:tcPr>
            <w:tcW w:w="851" w:type="dxa"/>
            <w:vAlign w:val="bottom"/>
          </w:tcPr>
          <w:p w14:paraId="319C0694" w14:textId="77777777" w:rsidR="00722E5C" w:rsidRPr="00D07677" w:rsidRDefault="00722E5C" w:rsidP="00722E5C">
            <w:pPr>
              <w:tabs>
                <w:tab w:val="decimal" w:pos="317"/>
              </w:tabs>
              <w:rPr>
                <w:rFonts w:ascii="Arial" w:hAnsi="Arial"/>
                <w:sz w:val="20"/>
              </w:rPr>
            </w:pPr>
            <w:r w:rsidRPr="00D07677">
              <w:rPr>
                <w:sz w:val="20"/>
              </w:rPr>
              <w:t>1</w:t>
            </w:r>
          </w:p>
        </w:tc>
        <w:tc>
          <w:tcPr>
            <w:tcW w:w="850" w:type="dxa"/>
            <w:vAlign w:val="bottom"/>
          </w:tcPr>
          <w:p w14:paraId="49B52618" w14:textId="77777777" w:rsidR="00722E5C" w:rsidRPr="00D07677" w:rsidRDefault="00722E5C" w:rsidP="00722E5C">
            <w:pPr>
              <w:tabs>
                <w:tab w:val="decimal" w:pos="318"/>
              </w:tabs>
              <w:rPr>
                <w:rFonts w:ascii="Arial" w:hAnsi="Arial"/>
                <w:sz w:val="20"/>
              </w:rPr>
            </w:pPr>
            <w:r w:rsidRPr="00D07677">
              <w:rPr>
                <w:sz w:val="20"/>
              </w:rPr>
              <w:t>37</w:t>
            </w:r>
          </w:p>
        </w:tc>
        <w:tc>
          <w:tcPr>
            <w:tcW w:w="851" w:type="dxa"/>
            <w:vAlign w:val="bottom"/>
          </w:tcPr>
          <w:p w14:paraId="458347C0" w14:textId="77777777" w:rsidR="00722E5C" w:rsidRPr="00D07677" w:rsidRDefault="00722E5C" w:rsidP="00722E5C">
            <w:pPr>
              <w:tabs>
                <w:tab w:val="decimal" w:pos="406"/>
              </w:tabs>
              <w:rPr>
                <w:rFonts w:ascii="Arial" w:hAnsi="Arial"/>
                <w:sz w:val="20"/>
              </w:rPr>
            </w:pPr>
            <w:r w:rsidRPr="00D07677">
              <w:rPr>
                <w:sz w:val="20"/>
              </w:rPr>
              <w:t>2</w:t>
            </w:r>
          </w:p>
        </w:tc>
        <w:tc>
          <w:tcPr>
            <w:tcW w:w="1313" w:type="dxa"/>
            <w:vAlign w:val="bottom"/>
          </w:tcPr>
          <w:p w14:paraId="58647334" w14:textId="77777777" w:rsidR="00722E5C" w:rsidRPr="00D07677" w:rsidRDefault="00722E5C" w:rsidP="00722E5C">
            <w:pPr>
              <w:tabs>
                <w:tab w:val="decimal" w:pos="365"/>
              </w:tabs>
              <w:jc w:val="center"/>
              <w:rPr>
                <w:rFonts w:ascii="Arial" w:hAnsi="Arial"/>
                <w:sz w:val="20"/>
              </w:rPr>
            </w:pPr>
            <w:r w:rsidRPr="00D07677">
              <w:rPr>
                <w:sz w:val="20"/>
              </w:rPr>
              <w:t>0.87</w:t>
            </w:r>
          </w:p>
        </w:tc>
      </w:tr>
      <w:tr w:rsidR="00722E5C" w:rsidRPr="00D07677" w14:paraId="7D3A7A6F" w14:textId="77777777" w:rsidTr="00440578">
        <w:trPr>
          <w:jc w:val="center"/>
        </w:trPr>
        <w:tc>
          <w:tcPr>
            <w:tcW w:w="1953" w:type="dxa"/>
          </w:tcPr>
          <w:p w14:paraId="62A849DB" w14:textId="77777777" w:rsidR="00722E5C" w:rsidRPr="00D07677" w:rsidRDefault="00722E5C" w:rsidP="00722E5C">
            <w:pPr>
              <w:jc w:val="right"/>
              <w:rPr>
                <w:b/>
                <w:sz w:val="20"/>
              </w:rPr>
            </w:pPr>
            <w:r w:rsidRPr="00D07677">
              <w:rPr>
                <w:b/>
                <w:sz w:val="20"/>
              </w:rPr>
              <w:t>T</w:t>
            </w:r>
          </w:p>
        </w:tc>
        <w:tc>
          <w:tcPr>
            <w:tcW w:w="1134" w:type="dxa"/>
            <w:vAlign w:val="bottom"/>
          </w:tcPr>
          <w:p w14:paraId="6D264FDD" w14:textId="77777777" w:rsidR="00722E5C" w:rsidRPr="00D07677" w:rsidRDefault="00722E5C" w:rsidP="00722E5C">
            <w:pPr>
              <w:tabs>
                <w:tab w:val="decimal" w:pos="459"/>
              </w:tabs>
              <w:rPr>
                <w:rFonts w:ascii="Arial" w:hAnsi="Arial"/>
                <w:b/>
                <w:sz w:val="20"/>
              </w:rPr>
            </w:pPr>
            <w:r w:rsidRPr="00D07677">
              <w:rPr>
                <w:b/>
                <w:sz w:val="20"/>
              </w:rPr>
              <w:t>3.2</w:t>
            </w:r>
          </w:p>
        </w:tc>
        <w:tc>
          <w:tcPr>
            <w:tcW w:w="851" w:type="dxa"/>
          </w:tcPr>
          <w:p w14:paraId="71D2D468" w14:textId="77777777" w:rsidR="00722E5C" w:rsidRPr="00D07677" w:rsidRDefault="00722E5C" w:rsidP="00722E5C">
            <w:pPr>
              <w:tabs>
                <w:tab w:val="decimal" w:pos="317"/>
              </w:tabs>
              <w:rPr>
                <w:rFonts w:ascii="Arial" w:hAnsi="Arial"/>
                <w:b/>
                <w:sz w:val="20"/>
              </w:rPr>
            </w:pPr>
            <w:r w:rsidRPr="00D07677">
              <w:rPr>
                <w:b/>
                <w:sz w:val="20"/>
              </w:rPr>
              <w:t>1</w:t>
            </w:r>
          </w:p>
        </w:tc>
        <w:tc>
          <w:tcPr>
            <w:tcW w:w="850" w:type="dxa"/>
          </w:tcPr>
          <w:p w14:paraId="402B9530" w14:textId="77777777" w:rsidR="00722E5C" w:rsidRPr="00D07677" w:rsidRDefault="00722E5C" w:rsidP="00722E5C">
            <w:pPr>
              <w:tabs>
                <w:tab w:val="decimal" w:pos="318"/>
              </w:tabs>
              <w:rPr>
                <w:rFonts w:ascii="Arial" w:hAnsi="Arial"/>
                <w:b/>
                <w:sz w:val="20"/>
              </w:rPr>
            </w:pPr>
            <w:r w:rsidRPr="00D07677">
              <w:rPr>
                <w:b/>
                <w:sz w:val="20"/>
              </w:rPr>
              <w:t>28</w:t>
            </w:r>
          </w:p>
        </w:tc>
        <w:tc>
          <w:tcPr>
            <w:tcW w:w="851" w:type="dxa"/>
          </w:tcPr>
          <w:p w14:paraId="63073292" w14:textId="77777777" w:rsidR="00722E5C" w:rsidRPr="00D07677" w:rsidRDefault="00722E5C" w:rsidP="00722E5C">
            <w:pPr>
              <w:tabs>
                <w:tab w:val="decimal" w:pos="406"/>
              </w:tabs>
              <w:rPr>
                <w:rFonts w:ascii="Arial" w:hAnsi="Arial"/>
                <w:b/>
                <w:sz w:val="20"/>
              </w:rPr>
            </w:pPr>
            <w:r w:rsidRPr="00D07677">
              <w:rPr>
                <w:b/>
                <w:sz w:val="20"/>
              </w:rPr>
              <w:t>1</w:t>
            </w:r>
          </w:p>
        </w:tc>
        <w:tc>
          <w:tcPr>
            <w:tcW w:w="1313" w:type="dxa"/>
          </w:tcPr>
          <w:p w14:paraId="262BE69A" w14:textId="77777777" w:rsidR="00722E5C" w:rsidRPr="00D07677" w:rsidRDefault="00722E5C" w:rsidP="00722E5C">
            <w:pPr>
              <w:tabs>
                <w:tab w:val="decimal" w:pos="365"/>
              </w:tabs>
              <w:jc w:val="center"/>
              <w:rPr>
                <w:b/>
                <w:sz w:val="20"/>
              </w:rPr>
            </w:pPr>
          </w:p>
        </w:tc>
      </w:tr>
      <w:tr w:rsidR="00722E5C" w:rsidRPr="00D07677" w14:paraId="7A553346" w14:textId="77777777" w:rsidTr="00440578">
        <w:trPr>
          <w:jc w:val="center"/>
        </w:trPr>
        <w:tc>
          <w:tcPr>
            <w:tcW w:w="1953" w:type="dxa"/>
          </w:tcPr>
          <w:p w14:paraId="4777E205" w14:textId="77777777" w:rsidR="00722E5C" w:rsidRPr="00D07677" w:rsidRDefault="00722E5C" w:rsidP="00722E5C">
            <w:pPr>
              <w:jc w:val="right"/>
              <w:rPr>
                <w:b/>
                <w:sz w:val="20"/>
              </w:rPr>
            </w:pPr>
            <w:r w:rsidRPr="00D07677">
              <w:rPr>
                <w:b/>
                <w:sz w:val="20"/>
              </w:rPr>
              <w:t>(</w:t>
            </w:r>
            <w:r w:rsidRPr="00D07677">
              <w:rPr>
                <w:sz w:val="20"/>
              </w:rPr>
              <w:t>O-</w:t>
            </w:r>
            <w:r w:rsidRPr="00D07677">
              <w:rPr>
                <w:b/>
                <w:sz w:val="20"/>
              </w:rPr>
              <w:t>T</w:t>
            </w:r>
            <w:r w:rsidRPr="00D07677">
              <w:rPr>
                <w:sz w:val="20"/>
              </w:rPr>
              <w:t>)/</w:t>
            </w:r>
            <w:r w:rsidRPr="00D07677">
              <w:rPr>
                <w:b/>
                <w:sz w:val="20"/>
              </w:rPr>
              <w:t>T %</w:t>
            </w:r>
          </w:p>
        </w:tc>
        <w:tc>
          <w:tcPr>
            <w:tcW w:w="1134" w:type="dxa"/>
            <w:vAlign w:val="bottom"/>
          </w:tcPr>
          <w:p w14:paraId="5D26B0A8" w14:textId="77777777" w:rsidR="00722E5C" w:rsidRPr="00D07677" w:rsidRDefault="00722E5C" w:rsidP="00722E5C">
            <w:pPr>
              <w:tabs>
                <w:tab w:val="decimal" w:pos="459"/>
              </w:tabs>
              <w:rPr>
                <w:rFonts w:ascii="Arial" w:hAnsi="Arial"/>
                <w:b/>
                <w:sz w:val="20"/>
              </w:rPr>
            </w:pPr>
            <w:r w:rsidRPr="00D07677">
              <w:rPr>
                <w:sz w:val="20"/>
                <w:szCs w:val="20"/>
              </w:rPr>
              <w:t>3.2</w:t>
            </w:r>
          </w:p>
        </w:tc>
        <w:tc>
          <w:tcPr>
            <w:tcW w:w="851" w:type="dxa"/>
          </w:tcPr>
          <w:p w14:paraId="30540AE1" w14:textId="77777777" w:rsidR="00722E5C" w:rsidRPr="00D07677" w:rsidRDefault="00722E5C" w:rsidP="00722E5C">
            <w:pPr>
              <w:tabs>
                <w:tab w:val="decimal" w:pos="317"/>
              </w:tabs>
              <w:rPr>
                <w:b/>
                <w:sz w:val="20"/>
              </w:rPr>
            </w:pPr>
          </w:p>
        </w:tc>
        <w:tc>
          <w:tcPr>
            <w:tcW w:w="850" w:type="dxa"/>
          </w:tcPr>
          <w:p w14:paraId="23321828" w14:textId="77777777" w:rsidR="00722E5C" w:rsidRPr="00D07677" w:rsidRDefault="00722E5C" w:rsidP="00722E5C">
            <w:pPr>
              <w:tabs>
                <w:tab w:val="decimal" w:pos="318"/>
              </w:tabs>
              <w:rPr>
                <w:b/>
                <w:sz w:val="20"/>
              </w:rPr>
            </w:pPr>
          </w:p>
        </w:tc>
        <w:tc>
          <w:tcPr>
            <w:tcW w:w="851" w:type="dxa"/>
          </w:tcPr>
          <w:p w14:paraId="53D575C5" w14:textId="77777777" w:rsidR="00722E5C" w:rsidRPr="00D07677" w:rsidRDefault="00722E5C" w:rsidP="00722E5C">
            <w:pPr>
              <w:tabs>
                <w:tab w:val="decimal" w:pos="406"/>
              </w:tabs>
              <w:rPr>
                <w:b/>
                <w:sz w:val="20"/>
              </w:rPr>
            </w:pPr>
          </w:p>
        </w:tc>
        <w:tc>
          <w:tcPr>
            <w:tcW w:w="1313" w:type="dxa"/>
          </w:tcPr>
          <w:p w14:paraId="3F13EC18" w14:textId="77777777" w:rsidR="00722E5C" w:rsidRPr="00D07677" w:rsidRDefault="00722E5C" w:rsidP="00722E5C">
            <w:pPr>
              <w:tabs>
                <w:tab w:val="decimal" w:pos="365"/>
              </w:tabs>
              <w:jc w:val="center"/>
              <w:rPr>
                <w:b/>
                <w:sz w:val="20"/>
              </w:rPr>
            </w:pPr>
          </w:p>
        </w:tc>
      </w:tr>
      <w:tr w:rsidR="00722E5C" w:rsidRPr="00D07677" w14:paraId="4B0987F6" w14:textId="77777777" w:rsidTr="00440578">
        <w:trPr>
          <w:jc w:val="center"/>
        </w:trPr>
        <w:tc>
          <w:tcPr>
            <w:tcW w:w="1953" w:type="dxa"/>
            <w:vAlign w:val="center"/>
          </w:tcPr>
          <w:p w14:paraId="319D0D7A" w14:textId="77777777" w:rsidR="00722E5C" w:rsidRDefault="00722E5C" w:rsidP="00722E5C">
            <w:pPr>
              <w:tabs>
                <w:tab w:val="right" w:pos="1572"/>
              </w:tabs>
              <w:rPr>
                <w:b/>
                <w:sz w:val="20"/>
              </w:rPr>
            </w:pPr>
          </w:p>
          <w:p w14:paraId="711ABD56" w14:textId="77777777" w:rsidR="00722E5C" w:rsidRPr="00900252" w:rsidRDefault="00722E5C" w:rsidP="00722E5C">
            <w:pPr>
              <w:tabs>
                <w:tab w:val="right" w:pos="1572"/>
              </w:tabs>
              <w:rPr>
                <w:b/>
                <w:sz w:val="20"/>
              </w:rPr>
            </w:pPr>
            <w:r w:rsidRPr="00900252">
              <w:rPr>
                <w:b/>
                <w:sz w:val="20"/>
              </w:rPr>
              <w:t xml:space="preserve">% </w:t>
            </w:r>
            <w:r>
              <w:rPr>
                <w:b/>
                <w:sz w:val="20"/>
              </w:rPr>
              <w:t>B</w:t>
            </w:r>
            <w:r w:rsidRPr="00900252">
              <w:rPr>
                <w:b/>
                <w:sz w:val="20"/>
              </w:rPr>
              <w:t>uyers</w:t>
            </w:r>
            <w:r>
              <w:rPr>
                <w:b/>
                <w:sz w:val="20"/>
              </w:rPr>
              <w:t>: Once</w:t>
            </w:r>
            <w:r w:rsidRPr="00900252">
              <w:rPr>
                <w:b/>
                <w:sz w:val="20"/>
              </w:rPr>
              <w:tab/>
            </w:r>
          </w:p>
          <w:p w14:paraId="29DE790A" w14:textId="77777777" w:rsidR="00722E5C" w:rsidRPr="00D07677" w:rsidRDefault="00722E5C" w:rsidP="00722E5C">
            <w:pPr>
              <w:tabs>
                <w:tab w:val="right" w:pos="1572"/>
              </w:tabs>
              <w:jc w:val="right"/>
              <w:rPr>
                <w:sz w:val="20"/>
              </w:rPr>
            </w:pPr>
            <w:r w:rsidRPr="00D07677">
              <w:rPr>
                <w:sz w:val="20"/>
              </w:rPr>
              <w:t>O</w:t>
            </w:r>
          </w:p>
        </w:tc>
        <w:tc>
          <w:tcPr>
            <w:tcW w:w="1134" w:type="dxa"/>
            <w:vAlign w:val="center"/>
          </w:tcPr>
          <w:p w14:paraId="56D64495" w14:textId="77777777" w:rsidR="00722E5C" w:rsidRDefault="00722E5C" w:rsidP="00722E5C">
            <w:pPr>
              <w:tabs>
                <w:tab w:val="decimal" w:pos="459"/>
              </w:tabs>
              <w:rPr>
                <w:sz w:val="20"/>
              </w:rPr>
            </w:pPr>
          </w:p>
          <w:p w14:paraId="7511DAB2" w14:textId="77777777" w:rsidR="00722E5C" w:rsidRDefault="00722E5C" w:rsidP="00722E5C">
            <w:pPr>
              <w:tabs>
                <w:tab w:val="decimal" w:pos="459"/>
              </w:tabs>
              <w:rPr>
                <w:sz w:val="20"/>
              </w:rPr>
            </w:pPr>
          </w:p>
          <w:p w14:paraId="48FFE54F" w14:textId="77777777" w:rsidR="00722E5C" w:rsidRPr="00D07677" w:rsidRDefault="00722E5C" w:rsidP="00722E5C">
            <w:pPr>
              <w:tabs>
                <w:tab w:val="decimal" w:pos="459"/>
              </w:tabs>
              <w:rPr>
                <w:sz w:val="20"/>
              </w:rPr>
            </w:pPr>
            <w:r w:rsidRPr="00D07677">
              <w:rPr>
                <w:sz w:val="20"/>
              </w:rPr>
              <w:t>60</w:t>
            </w:r>
          </w:p>
        </w:tc>
        <w:tc>
          <w:tcPr>
            <w:tcW w:w="851" w:type="dxa"/>
            <w:vAlign w:val="center"/>
          </w:tcPr>
          <w:p w14:paraId="1C0CF147" w14:textId="77777777" w:rsidR="00722E5C" w:rsidRDefault="00722E5C" w:rsidP="00722E5C">
            <w:pPr>
              <w:tabs>
                <w:tab w:val="decimal" w:pos="317"/>
              </w:tabs>
              <w:rPr>
                <w:sz w:val="20"/>
              </w:rPr>
            </w:pPr>
          </w:p>
          <w:p w14:paraId="3790E1A6" w14:textId="77777777" w:rsidR="00722E5C" w:rsidRDefault="00722E5C" w:rsidP="00722E5C">
            <w:pPr>
              <w:tabs>
                <w:tab w:val="decimal" w:pos="317"/>
              </w:tabs>
              <w:rPr>
                <w:sz w:val="20"/>
              </w:rPr>
            </w:pPr>
          </w:p>
          <w:p w14:paraId="4C2D6144" w14:textId="77777777" w:rsidR="00722E5C" w:rsidRPr="00D07677" w:rsidRDefault="00722E5C" w:rsidP="00722E5C">
            <w:pPr>
              <w:tabs>
                <w:tab w:val="decimal" w:pos="317"/>
              </w:tabs>
              <w:rPr>
                <w:sz w:val="20"/>
              </w:rPr>
            </w:pPr>
            <w:r w:rsidRPr="00D07677">
              <w:rPr>
                <w:sz w:val="20"/>
              </w:rPr>
              <w:t>0</w:t>
            </w:r>
          </w:p>
        </w:tc>
        <w:tc>
          <w:tcPr>
            <w:tcW w:w="850" w:type="dxa"/>
            <w:vAlign w:val="center"/>
          </w:tcPr>
          <w:p w14:paraId="03F93DE1" w14:textId="77777777" w:rsidR="00722E5C" w:rsidRDefault="00722E5C" w:rsidP="00722E5C">
            <w:pPr>
              <w:tabs>
                <w:tab w:val="decimal" w:pos="318"/>
              </w:tabs>
              <w:rPr>
                <w:sz w:val="20"/>
              </w:rPr>
            </w:pPr>
          </w:p>
          <w:p w14:paraId="0BC7A1DB" w14:textId="77777777" w:rsidR="00722E5C" w:rsidRDefault="00722E5C" w:rsidP="00722E5C">
            <w:pPr>
              <w:tabs>
                <w:tab w:val="decimal" w:pos="318"/>
              </w:tabs>
              <w:rPr>
                <w:sz w:val="20"/>
              </w:rPr>
            </w:pPr>
          </w:p>
          <w:p w14:paraId="0498FC1E" w14:textId="77777777" w:rsidR="00722E5C" w:rsidRPr="00D07677" w:rsidRDefault="00722E5C" w:rsidP="00722E5C">
            <w:pPr>
              <w:tabs>
                <w:tab w:val="decimal" w:pos="318"/>
              </w:tabs>
              <w:rPr>
                <w:sz w:val="20"/>
              </w:rPr>
            </w:pPr>
            <w:r w:rsidRPr="00D07677">
              <w:rPr>
                <w:sz w:val="20"/>
              </w:rPr>
              <w:t>100</w:t>
            </w:r>
          </w:p>
        </w:tc>
        <w:tc>
          <w:tcPr>
            <w:tcW w:w="851" w:type="dxa"/>
            <w:vAlign w:val="center"/>
          </w:tcPr>
          <w:p w14:paraId="7C0CCF28" w14:textId="77777777" w:rsidR="00722E5C" w:rsidRDefault="00722E5C" w:rsidP="00722E5C">
            <w:pPr>
              <w:tabs>
                <w:tab w:val="decimal" w:pos="406"/>
              </w:tabs>
              <w:rPr>
                <w:sz w:val="20"/>
              </w:rPr>
            </w:pPr>
          </w:p>
          <w:p w14:paraId="12741D95" w14:textId="77777777" w:rsidR="00722E5C" w:rsidRDefault="00722E5C" w:rsidP="00722E5C">
            <w:pPr>
              <w:tabs>
                <w:tab w:val="decimal" w:pos="406"/>
              </w:tabs>
              <w:rPr>
                <w:sz w:val="20"/>
              </w:rPr>
            </w:pPr>
          </w:p>
          <w:p w14:paraId="0B9F8DE9" w14:textId="77777777" w:rsidR="00722E5C" w:rsidRPr="00D07677" w:rsidRDefault="00722E5C" w:rsidP="00722E5C">
            <w:pPr>
              <w:tabs>
                <w:tab w:val="decimal" w:pos="406"/>
              </w:tabs>
              <w:rPr>
                <w:sz w:val="20"/>
              </w:rPr>
            </w:pPr>
            <w:r w:rsidRPr="00D07677">
              <w:rPr>
                <w:sz w:val="20"/>
              </w:rPr>
              <w:t>13</w:t>
            </w:r>
          </w:p>
        </w:tc>
        <w:tc>
          <w:tcPr>
            <w:tcW w:w="1313" w:type="dxa"/>
            <w:vAlign w:val="center"/>
          </w:tcPr>
          <w:p w14:paraId="0313E0A4" w14:textId="77777777" w:rsidR="00722E5C" w:rsidRDefault="00722E5C" w:rsidP="00722E5C">
            <w:pPr>
              <w:tabs>
                <w:tab w:val="decimal" w:pos="365"/>
              </w:tabs>
              <w:jc w:val="center"/>
              <w:rPr>
                <w:sz w:val="20"/>
              </w:rPr>
            </w:pPr>
          </w:p>
          <w:p w14:paraId="2C9DA183" w14:textId="77777777" w:rsidR="00722E5C" w:rsidRDefault="00722E5C" w:rsidP="00722E5C">
            <w:pPr>
              <w:tabs>
                <w:tab w:val="decimal" w:pos="365"/>
              </w:tabs>
              <w:jc w:val="center"/>
              <w:rPr>
                <w:sz w:val="20"/>
              </w:rPr>
            </w:pPr>
          </w:p>
          <w:p w14:paraId="3649DF55" w14:textId="77777777" w:rsidR="00722E5C" w:rsidRPr="00D07677" w:rsidRDefault="00722E5C" w:rsidP="00722E5C">
            <w:pPr>
              <w:tabs>
                <w:tab w:val="decimal" w:pos="365"/>
              </w:tabs>
              <w:jc w:val="center"/>
              <w:rPr>
                <w:sz w:val="20"/>
              </w:rPr>
            </w:pPr>
            <w:r w:rsidRPr="00D07677">
              <w:rPr>
                <w:sz w:val="20"/>
              </w:rPr>
              <w:t>0.77</w:t>
            </w:r>
          </w:p>
        </w:tc>
      </w:tr>
      <w:tr w:rsidR="00722E5C" w:rsidRPr="00D07677" w14:paraId="4EA95A98" w14:textId="77777777" w:rsidTr="00440578">
        <w:trPr>
          <w:jc w:val="center"/>
        </w:trPr>
        <w:tc>
          <w:tcPr>
            <w:tcW w:w="1953" w:type="dxa"/>
          </w:tcPr>
          <w:p w14:paraId="47B1B82A" w14:textId="77777777" w:rsidR="00722E5C" w:rsidRPr="00D07677" w:rsidRDefault="00722E5C" w:rsidP="00722E5C">
            <w:pPr>
              <w:jc w:val="right"/>
              <w:rPr>
                <w:b/>
                <w:sz w:val="20"/>
              </w:rPr>
            </w:pPr>
            <w:r w:rsidRPr="00D07677">
              <w:rPr>
                <w:b/>
                <w:sz w:val="20"/>
              </w:rPr>
              <w:t>T</w:t>
            </w:r>
          </w:p>
        </w:tc>
        <w:tc>
          <w:tcPr>
            <w:tcW w:w="1134" w:type="dxa"/>
          </w:tcPr>
          <w:p w14:paraId="07F30E42" w14:textId="77777777" w:rsidR="00722E5C" w:rsidRPr="00D07677" w:rsidRDefault="00722E5C" w:rsidP="00722E5C">
            <w:pPr>
              <w:tabs>
                <w:tab w:val="decimal" w:pos="459"/>
              </w:tabs>
              <w:rPr>
                <w:b/>
                <w:sz w:val="20"/>
              </w:rPr>
            </w:pPr>
            <w:r w:rsidRPr="00D07677">
              <w:rPr>
                <w:b/>
                <w:sz w:val="20"/>
              </w:rPr>
              <w:t>53</w:t>
            </w:r>
          </w:p>
        </w:tc>
        <w:tc>
          <w:tcPr>
            <w:tcW w:w="851" w:type="dxa"/>
          </w:tcPr>
          <w:p w14:paraId="1276BC24" w14:textId="77777777" w:rsidR="00722E5C" w:rsidRPr="00D07677" w:rsidRDefault="00722E5C" w:rsidP="00722E5C">
            <w:pPr>
              <w:tabs>
                <w:tab w:val="decimal" w:pos="317"/>
              </w:tabs>
              <w:rPr>
                <w:b/>
                <w:sz w:val="20"/>
              </w:rPr>
            </w:pPr>
            <w:r w:rsidRPr="00D07677">
              <w:rPr>
                <w:b/>
                <w:sz w:val="20"/>
              </w:rPr>
              <w:t>14</w:t>
            </w:r>
          </w:p>
        </w:tc>
        <w:tc>
          <w:tcPr>
            <w:tcW w:w="850" w:type="dxa"/>
          </w:tcPr>
          <w:p w14:paraId="701C7376" w14:textId="77777777" w:rsidR="00722E5C" w:rsidRPr="00D07677" w:rsidRDefault="00722E5C" w:rsidP="00722E5C">
            <w:pPr>
              <w:tabs>
                <w:tab w:val="decimal" w:pos="318"/>
              </w:tabs>
              <w:rPr>
                <w:b/>
                <w:sz w:val="20"/>
              </w:rPr>
            </w:pPr>
            <w:r w:rsidRPr="00D07677">
              <w:rPr>
                <w:b/>
                <w:sz w:val="20"/>
              </w:rPr>
              <w:t>83</w:t>
            </w:r>
          </w:p>
        </w:tc>
        <w:tc>
          <w:tcPr>
            <w:tcW w:w="851" w:type="dxa"/>
          </w:tcPr>
          <w:p w14:paraId="0E867386" w14:textId="77777777" w:rsidR="00722E5C" w:rsidRPr="00D07677" w:rsidRDefault="00722E5C" w:rsidP="00722E5C">
            <w:pPr>
              <w:tabs>
                <w:tab w:val="decimal" w:pos="406"/>
              </w:tabs>
              <w:rPr>
                <w:b/>
                <w:sz w:val="20"/>
              </w:rPr>
            </w:pPr>
            <w:r w:rsidRPr="00D07677">
              <w:rPr>
                <w:b/>
                <w:sz w:val="20"/>
              </w:rPr>
              <w:t>9</w:t>
            </w:r>
          </w:p>
        </w:tc>
        <w:tc>
          <w:tcPr>
            <w:tcW w:w="1313" w:type="dxa"/>
          </w:tcPr>
          <w:p w14:paraId="570AA6AF" w14:textId="77777777" w:rsidR="00722E5C" w:rsidRPr="00D07677" w:rsidRDefault="00722E5C" w:rsidP="00722E5C">
            <w:pPr>
              <w:tabs>
                <w:tab w:val="decimal" w:pos="365"/>
              </w:tabs>
              <w:jc w:val="center"/>
              <w:rPr>
                <w:b/>
                <w:sz w:val="20"/>
              </w:rPr>
            </w:pPr>
          </w:p>
        </w:tc>
      </w:tr>
      <w:tr w:rsidR="00722E5C" w:rsidRPr="00D07677" w14:paraId="1355490C" w14:textId="77777777" w:rsidTr="00440578">
        <w:trPr>
          <w:jc w:val="center"/>
        </w:trPr>
        <w:tc>
          <w:tcPr>
            <w:tcW w:w="1953" w:type="dxa"/>
          </w:tcPr>
          <w:p w14:paraId="52055CF3" w14:textId="77777777" w:rsidR="00722E5C" w:rsidRPr="00D07677" w:rsidRDefault="00722E5C" w:rsidP="00722E5C">
            <w:pPr>
              <w:jc w:val="right"/>
              <w:rPr>
                <w:b/>
                <w:sz w:val="20"/>
              </w:rPr>
            </w:pPr>
            <w:r w:rsidRPr="00D07677">
              <w:rPr>
                <w:b/>
                <w:sz w:val="20"/>
              </w:rPr>
              <w:t>(</w:t>
            </w:r>
            <w:r w:rsidRPr="00D07677">
              <w:rPr>
                <w:sz w:val="20"/>
              </w:rPr>
              <w:t>O-</w:t>
            </w:r>
            <w:r w:rsidRPr="00D07677">
              <w:rPr>
                <w:b/>
                <w:sz w:val="20"/>
              </w:rPr>
              <w:t>T</w:t>
            </w:r>
            <w:r w:rsidRPr="00D07677">
              <w:rPr>
                <w:sz w:val="20"/>
              </w:rPr>
              <w:t>)/</w:t>
            </w:r>
            <w:r w:rsidRPr="00D07677">
              <w:rPr>
                <w:b/>
                <w:sz w:val="20"/>
              </w:rPr>
              <w:t>T %</w:t>
            </w:r>
          </w:p>
        </w:tc>
        <w:tc>
          <w:tcPr>
            <w:tcW w:w="1134" w:type="dxa"/>
          </w:tcPr>
          <w:p w14:paraId="32CBA70D" w14:textId="77777777" w:rsidR="00722E5C" w:rsidRPr="00D07677" w:rsidRDefault="00722E5C" w:rsidP="00722E5C">
            <w:pPr>
              <w:tabs>
                <w:tab w:val="decimal" w:pos="459"/>
              </w:tabs>
              <w:rPr>
                <w:b/>
                <w:sz w:val="20"/>
              </w:rPr>
            </w:pPr>
            <w:r w:rsidRPr="00D07677">
              <w:rPr>
                <w:sz w:val="20"/>
                <w:szCs w:val="20"/>
              </w:rPr>
              <w:t>14</w:t>
            </w:r>
          </w:p>
        </w:tc>
        <w:tc>
          <w:tcPr>
            <w:tcW w:w="851" w:type="dxa"/>
          </w:tcPr>
          <w:p w14:paraId="49D47038" w14:textId="77777777" w:rsidR="00722E5C" w:rsidRPr="00D07677" w:rsidRDefault="00722E5C" w:rsidP="00722E5C">
            <w:pPr>
              <w:tabs>
                <w:tab w:val="decimal" w:pos="317"/>
              </w:tabs>
              <w:rPr>
                <w:b/>
                <w:sz w:val="20"/>
              </w:rPr>
            </w:pPr>
          </w:p>
        </w:tc>
        <w:tc>
          <w:tcPr>
            <w:tcW w:w="850" w:type="dxa"/>
          </w:tcPr>
          <w:p w14:paraId="75E1EDA8" w14:textId="77777777" w:rsidR="00722E5C" w:rsidRPr="00D07677" w:rsidRDefault="00722E5C" w:rsidP="00722E5C">
            <w:pPr>
              <w:tabs>
                <w:tab w:val="decimal" w:pos="318"/>
              </w:tabs>
              <w:rPr>
                <w:b/>
                <w:sz w:val="20"/>
              </w:rPr>
            </w:pPr>
          </w:p>
        </w:tc>
        <w:tc>
          <w:tcPr>
            <w:tcW w:w="851" w:type="dxa"/>
          </w:tcPr>
          <w:p w14:paraId="776733A6" w14:textId="77777777" w:rsidR="00722E5C" w:rsidRPr="00D07677" w:rsidRDefault="00722E5C" w:rsidP="00722E5C">
            <w:pPr>
              <w:tabs>
                <w:tab w:val="decimal" w:pos="406"/>
              </w:tabs>
              <w:rPr>
                <w:b/>
                <w:sz w:val="20"/>
              </w:rPr>
            </w:pPr>
          </w:p>
        </w:tc>
        <w:tc>
          <w:tcPr>
            <w:tcW w:w="1313" w:type="dxa"/>
          </w:tcPr>
          <w:p w14:paraId="4D355D9E" w14:textId="77777777" w:rsidR="00722E5C" w:rsidRPr="00D07677" w:rsidRDefault="00722E5C" w:rsidP="00722E5C">
            <w:pPr>
              <w:tabs>
                <w:tab w:val="decimal" w:pos="365"/>
              </w:tabs>
              <w:jc w:val="center"/>
              <w:rPr>
                <w:b/>
                <w:sz w:val="20"/>
              </w:rPr>
            </w:pPr>
          </w:p>
        </w:tc>
      </w:tr>
      <w:tr w:rsidR="00722E5C" w:rsidRPr="00D07677" w14:paraId="25B38C8C" w14:textId="77777777" w:rsidTr="00440578">
        <w:trPr>
          <w:jc w:val="center"/>
        </w:trPr>
        <w:tc>
          <w:tcPr>
            <w:tcW w:w="1953" w:type="dxa"/>
            <w:vAlign w:val="center"/>
          </w:tcPr>
          <w:p w14:paraId="49E0123F" w14:textId="77777777" w:rsidR="00722E5C" w:rsidRDefault="00722E5C" w:rsidP="00722E5C">
            <w:pPr>
              <w:tabs>
                <w:tab w:val="right" w:pos="1572"/>
              </w:tabs>
              <w:rPr>
                <w:b/>
                <w:sz w:val="20"/>
              </w:rPr>
            </w:pPr>
          </w:p>
          <w:p w14:paraId="3428E044" w14:textId="77777777" w:rsidR="00722E5C" w:rsidRPr="00F0545C" w:rsidRDefault="00722E5C" w:rsidP="00722E5C">
            <w:pPr>
              <w:tabs>
                <w:tab w:val="right" w:pos="1572"/>
              </w:tabs>
              <w:rPr>
                <w:b/>
                <w:sz w:val="20"/>
              </w:rPr>
            </w:pPr>
            <w:r w:rsidRPr="00900252">
              <w:rPr>
                <w:b/>
                <w:sz w:val="20"/>
              </w:rPr>
              <w:t xml:space="preserve">% </w:t>
            </w:r>
            <w:r>
              <w:rPr>
                <w:b/>
                <w:sz w:val="20"/>
              </w:rPr>
              <w:t>B</w:t>
            </w:r>
            <w:r w:rsidRPr="00900252">
              <w:rPr>
                <w:b/>
                <w:sz w:val="20"/>
              </w:rPr>
              <w:t>uyers:</w:t>
            </w:r>
            <w:r>
              <w:rPr>
                <w:b/>
                <w:sz w:val="20"/>
              </w:rPr>
              <w:t xml:space="preserve"> 5+        </w:t>
            </w:r>
          </w:p>
          <w:p w14:paraId="1F306154" w14:textId="77777777" w:rsidR="00722E5C" w:rsidRPr="00D07677" w:rsidRDefault="00722E5C" w:rsidP="00722E5C">
            <w:pPr>
              <w:tabs>
                <w:tab w:val="right" w:pos="1572"/>
              </w:tabs>
              <w:jc w:val="right"/>
              <w:rPr>
                <w:sz w:val="20"/>
              </w:rPr>
            </w:pPr>
            <w:r w:rsidRPr="00D07677">
              <w:rPr>
                <w:sz w:val="20"/>
              </w:rPr>
              <w:t>O</w:t>
            </w:r>
          </w:p>
        </w:tc>
        <w:tc>
          <w:tcPr>
            <w:tcW w:w="1134" w:type="dxa"/>
            <w:vAlign w:val="center"/>
          </w:tcPr>
          <w:p w14:paraId="1E129814" w14:textId="77777777" w:rsidR="00722E5C" w:rsidRDefault="00722E5C" w:rsidP="00722E5C">
            <w:pPr>
              <w:tabs>
                <w:tab w:val="decimal" w:pos="459"/>
              </w:tabs>
              <w:rPr>
                <w:sz w:val="20"/>
              </w:rPr>
            </w:pPr>
          </w:p>
          <w:p w14:paraId="4A60F275" w14:textId="77777777" w:rsidR="00722E5C" w:rsidRDefault="00722E5C" w:rsidP="00722E5C">
            <w:pPr>
              <w:tabs>
                <w:tab w:val="decimal" w:pos="459"/>
              </w:tabs>
              <w:rPr>
                <w:sz w:val="20"/>
              </w:rPr>
            </w:pPr>
          </w:p>
          <w:p w14:paraId="04425F61" w14:textId="77777777" w:rsidR="00722E5C" w:rsidRPr="00D07677" w:rsidRDefault="00722E5C" w:rsidP="00722E5C">
            <w:pPr>
              <w:tabs>
                <w:tab w:val="decimal" w:pos="459"/>
              </w:tabs>
              <w:rPr>
                <w:sz w:val="20"/>
              </w:rPr>
            </w:pPr>
            <w:r w:rsidRPr="00D07677">
              <w:rPr>
                <w:sz w:val="20"/>
              </w:rPr>
              <w:t>13</w:t>
            </w:r>
          </w:p>
        </w:tc>
        <w:tc>
          <w:tcPr>
            <w:tcW w:w="851" w:type="dxa"/>
            <w:vAlign w:val="center"/>
          </w:tcPr>
          <w:p w14:paraId="0151BCCC" w14:textId="77777777" w:rsidR="00722E5C" w:rsidRDefault="00722E5C" w:rsidP="00722E5C">
            <w:pPr>
              <w:tabs>
                <w:tab w:val="decimal" w:pos="317"/>
              </w:tabs>
              <w:rPr>
                <w:sz w:val="20"/>
              </w:rPr>
            </w:pPr>
          </w:p>
          <w:p w14:paraId="37C48632" w14:textId="77777777" w:rsidR="00722E5C" w:rsidRDefault="00722E5C" w:rsidP="00722E5C">
            <w:pPr>
              <w:tabs>
                <w:tab w:val="decimal" w:pos="317"/>
              </w:tabs>
              <w:rPr>
                <w:sz w:val="20"/>
              </w:rPr>
            </w:pPr>
          </w:p>
          <w:p w14:paraId="095D0CD4" w14:textId="77777777" w:rsidR="00722E5C" w:rsidRPr="00D07677" w:rsidRDefault="00722E5C" w:rsidP="00722E5C">
            <w:pPr>
              <w:tabs>
                <w:tab w:val="decimal" w:pos="317"/>
              </w:tabs>
              <w:rPr>
                <w:sz w:val="20"/>
              </w:rPr>
            </w:pPr>
            <w:r w:rsidRPr="00D07677">
              <w:rPr>
                <w:sz w:val="20"/>
              </w:rPr>
              <w:t>0</w:t>
            </w:r>
          </w:p>
        </w:tc>
        <w:tc>
          <w:tcPr>
            <w:tcW w:w="850" w:type="dxa"/>
            <w:vAlign w:val="center"/>
          </w:tcPr>
          <w:p w14:paraId="51C1C5BB" w14:textId="77777777" w:rsidR="00722E5C" w:rsidRDefault="00722E5C" w:rsidP="00722E5C">
            <w:pPr>
              <w:tabs>
                <w:tab w:val="decimal" w:pos="318"/>
              </w:tabs>
              <w:rPr>
                <w:sz w:val="20"/>
              </w:rPr>
            </w:pPr>
          </w:p>
          <w:p w14:paraId="11CB70ED" w14:textId="77777777" w:rsidR="00722E5C" w:rsidRDefault="00722E5C" w:rsidP="00722E5C">
            <w:pPr>
              <w:tabs>
                <w:tab w:val="decimal" w:pos="318"/>
              </w:tabs>
              <w:rPr>
                <w:sz w:val="20"/>
              </w:rPr>
            </w:pPr>
          </w:p>
          <w:p w14:paraId="44B7ED58" w14:textId="77777777" w:rsidR="00722E5C" w:rsidRPr="00D07677" w:rsidRDefault="00722E5C" w:rsidP="00722E5C">
            <w:pPr>
              <w:tabs>
                <w:tab w:val="decimal" w:pos="318"/>
              </w:tabs>
              <w:rPr>
                <w:sz w:val="20"/>
              </w:rPr>
            </w:pPr>
            <w:r w:rsidRPr="00D07677">
              <w:rPr>
                <w:sz w:val="20"/>
              </w:rPr>
              <w:t>62</w:t>
            </w:r>
          </w:p>
        </w:tc>
        <w:tc>
          <w:tcPr>
            <w:tcW w:w="851" w:type="dxa"/>
            <w:vAlign w:val="center"/>
          </w:tcPr>
          <w:p w14:paraId="5F191A1D" w14:textId="77777777" w:rsidR="00722E5C" w:rsidRDefault="00722E5C" w:rsidP="00722E5C">
            <w:pPr>
              <w:tabs>
                <w:tab w:val="decimal" w:pos="406"/>
              </w:tabs>
              <w:rPr>
                <w:sz w:val="20"/>
              </w:rPr>
            </w:pPr>
          </w:p>
          <w:p w14:paraId="610BBFDF" w14:textId="77777777" w:rsidR="00722E5C" w:rsidRDefault="00722E5C" w:rsidP="00722E5C">
            <w:pPr>
              <w:tabs>
                <w:tab w:val="decimal" w:pos="406"/>
              </w:tabs>
              <w:rPr>
                <w:sz w:val="20"/>
              </w:rPr>
            </w:pPr>
          </w:p>
          <w:p w14:paraId="1ACCB916" w14:textId="77777777" w:rsidR="00722E5C" w:rsidRPr="00D07677" w:rsidRDefault="00722E5C" w:rsidP="00722E5C">
            <w:pPr>
              <w:tabs>
                <w:tab w:val="decimal" w:pos="406"/>
              </w:tabs>
              <w:rPr>
                <w:sz w:val="20"/>
              </w:rPr>
            </w:pPr>
            <w:r w:rsidRPr="00D07677">
              <w:rPr>
                <w:sz w:val="20"/>
              </w:rPr>
              <w:t>9</w:t>
            </w:r>
          </w:p>
        </w:tc>
        <w:tc>
          <w:tcPr>
            <w:tcW w:w="1313" w:type="dxa"/>
            <w:vAlign w:val="center"/>
          </w:tcPr>
          <w:p w14:paraId="3AE54A1F" w14:textId="77777777" w:rsidR="00722E5C" w:rsidRDefault="00722E5C" w:rsidP="00722E5C">
            <w:pPr>
              <w:tabs>
                <w:tab w:val="decimal" w:pos="365"/>
              </w:tabs>
              <w:jc w:val="center"/>
              <w:rPr>
                <w:sz w:val="20"/>
              </w:rPr>
            </w:pPr>
          </w:p>
          <w:p w14:paraId="09596BE5" w14:textId="77777777" w:rsidR="00722E5C" w:rsidRDefault="00722E5C" w:rsidP="00722E5C">
            <w:pPr>
              <w:tabs>
                <w:tab w:val="decimal" w:pos="365"/>
              </w:tabs>
              <w:jc w:val="center"/>
              <w:rPr>
                <w:sz w:val="20"/>
              </w:rPr>
            </w:pPr>
          </w:p>
          <w:p w14:paraId="468CE17F" w14:textId="77777777" w:rsidR="00722E5C" w:rsidRPr="00D07677" w:rsidRDefault="00722E5C" w:rsidP="00722E5C">
            <w:pPr>
              <w:tabs>
                <w:tab w:val="decimal" w:pos="365"/>
              </w:tabs>
              <w:jc w:val="center"/>
              <w:rPr>
                <w:sz w:val="20"/>
              </w:rPr>
            </w:pPr>
            <w:r w:rsidRPr="00D07677">
              <w:rPr>
                <w:sz w:val="20"/>
              </w:rPr>
              <w:t>0.79</w:t>
            </w:r>
          </w:p>
        </w:tc>
      </w:tr>
      <w:tr w:rsidR="00722E5C" w:rsidRPr="00D07677" w14:paraId="28D8DDFB" w14:textId="77777777" w:rsidTr="00440578">
        <w:trPr>
          <w:jc w:val="center"/>
        </w:trPr>
        <w:tc>
          <w:tcPr>
            <w:tcW w:w="1953" w:type="dxa"/>
            <w:vAlign w:val="center"/>
          </w:tcPr>
          <w:p w14:paraId="74238E4E" w14:textId="77777777" w:rsidR="00722E5C" w:rsidRPr="00D07677" w:rsidRDefault="00722E5C" w:rsidP="00722E5C">
            <w:pPr>
              <w:jc w:val="right"/>
              <w:rPr>
                <w:b/>
                <w:sz w:val="20"/>
              </w:rPr>
            </w:pPr>
            <w:r w:rsidRPr="00D07677">
              <w:rPr>
                <w:b/>
                <w:sz w:val="20"/>
              </w:rPr>
              <w:t>T</w:t>
            </w:r>
          </w:p>
        </w:tc>
        <w:tc>
          <w:tcPr>
            <w:tcW w:w="1134" w:type="dxa"/>
            <w:vAlign w:val="center"/>
          </w:tcPr>
          <w:p w14:paraId="13173010" w14:textId="77777777" w:rsidR="00722E5C" w:rsidRPr="00D07677" w:rsidRDefault="00722E5C" w:rsidP="00722E5C">
            <w:pPr>
              <w:tabs>
                <w:tab w:val="decimal" w:pos="459"/>
              </w:tabs>
              <w:rPr>
                <w:b/>
                <w:sz w:val="20"/>
              </w:rPr>
            </w:pPr>
            <w:r w:rsidRPr="00D07677">
              <w:rPr>
                <w:b/>
                <w:sz w:val="20"/>
              </w:rPr>
              <w:t>15</w:t>
            </w:r>
          </w:p>
        </w:tc>
        <w:tc>
          <w:tcPr>
            <w:tcW w:w="851" w:type="dxa"/>
            <w:vAlign w:val="center"/>
          </w:tcPr>
          <w:p w14:paraId="7B9B94AD" w14:textId="77777777" w:rsidR="00722E5C" w:rsidRPr="00D07677" w:rsidRDefault="00722E5C" w:rsidP="00722E5C">
            <w:pPr>
              <w:tabs>
                <w:tab w:val="decimal" w:pos="317"/>
              </w:tabs>
              <w:rPr>
                <w:b/>
                <w:sz w:val="20"/>
              </w:rPr>
            </w:pPr>
            <w:r w:rsidRPr="00D07677">
              <w:rPr>
                <w:b/>
                <w:sz w:val="20"/>
              </w:rPr>
              <w:t>0</w:t>
            </w:r>
          </w:p>
        </w:tc>
        <w:tc>
          <w:tcPr>
            <w:tcW w:w="850" w:type="dxa"/>
            <w:vAlign w:val="center"/>
          </w:tcPr>
          <w:p w14:paraId="1AA399E6" w14:textId="77777777" w:rsidR="00722E5C" w:rsidRPr="00D07677" w:rsidRDefault="00722E5C" w:rsidP="00722E5C">
            <w:pPr>
              <w:tabs>
                <w:tab w:val="decimal" w:pos="318"/>
              </w:tabs>
              <w:rPr>
                <w:b/>
                <w:sz w:val="20"/>
              </w:rPr>
            </w:pPr>
            <w:r w:rsidRPr="00D07677">
              <w:rPr>
                <w:b/>
                <w:sz w:val="20"/>
              </w:rPr>
              <w:t>62</w:t>
            </w:r>
          </w:p>
        </w:tc>
        <w:tc>
          <w:tcPr>
            <w:tcW w:w="851" w:type="dxa"/>
            <w:vAlign w:val="center"/>
          </w:tcPr>
          <w:p w14:paraId="1153D982" w14:textId="77777777" w:rsidR="00722E5C" w:rsidRPr="00D07677" w:rsidRDefault="00722E5C" w:rsidP="00722E5C">
            <w:pPr>
              <w:tabs>
                <w:tab w:val="decimal" w:pos="406"/>
              </w:tabs>
              <w:rPr>
                <w:b/>
                <w:sz w:val="20"/>
              </w:rPr>
            </w:pPr>
            <w:r w:rsidRPr="00D07677">
              <w:rPr>
                <w:b/>
                <w:sz w:val="20"/>
              </w:rPr>
              <w:t>7</w:t>
            </w:r>
          </w:p>
        </w:tc>
        <w:tc>
          <w:tcPr>
            <w:tcW w:w="1313" w:type="dxa"/>
            <w:vAlign w:val="center"/>
          </w:tcPr>
          <w:p w14:paraId="58CC189B" w14:textId="77777777" w:rsidR="00722E5C" w:rsidRPr="00D07677" w:rsidRDefault="00722E5C" w:rsidP="00722E5C">
            <w:pPr>
              <w:tabs>
                <w:tab w:val="decimal" w:pos="365"/>
              </w:tabs>
              <w:jc w:val="center"/>
              <w:rPr>
                <w:b/>
                <w:sz w:val="20"/>
              </w:rPr>
            </w:pPr>
          </w:p>
        </w:tc>
      </w:tr>
      <w:tr w:rsidR="00722E5C" w:rsidRPr="00D07677" w14:paraId="0C4B6A3A" w14:textId="77777777" w:rsidTr="00440578">
        <w:trPr>
          <w:jc w:val="center"/>
        </w:trPr>
        <w:tc>
          <w:tcPr>
            <w:tcW w:w="1953" w:type="dxa"/>
            <w:vAlign w:val="center"/>
          </w:tcPr>
          <w:p w14:paraId="22C8C0B3" w14:textId="77777777" w:rsidR="00722E5C" w:rsidRPr="00D07677" w:rsidRDefault="00722E5C" w:rsidP="00722E5C">
            <w:pPr>
              <w:jc w:val="right"/>
              <w:rPr>
                <w:b/>
                <w:sz w:val="20"/>
              </w:rPr>
            </w:pPr>
            <w:r w:rsidRPr="00D07677">
              <w:rPr>
                <w:b/>
                <w:sz w:val="20"/>
              </w:rPr>
              <w:t>(</w:t>
            </w:r>
            <w:r w:rsidRPr="00D07677">
              <w:rPr>
                <w:sz w:val="20"/>
              </w:rPr>
              <w:t>O-</w:t>
            </w:r>
            <w:r w:rsidRPr="00D07677">
              <w:rPr>
                <w:b/>
                <w:sz w:val="20"/>
              </w:rPr>
              <w:t>T</w:t>
            </w:r>
            <w:r w:rsidRPr="00D07677">
              <w:rPr>
                <w:sz w:val="20"/>
              </w:rPr>
              <w:t>)/</w:t>
            </w:r>
            <w:r w:rsidRPr="00D07677">
              <w:rPr>
                <w:b/>
                <w:sz w:val="20"/>
              </w:rPr>
              <w:t>T %</w:t>
            </w:r>
          </w:p>
        </w:tc>
        <w:tc>
          <w:tcPr>
            <w:tcW w:w="1134" w:type="dxa"/>
            <w:vAlign w:val="center"/>
          </w:tcPr>
          <w:p w14:paraId="0A9556B1" w14:textId="77777777" w:rsidR="00722E5C" w:rsidRPr="00D07677" w:rsidRDefault="00722E5C" w:rsidP="00722E5C">
            <w:pPr>
              <w:tabs>
                <w:tab w:val="decimal" w:pos="459"/>
              </w:tabs>
              <w:rPr>
                <w:b/>
                <w:sz w:val="20"/>
              </w:rPr>
            </w:pPr>
            <w:r w:rsidRPr="00D07677">
              <w:rPr>
                <w:sz w:val="20"/>
                <w:szCs w:val="20"/>
              </w:rPr>
              <w:t>-15</w:t>
            </w:r>
          </w:p>
        </w:tc>
        <w:tc>
          <w:tcPr>
            <w:tcW w:w="851" w:type="dxa"/>
            <w:vAlign w:val="center"/>
          </w:tcPr>
          <w:p w14:paraId="1E2B789A" w14:textId="77777777" w:rsidR="00722E5C" w:rsidRPr="00D07677" w:rsidRDefault="00722E5C" w:rsidP="00722E5C">
            <w:pPr>
              <w:tabs>
                <w:tab w:val="decimal" w:pos="317"/>
              </w:tabs>
              <w:rPr>
                <w:b/>
                <w:sz w:val="20"/>
              </w:rPr>
            </w:pPr>
          </w:p>
        </w:tc>
        <w:tc>
          <w:tcPr>
            <w:tcW w:w="850" w:type="dxa"/>
            <w:vAlign w:val="center"/>
          </w:tcPr>
          <w:p w14:paraId="04BE7D8C" w14:textId="77777777" w:rsidR="00722E5C" w:rsidRPr="00D07677" w:rsidRDefault="00722E5C" w:rsidP="00722E5C">
            <w:pPr>
              <w:tabs>
                <w:tab w:val="decimal" w:pos="318"/>
              </w:tabs>
              <w:rPr>
                <w:b/>
                <w:sz w:val="20"/>
              </w:rPr>
            </w:pPr>
          </w:p>
        </w:tc>
        <w:tc>
          <w:tcPr>
            <w:tcW w:w="851" w:type="dxa"/>
            <w:vAlign w:val="center"/>
          </w:tcPr>
          <w:p w14:paraId="1AE30FEB" w14:textId="77777777" w:rsidR="00722E5C" w:rsidRPr="00D07677" w:rsidRDefault="00722E5C" w:rsidP="00722E5C">
            <w:pPr>
              <w:tabs>
                <w:tab w:val="decimal" w:pos="406"/>
              </w:tabs>
              <w:rPr>
                <w:b/>
                <w:sz w:val="20"/>
              </w:rPr>
            </w:pPr>
          </w:p>
        </w:tc>
        <w:tc>
          <w:tcPr>
            <w:tcW w:w="1313" w:type="dxa"/>
            <w:vAlign w:val="center"/>
          </w:tcPr>
          <w:p w14:paraId="13E67CB8" w14:textId="77777777" w:rsidR="00722E5C" w:rsidRPr="00D07677" w:rsidRDefault="00722E5C" w:rsidP="00722E5C">
            <w:pPr>
              <w:tabs>
                <w:tab w:val="decimal" w:pos="365"/>
              </w:tabs>
              <w:jc w:val="center"/>
              <w:rPr>
                <w:b/>
                <w:sz w:val="20"/>
              </w:rPr>
            </w:pPr>
          </w:p>
        </w:tc>
      </w:tr>
      <w:tr w:rsidR="00722E5C" w:rsidRPr="00D07677" w14:paraId="5DDE6B23" w14:textId="77777777" w:rsidTr="00440578">
        <w:trPr>
          <w:jc w:val="center"/>
        </w:trPr>
        <w:tc>
          <w:tcPr>
            <w:tcW w:w="1953" w:type="dxa"/>
            <w:vAlign w:val="center"/>
          </w:tcPr>
          <w:p w14:paraId="4436DC35" w14:textId="77777777" w:rsidR="00722E5C" w:rsidRDefault="00722E5C" w:rsidP="00722E5C">
            <w:pPr>
              <w:tabs>
                <w:tab w:val="right" w:pos="1572"/>
              </w:tabs>
              <w:rPr>
                <w:b/>
                <w:sz w:val="20"/>
              </w:rPr>
            </w:pPr>
          </w:p>
          <w:p w14:paraId="07AAAC62" w14:textId="77777777" w:rsidR="00722E5C" w:rsidRDefault="00722E5C" w:rsidP="00722E5C">
            <w:pPr>
              <w:tabs>
                <w:tab w:val="right" w:pos="1572"/>
              </w:tabs>
              <w:rPr>
                <w:b/>
                <w:sz w:val="20"/>
              </w:rPr>
            </w:pPr>
            <w:r w:rsidRPr="00900252">
              <w:rPr>
                <w:b/>
                <w:sz w:val="20"/>
              </w:rPr>
              <w:t xml:space="preserve">Category Freq </w:t>
            </w:r>
          </w:p>
          <w:p w14:paraId="39A3D7E3" w14:textId="77777777" w:rsidR="00722E5C" w:rsidRPr="00900252" w:rsidRDefault="00722E5C" w:rsidP="00722E5C">
            <w:pPr>
              <w:tabs>
                <w:tab w:val="right" w:pos="1572"/>
              </w:tabs>
              <w:rPr>
                <w:b/>
                <w:sz w:val="20"/>
              </w:rPr>
            </w:pPr>
            <w:r w:rsidRPr="00900252">
              <w:rPr>
                <w:b/>
                <w:sz w:val="20"/>
              </w:rPr>
              <w:t xml:space="preserve">(by brand buyers)  </w:t>
            </w:r>
            <w:r>
              <w:rPr>
                <w:b/>
                <w:sz w:val="20"/>
              </w:rPr>
              <w:t xml:space="preserve">    </w:t>
            </w:r>
          </w:p>
          <w:p w14:paraId="5D9DE05A" w14:textId="77777777" w:rsidR="00722E5C" w:rsidRPr="00D07677" w:rsidRDefault="00722E5C" w:rsidP="00722E5C">
            <w:pPr>
              <w:tabs>
                <w:tab w:val="right" w:pos="1572"/>
              </w:tabs>
              <w:jc w:val="right"/>
              <w:rPr>
                <w:sz w:val="20"/>
              </w:rPr>
            </w:pPr>
            <w:r w:rsidRPr="00D07677">
              <w:rPr>
                <w:sz w:val="20"/>
              </w:rPr>
              <w:t>O</w:t>
            </w:r>
          </w:p>
        </w:tc>
        <w:tc>
          <w:tcPr>
            <w:tcW w:w="1134" w:type="dxa"/>
            <w:vAlign w:val="center"/>
          </w:tcPr>
          <w:p w14:paraId="0CB4C214" w14:textId="77777777" w:rsidR="00722E5C" w:rsidRDefault="00722E5C" w:rsidP="00722E5C">
            <w:pPr>
              <w:tabs>
                <w:tab w:val="decimal" w:pos="459"/>
              </w:tabs>
              <w:rPr>
                <w:sz w:val="20"/>
              </w:rPr>
            </w:pPr>
          </w:p>
          <w:p w14:paraId="0D862387" w14:textId="77777777" w:rsidR="00722E5C" w:rsidRDefault="00722E5C" w:rsidP="00722E5C">
            <w:pPr>
              <w:tabs>
                <w:tab w:val="decimal" w:pos="459"/>
              </w:tabs>
              <w:rPr>
                <w:sz w:val="20"/>
              </w:rPr>
            </w:pPr>
          </w:p>
          <w:p w14:paraId="6E0DB69A" w14:textId="77777777" w:rsidR="00722E5C" w:rsidRDefault="00722E5C" w:rsidP="00722E5C">
            <w:pPr>
              <w:tabs>
                <w:tab w:val="decimal" w:pos="459"/>
              </w:tabs>
              <w:rPr>
                <w:sz w:val="20"/>
              </w:rPr>
            </w:pPr>
          </w:p>
          <w:p w14:paraId="1F231381" w14:textId="77777777" w:rsidR="00722E5C" w:rsidRPr="00D07677" w:rsidRDefault="00722E5C" w:rsidP="00722E5C">
            <w:pPr>
              <w:tabs>
                <w:tab w:val="decimal" w:pos="459"/>
              </w:tabs>
              <w:rPr>
                <w:sz w:val="20"/>
              </w:rPr>
            </w:pPr>
            <w:r w:rsidRPr="00D07677">
              <w:rPr>
                <w:sz w:val="20"/>
              </w:rPr>
              <w:t>15</w:t>
            </w:r>
          </w:p>
        </w:tc>
        <w:tc>
          <w:tcPr>
            <w:tcW w:w="851" w:type="dxa"/>
            <w:vAlign w:val="center"/>
          </w:tcPr>
          <w:p w14:paraId="1FB00286" w14:textId="77777777" w:rsidR="00722E5C" w:rsidRDefault="00722E5C" w:rsidP="00722E5C">
            <w:pPr>
              <w:tabs>
                <w:tab w:val="decimal" w:pos="317"/>
              </w:tabs>
              <w:rPr>
                <w:sz w:val="20"/>
              </w:rPr>
            </w:pPr>
          </w:p>
          <w:p w14:paraId="3E5D8D2C" w14:textId="77777777" w:rsidR="00722E5C" w:rsidRDefault="00722E5C" w:rsidP="00722E5C">
            <w:pPr>
              <w:tabs>
                <w:tab w:val="decimal" w:pos="317"/>
              </w:tabs>
              <w:rPr>
                <w:sz w:val="20"/>
              </w:rPr>
            </w:pPr>
          </w:p>
          <w:p w14:paraId="25FD9732" w14:textId="77777777" w:rsidR="00722E5C" w:rsidRDefault="00722E5C" w:rsidP="00722E5C">
            <w:pPr>
              <w:tabs>
                <w:tab w:val="decimal" w:pos="317"/>
              </w:tabs>
              <w:rPr>
                <w:sz w:val="20"/>
              </w:rPr>
            </w:pPr>
          </w:p>
          <w:p w14:paraId="0C9E1436" w14:textId="77777777" w:rsidR="00722E5C" w:rsidRPr="00D07677" w:rsidRDefault="00722E5C" w:rsidP="00722E5C">
            <w:pPr>
              <w:tabs>
                <w:tab w:val="decimal" w:pos="317"/>
              </w:tabs>
              <w:rPr>
                <w:sz w:val="20"/>
              </w:rPr>
            </w:pPr>
            <w:r w:rsidRPr="00D07677">
              <w:rPr>
                <w:sz w:val="20"/>
              </w:rPr>
              <w:t>1</w:t>
            </w:r>
          </w:p>
        </w:tc>
        <w:tc>
          <w:tcPr>
            <w:tcW w:w="850" w:type="dxa"/>
            <w:vAlign w:val="center"/>
          </w:tcPr>
          <w:p w14:paraId="277A1431" w14:textId="77777777" w:rsidR="00722E5C" w:rsidRDefault="00722E5C" w:rsidP="00722E5C">
            <w:pPr>
              <w:tabs>
                <w:tab w:val="decimal" w:pos="318"/>
              </w:tabs>
              <w:rPr>
                <w:sz w:val="20"/>
              </w:rPr>
            </w:pPr>
          </w:p>
          <w:p w14:paraId="11655499" w14:textId="77777777" w:rsidR="00722E5C" w:rsidRDefault="00722E5C" w:rsidP="00722E5C">
            <w:pPr>
              <w:tabs>
                <w:tab w:val="decimal" w:pos="318"/>
              </w:tabs>
              <w:rPr>
                <w:sz w:val="20"/>
              </w:rPr>
            </w:pPr>
          </w:p>
          <w:p w14:paraId="776B3F48" w14:textId="77777777" w:rsidR="00722E5C" w:rsidRDefault="00722E5C" w:rsidP="00722E5C">
            <w:pPr>
              <w:tabs>
                <w:tab w:val="decimal" w:pos="318"/>
              </w:tabs>
              <w:rPr>
                <w:sz w:val="20"/>
              </w:rPr>
            </w:pPr>
          </w:p>
          <w:p w14:paraId="686794DB" w14:textId="77777777" w:rsidR="00722E5C" w:rsidRPr="00D07677" w:rsidRDefault="00722E5C" w:rsidP="00722E5C">
            <w:pPr>
              <w:tabs>
                <w:tab w:val="decimal" w:pos="318"/>
              </w:tabs>
              <w:rPr>
                <w:sz w:val="20"/>
              </w:rPr>
            </w:pPr>
            <w:r w:rsidRPr="00D07677">
              <w:rPr>
                <w:sz w:val="20"/>
              </w:rPr>
              <w:t>199</w:t>
            </w:r>
          </w:p>
        </w:tc>
        <w:tc>
          <w:tcPr>
            <w:tcW w:w="851" w:type="dxa"/>
            <w:vAlign w:val="center"/>
          </w:tcPr>
          <w:p w14:paraId="68C67E62" w14:textId="77777777" w:rsidR="00722E5C" w:rsidRDefault="00722E5C" w:rsidP="00722E5C">
            <w:pPr>
              <w:tabs>
                <w:tab w:val="decimal" w:pos="406"/>
              </w:tabs>
              <w:rPr>
                <w:sz w:val="20"/>
              </w:rPr>
            </w:pPr>
          </w:p>
          <w:p w14:paraId="21EB53DD" w14:textId="77777777" w:rsidR="00722E5C" w:rsidRDefault="00722E5C" w:rsidP="00722E5C">
            <w:pPr>
              <w:tabs>
                <w:tab w:val="decimal" w:pos="406"/>
              </w:tabs>
              <w:rPr>
                <w:sz w:val="20"/>
              </w:rPr>
            </w:pPr>
          </w:p>
          <w:p w14:paraId="5BFD0C17" w14:textId="77777777" w:rsidR="00722E5C" w:rsidRDefault="00722E5C" w:rsidP="00722E5C">
            <w:pPr>
              <w:tabs>
                <w:tab w:val="decimal" w:pos="406"/>
              </w:tabs>
              <w:rPr>
                <w:sz w:val="20"/>
              </w:rPr>
            </w:pPr>
          </w:p>
          <w:p w14:paraId="15C5C126" w14:textId="77777777" w:rsidR="00722E5C" w:rsidRPr="00D07677" w:rsidRDefault="00722E5C" w:rsidP="00722E5C">
            <w:pPr>
              <w:tabs>
                <w:tab w:val="decimal" w:pos="406"/>
              </w:tabs>
              <w:rPr>
                <w:sz w:val="20"/>
              </w:rPr>
            </w:pPr>
            <w:r w:rsidRPr="00D07677">
              <w:rPr>
                <w:sz w:val="20"/>
              </w:rPr>
              <w:t>12</w:t>
            </w:r>
          </w:p>
        </w:tc>
        <w:tc>
          <w:tcPr>
            <w:tcW w:w="1313" w:type="dxa"/>
            <w:vAlign w:val="center"/>
          </w:tcPr>
          <w:p w14:paraId="5E8F8CC5" w14:textId="77777777" w:rsidR="00722E5C" w:rsidRDefault="00722E5C" w:rsidP="00722E5C">
            <w:pPr>
              <w:tabs>
                <w:tab w:val="decimal" w:pos="365"/>
              </w:tabs>
              <w:jc w:val="center"/>
              <w:rPr>
                <w:sz w:val="20"/>
              </w:rPr>
            </w:pPr>
          </w:p>
          <w:p w14:paraId="441843B9" w14:textId="77777777" w:rsidR="00722E5C" w:rsidRDefault="00722E5C" w:rsidP="00722E5C">
            <w:pPr>
              <w:tabs>
                <w:tab w:val="decimal" w:pos="365"/>
              </w:tabs>
              <w:jc w:val="center"/>
              <w:rPr>
                <w:sz w:val="20"/>
              </w:rPr>
            </w:pPr>
          </w:p>
          <w:p w14:paraId="71EAE818" w14:textId="77777777" w:rsidR="00722E5C" w:rsidRDefault="00722E5C" w:rsidP="00722E5C">
            <w:pPr>
              <w:tabs>
                <w:tab w:val="decimal" w:pos="365"/>
              </w:tabs>
              <w:jc w:val="center"/>
              <w:rPr>
                <w:sz w:val="20"/>
              </w:rPr>
            </w:pPr>
          </w:p>
          <w:p w14:paraId="5BD6E364" w14:textId="77777777" w:rsidR="00722E5C" w:rsidRPr="00D07677" w:rsidRDefault="00722E5C" w:rsidP="00722E5C">
            <w:pPr>
              <w:tabs>
                <w:tab w:val="decimal" w:pos="365"/>
              </w:tabs>
              <w:jc w:val="center"/>
              <w:rPr>
                <w:sz w:val="20"/>
              </w:rPr>
            </w:pPr>
            <w:r w:rsidRPr="00D07677">
              <w:rPr>
                <w:sz w:val="20"/>
              </w:rPr>
              <w:t>0.98</w:t>
            </w:r>
          </w:p>
        </w:tc>
      </w:tr>
      <w:tr w:rsidR="00722E5C" w:rsidRPr="00D07677" w14:paraId="67FAF82D" w14:textId="77777777" w:rsidTr="00440578">
        <w:trPr>
          <w:jc w:val="center"/>
        </w:trPr>
        <w:tc>
          <w:tcPr>
            <w:tcW w:w="1953" w:type="dxa"/>
            <w:vAlign w:val="center"/>
          </w:tcPr>
          <w:p w14:paraId="38C10890" w14:textId="77777777" w:rsidR="00722E5C" w:rsidRPr="00D07677" w:rsidRDefault="00722E5C" w:rsidP="00722E5C">
            <w:pPr>
              <w:jc w:val="right"/>
              <w:rPr>
                <w:b/>
                <w:sz w:val="20"/>
              </w:rPr>
            </w:pPr>
            <w:r w:rsidRPr="00D07677">
              <w:rPr>
                <w:b/>
                <w:sz w:val="20"/>
              </w:rPr>
              <w:t>T</w:t>
            </w:r>
          </w:p>
        </w:tc>
        <w:tc>
          <w:tcPr>
            <w:tcW w:w="1134" w:type="dxa"/>
            <w:vAlign w:val="center"/>
          </w:tcPr>
          <w:p w14:paraId="607256E6" w14:textId="77777777" w:rsidR="00722E5C" w:rsidRPr="00D07677" w:rsidRDefault="00722E5C" w:rsidP="00722E5C">
            <w:pPr>
              <w:tabs>
                <w:tab w:val="decimal" w:pos="459"/>
              </w:tabs>
              <w:rPr>
                <w:b/>
                <w:sz w:val="20"/>
              </w:rPr>
            </w:pPr>
            <w:r w:rsidRPr="00D07677">
              <w:rPr>
                <w:b/>
                <w:sz w:val="20"/>
              </w:rPr>
              <w:t>15</w:t>
            </w:r>
          </w:p>
        </w:tc>
        <w:tc>
          <w:tcPr>
            <w:tcW w:w="851" w:type="dxa"/>
            <w:vAlign w:val="center"/>
          </w:tcPr>
          <w:p w14:paraId="1D7CA68D" w14:textId="77777777" w:rsidR="00722E5C" w:rsidRPr="00D07677" w:rsidRDefault="00722E5C" w:rsidP="00722E5C">
            <w:pPr>
              <w:tabs>
                <w:tab w:val="decimal" w:pos="317"/>
              </w:tabs>
              <w:rPr>
                <w:b/>
                <w:sz w:val="20"/>
              </w:rPr>
            </w:pPr>
            <w:r w:rsidRPr="00D07677">
              <w:rPr>
                <w:b/>
                <w:sz w:val="20"/>
              </w:rPr>
              <w:t>2</w:t>
            </w:r>
          </w:p>
        </w:tc>
        <w:tc>
          <w:tcPr>
            <w:tcW w:w="850" w:type="dxa"/>
            <w:vAlign w:val="center"/>
          </w:tcPr>
          <w:p w14:paraId="520E1F67" w14:textId="77777777" w:rsidR="00722E5C" w:rsidRPr="00D07677" w:rsidRDefault="00722E5C" w:rsidP="00722E5C">
            <w:pPr>
              <w:tabs>
                <w:tab w:val="decimal" w:pos="318"/>
              </w:tabs>
              <w:rPr>
                <w:b/>
                <w:sz w:val="20"/>
              </w:rPr>
            </w:pPr>
            <w:r w:rsidRPr="00D07677">
              <w:rPr>
                <w:b/>
                <w:sz w:val="20"/>
              </w:rPr>
              <w:t>140</w:t>
            </w:r>
          </w:p>
        </w:tc>
        <w:tc>
          <w:tcPr>
            <w:tcW w:w="851" w:type="dxa"/>
            <w:vAlign w:val="center"/>
          </w:tcPr>
          <w:p w14:paraId="02D78465" w14:textId="77777777" w:rsidR="00722E5C" w:rsidRPr="00D07677" w:rsidRDefault="00722E5C" w:rsidP="00722E5C">
            <w:pPr>
              <w:tabs>
                <w:tab w:val="decimal" w:pos="406"/>
              </w:tabs>
              <w:rPr>
                <w:b/>
                <w:sz w:val="20"/>
              </w:rPr>
            </w:pPr>
            <w:r w:rsidRPr="00D07677">
              <w:rPr>
                <w:b/>
                <w:sz w:val="20"/>
              </w:rPr>
              <w:t>12</w:t>
            </w:r>
          </w:p>
        </w:tc>
        <w:tc>
          <w:tcPr>
            <w:tcW w:w="1313" w:type="dxa"/>
            <w:vAlign w:val="center"/>
          </w:tcPr>
          <w:p w14:paraId="20FEBF3B" w14:textId="77777777" w:rsidR="00722E5C" w:rsidRPr="00D07677" w:rsidRDefault="00722E5C" w:rsidP="00722E5C">
            <w:pPr>
              <w:tabs>
                <w:tab w:val="decimal" w:pos="365"/>
              </w:tabs>
              <w:jc w:val="center"/>
              <w:rPr>
                <w:b/>
                <w:sz w:val="20"/>
              </w:rPr>
            </w:pPr>
          </w:p>
        </w:tc>
      </w:tr>
      <w:tr w:rsidR="00722E5C" w:rsidRPr="00D07677" w14:paraId="49FCFC71" w14:textId="77777777" w:rsidTr="00440578">
        <w:trPr>
          <w:jc w:val="center"/>
        </w:trPr>
        <w:tc>
          <w:tcPr>
            <w:tcW w:w="1953" w:type="dxa"/>
            <w:vAlign w:val="center"/>
          </w:tcPr>
          <w:p w14:paraId="220FBA9B" w14:textId="77777777" w:rsidR="00722E5C" w:rsidRPr="00D07677" w:rsidRDefault="00722E5C" w:rsidP="00722E5C">
            <w:pPr>
              <w:jc w:val="right"/>
              <w:rPr>
                <w:sz w:val="20"/>
              </w:rPr>
            </w:pPr>
            <w:r w:rsidRPr="00D07677">
              <w:rPr>
                <w:b/>
                <w:sz w:val="20"/>
              </w:rPr>
              <w:t>(</w:t>
            </w:r>
            <w:r w:rsidRPr="00D07677">
              <w:rPr>
                <w:sz w:val="20"/>
              </w:rPr>
              <w:t>O-</w:t>
            </w:r>
            <w:r w:rsidRPr="00D07677">
              <w:rPr>
                <w:b/>
                <w:sz w:val="20"/>
              </w:rPr>
              <w:t>T</w:t>
            </w:r>
            <w:r w:rsidRPr="00D07677">
              <w:rPr>
                <w:sz w:val="20"/>
              </w:rPr>
              <w:t>)/</w:t>
            </w:r>
            <w:r w:rsidRPr="00D07677">
              <w:rPr>
                <w:b/>
                <w:sz w:val="20"/>
              </w:rPr>
              <w:t>T %</w:t>
            </w:r>
          </w:p>
        </w:tc>
        <w:tc>
          <w:tcPr>
            <w:tcW w:w="1134" w:type="dxa"/>
            <w:vAlign w:val="center"/>
          </w:tcPr>
          <w:p w14:paraId="50768122" w14:textId="77777777" w:rsidR="00722E5C" w:rsidRPr="00D07677" w:rsidRDefault="00722E5C" w:rsidP="00722E5C">
            <w:pPr>
              <w:tabs>
                <w:tab w:val="decimal" w:pos="459"/>
              </w:tabs>
              <w:rPr>
                <w:b/>
                <w:sz w:val="20"/>
              </w:rPr>
            </w:pPr>
            <w:r w:rsidRPr="00D07677">
              <w:rPr>
                <w:sz w:val="20"/>
                <w:szCs w:val="20"/>
              </w:rPr>
              <w:t>6</w:t>
            </w:r>
          </w:p>
        </w:tc>
        <w:tc>
          <w:tcPr>
            <w:tcW w:w="851" w:type="dxa"/>
            <w:vAlign w:val="center"/>
          </w:tcPr>
          <w:p w14:paraId="6D44D15C" w14:textId="77777777" w:rsidR="00722E5C" w:rsidRPr="00D07677" w:rsidRDefault="00722E5C" w:rsidP="00722E5C">
            <w:pPr>
              <w:tabs>
                <w:tab w:val="decimal" w:pos="317"/>
              </w:tabs>
              <w:rPr>
                <w:b/>
                <w:sz w:val="20"/>
              </w:rPr>
            </w:pPr>
          </w:p>
        </w:tc>
        <w:tc>
          <w:tcPr>
            <w:tcW w:w="850" w:type="dxa"/>
            <w:vAlign w:val="center"/>
          </w:tcPr>
          <w:p w14:paraId="0420B8BA" w14:textId="77777777" w:rsidR="00722E5C" w:rsidRPr="00D07677" w:rsidRDefault="00722E5C" w:rsidP="00722E5C">
            <w:pPr>
              <w:tabs>
                <w:tab w:val="decimal" w:pos="318"/>
              </w:tabs>
              <w:rPr>
                <w:b/>
                <w:sz w:val="20"/>
              </w:rPr>
            </w:pPr>
          </w:p>
        </w:tc>
        <w:tc>
          <w:tcPr>
            <w:tcW w:w="851" w:type="dxa"/>
            <w:vAlign w:val="center"/>
          </w:tcPr>
          <w:p w14:paraId="765B663F" w14:textId="77777777" w:rsidR="00722E5C" w:rsidRPr="00D07677" w:rsidRDefault="00722E5C" w:rsidP="00722E5C">
            <w:pPr>
              <w:tabs>
                <w:tab w:val="decimal" w:pos="406"/>
              </w:tabs>
              <w:rPr>
                <w:b/>
                <w:sz w:val="20"/>
              </w:rPr>
            </w:pPr>
          </w:p>
        </w:tc>
        <w:tc>
          <w:tcPr>
            <w:tcW w:w="1313" w:type="dxa"/>
            <w:vAlign w:val="center"/>
          </w:tcPr>
          <w:p w14:paraId="2B6E854F" w14:textId="77777777" w:rsidR="00722E5C" w:rsidRPr="00D07677" w:rsidRDefault="00722E5C" w:rsidP="00722E5C">
            <w:pPr>
              <w:tabs>
                <w:tab w:val="decimal" w:pos="365"/>
              </w:tabs>
              <w:jc w:val="center"/>
              <w:rPr>
                <w:b/>
                <w:sz w:val="20"/>
              </w:rPr>
            </w:pPr>
          </w:p>
        </w:tc>
      </w:tr>
      <w:tr w:rsidR="00722E5C" w:rsidRPr="00D07677" w14:paraId="165AB998" w14:textId="77777777" w:rsidTr="00440578">
        <w:trPr>
          <w:jc w:val="center"/>
        </w:trPr>
        <w:tc>
          <w:tcPr>
            <w:tcW w:w="1953" w:type="dxa"/>
            <w:vAlign w:val="center"/>
          </w:tcPr>
          <w:p w14:paraId="096D659A" w14:textId="77777777" w:rsidR="00722E5C" w:rsidRDefault="00722E5C" w:rsidP="00722E5C">
            <w:pPr>
              <w:tabs>
                <w:tab w:val="right" w:pos="1572"/>
              </w:tabs>
              <w:rPr>
                <w:b/>
                <w:sz w:val="20"/>
              </w:rPr>
            </w:pPr>
          </w:p>
          <w:p w14:paraId="44DF83A9" w14:textId="77777777" w:rsidR="00722E5C" w:rsidRPr="00900252" w:rsidRDefault="00722E5C" w:rsidP="00722E5C">
            <w:pPr>
              <w:tabs>
                <w:tab w:val="right" w:pos="1572"/>
              </w:tabs>
              <w:rPr>
                <w:b/>
                <w:sz w:val="20"/>
              </w:rPr>
            </w:pPr>
            <w:r w:rsidRPr="00900252">
              <w:rPr>
                <w:b/>
                <w:sz w:val="20"/>
              </w:rPr>
              <w:t xml:space="preserve">SCR     </w:t>
            </w:r>
            <w:r w:rsidRPr="00900252">
              <w:rPr>
                <w:b/>
                <w:sz w:val="20"/>
              </w:rPr>
              <w:tab/>
              <w:t xml:space="preserve">    </w:t>
            </w:r>
          </w:p>
          <w:p w14:paraId="4DCAC582" w14:textId="77777777" w:rsidR="00722E5C" w:rsidRPr="00D07677" w:rsidRDefault="00722E5C" w:rsidP="00722E5C">
            <w:pPr>
              <w:tabs>
                <w:tab w:val="right" w:pos="1572"/>
              </w:tabs>
              <w:jc w:val="right"/>
              <w:rPr>
                <w:sz w:val="20"/>
              </w:rPr>
            </w:pPr>
            <w:r w:rsidRPr="00D07677">
              <w:rPr>
                <w:sz w:val="20"/>
              </w:rPr>
              <w:t>O</w:t>
            </w:r>
          </w:p>
        </w:tc>
        <w:tc>
          <w:tcPr>
            <w:tcW w:w="1134" w:type="dxa"/>
            <w:vAlign w:val="center"/>
          </w:tcPr>
          <w:p w14:paraId="7707E144" w14:textId="77777777" w:rsidR="00722E5C" w:rsidRDefault="00722E5C" w:rsidP="00722E5C">
            <w:pPr>
              <w:tabs>
                <w:tab w:val="decimal" w:pos="459"/>
              </w:tabs>
              <w:rPr>
                <w:sz w:val="20"/>
              </w:rPr>
            </w:pPr>
          </w:p>
          <w:p w14:paraId="0459F421" w14:textId="77777777" w:rsidR="00722E5C" w:rsidRDefault="00722E5C" w:rsidP="00722E5C">
            <w:pPr>
              <w:tabs>
                <w:tab w:val="decimal" w:pos="459"/>
              </w:tabs>
              <w:rPr>
                <w:sz w:val="20"/>
              </w:rPr>
            </w:pPr>
          </w:p>
          <w:p w14:paraId="09F7445F" w14:textId="77777777" w:rsidR="00722E5C" w:rsidRPr="00D07677" w:rsidRDefault="00722E5C" w:rsidP="00722E5C">
            <w:pPr>
              <w:tabs>
                <w:tab w:val="decimal" w:pos="459"/>
              </w:tabs>
              <w:rPr>
                <w:sz w:val="20"/>
              </w:rPr>
            </w:pPr>
            <w:r w:rsidRPr="00D07677">
              <w:rPr>
                <w:sz w:val="20"/>
              </w:rPr>
              <w:t>32</w:t>
            </w:r>
          </w:p>
        </w:tc>
        <w:tc>
          <w:tcPr>
            <w:tcW w:w="851" w:type="dxa"/>
            <w:vAlign w:val="center"/>
          </w:tcPr>
          <w:p w14:paraId="6E06B4B2" w14:textId="77777777" w:rsidR="00722E5C" w:rsidRDefault="00722E5C" w:rsidP="00722E5C">
            <w:pPr>
              <w:tabs>
                <w:tab w:val="decimal" w:pos="317"/>
              </w:tabs>
              <w:rPr>
                <w:sz w:val="20"/>
              </w:rPr>
            </w:pPr>
          </w:p>
          <w:p w14:paraId="124EF5BF" w14:textId="77777777" w:rsidR="00722E5C" w:rsidRDefault="00722E5C" w:rsidP="00722E5C">
            <w:pPr>
              <w:tabs>
                <w:tab w:val="decimal" w:pos="317"/>
              </w:tabs>
              <w:rPr>
                <w:sz w:val="20"/>
              </w:rPr>
            </w:pPr>
          </w:p>
          <w:p w14:paraId="7A365535" w14:textId="77777777" w:rsidR="00722E5C" w:rsidRPr="00D07677" w:rsidRDefault="00722E5C" w:rsidP="00722E5C">
            <w:pPr>
              <w:tabs>
                <w:tab w:val="decimal" w:pos="317"/>
              </w:tabs>
              <w:rPr>
                <w:sz w:val="20"/>
              </w:rPr>
            </w:pPr>
            <w:r w:rsidRPr="00D07677">
              <w:rPr>
                <w:sz w:val="20"/>
              </w:rPr>
              <w:t>2</w:t>
            </w:r>
          </w:p>
        </w:tc>
        <w:tc>
          <w:tcPr>
            <w:tcW w:w="850" w:type="dxa"/>
            <w:vAlign w:val="center"/>
          </w:tcPr>
          <w:p w14:paraId="116FD4A2" w14:textId="77777777" w:rsidR="00722E5C" w:rsidRDefault="00722E5C" w:rsidP="00722E5C">
            <w:pPr>
              <w:tabs>
                <w:tab w:val="decimal" w:pos="318"/>
              </w:tabs>
              <w:rPr>
                <w:sz w:val="20"/>
              </w:rPr>
            </w:pPr>
          </w:p>
          <w:p w14:paraId="0A3D006E" w14:textId="77777777" w:rsidR="00722E5C" w:rsidRDefault="00722E5C" w:rsidP="00722E5C">
            <w:pPr>
              <w:tabs>
                <w:tab w:val="decimal" w:pos="318"/>
              </w:tabs>
              <w:rPr>
                <w:sz w:val="20"/>
              </w:rPr>
            </w:pPr>
          </w:p>
          <w:p w14:paraId="61462A91" w14:textId="77777777" w:rsidR="00722E5C" w:rsidRPr="00D07677" w:rsidRDefault="00722E5C" w:rsidP="00722E5C">
            <w:pPr>
              <w:tabs>
                <w:tab w:val="decimal" w:pos="318"/>
              </w:tabs>
              <w:rPr>
                <w:sz w:val="20"/>
              </w:rPr>
            </w:pPr>
            <w:r w:rsidRPr="00D07677">
              <w:rPr>
                <w:sz w:val="20"/>
              </w:rPr>
              <w:t>90</w:t>
            </w:r>
          </w:p>
        </w:tc>
        <w:tc>
          <w:tcPr>
            <w:tcW w:w="851" w:type="dxa"/>
            <w:vAlign w:val="center"/>
          </w:tcPr>
          <w:p w14:paraId="5BDBD5C4" w14:textId="77777777" w:rsidR="00722E5C" w:rsidRDefault="00722E5C" w:rsidP="00722E5C">
            <w:pPr>
              <w:tabs>
                <w:tab w:val="decimal" w:pos="406"/>
              </w:tabs>
              <w:rPr>
                <w:sz w:val="20"/>
              </w:rPr>
            </w:pPr>
          </w:p>
          <w:p w14:paraId="1BA498EC" w14:textId="77777777" w:rsidR="00722E5C" w:rsidRDefault="00722E5C" w:rsidP="00722E5C">
            <w:pPr>
              <w:tabs>
                <w:tab w:val="decimal" w:pos="406"/>
              </w:tabs>
              <w:rPr>
                <w:sz w:val="20"/>
              </w:rPr>
            </w:pPr>
          </w:p>
          <w:p w14:paraId="148B4B9C" w14:textId="77777777" w:rsidR="00722E5C" w:rsidRPr="00D07677" w:rsidRDefault="00722E5C" w:rsidP="00722E5C">
            <w:pPr>
              <w:tabs>
                <w:tab w:val="decimal" w:pos="406"/>
              </w:tabs>
              <w:rPr>
                <w:sz w:val="20"/>
              </w:rPr>
            </w:pPr>
            <w:r w:rsidRPr="00D07677">
              <w:rPr>
                <w:sz w:val="20"/>
              </w:rPr>
              <w:t>12</w:t>
            </w:r>
          </w:p>
        </w:tc>
        <w:tc>
          <w:tcPr>
            <w:tcW w:w="1313" w:type="dxa"/>
            <w:vAlign w:val="center"/>
          </w:tcPr>
          <w:p w14:paraId="3EE06A27" w14:textId="77777777" w:rsidR="00722E5C" w:rsidRDefault="00722E5C" w:rsidP="00722E5C">
            <w:pPr>
              <w:tabs>
                <w:tab w:val="decimal" w:pos="365"/>
              </w:tabs>
              <w:jc w:val="center"/>
              <w:rPr>
                <w:sz w:val="20"/>
              </w:rPr>
            </w:pPr>
          </w:p>
          <w:p w14:paraId="425522C6" w14:textId="77777777" w:rsidR="00722E5C" w:rsidRDefault="00722E5C" w:rsidP="00722E5C">
            <w:pPr>
              <w:tabs>
                <w:tab w:val="decimal" w:pos="365"/>
              </w:tabs>
              <w:jc w:val="center"/>
              <w:rPr>
                <w:sz w:val="20"/>
              </w:rPr>
            </w:pPr>
          </w:p>
          <w:p w14:paraId="5723E024" w14:textId="77777777" w:rsidR="00722E5C" w:rsidRPr="00D07677" w:rsidRDefault="00722E5C" w:rsidP="00722E5C">
            <w:pPr>
              <w:tabs>
                <w:tab w:val="decimal" w:pos="365"/>
              </w:tabs>
              <w:jc w:val="center"/>
              <w:rPr>
                <w:sz w:val="20"/>
              </w:rPr>
            </w:pPr>
            <w:r w:rsidRPr="00D07677">
              <w:rPr>
                <w:sz w:val="20"/>
              </w:rPr>
              <w:t>0.82</w:t>
            </w:r>
          </w:p>
        </w:tc>
      </w:tr>
      <w:tr w:rsidR="00722E5C" w:rsidRPr="00D07677" w14:paraId="20B63463" w14:textId="77777777" w:rsidTr="00440578">
        <w:trPr>
          <w:jc w:val="center"/>
        </w:trPr>
        <w:tc>
          <w:tcPr>
            <w:tcW w:w="1953" w:type="dxa"/>
            <w:vAlign w:val="center"/>
          </w:tcPr>
          <w:p w14:paraId="318EC101" w14:textId="77777777" w:rsidR="00722E5C" w:rsidRPr="00D07677" w:rsidRDefault="00722E5C" w:rsidP="00722E5C">
            <w:pPr>
              <w:jc w:val="right"/>
              <w:rPr>
                <w:b/>
                <w:sz w:val="20"/>
              </w:rPr>
            </w:pPr>
            <w:r w:rsidRPr="00D07677">
              <w:rPr>
                <w:b/>
                <w:sz w:val="20"/>
              </w:rPr>
              <w:t>T</w:t>
            </w:r>
          </w:p>
        </w:tc>
        <w:tc>
          <w:tcPr>
            <w:tcW w:w="1134" w:type="dxa"/>
            <w:vAlign w:val="center"/>
          </w:tcPr>
          <w:p w14:paraId="4C8F1376" w14:textId="77777777" w:rsidR="00722E5C" w:rsidRPr="00D07677" w:rsidRDefault="00722E5C" w:rsidP="00722E5C">
            <w:pPr>
              <w:tabs>
                <w:tab w:val="decimal" w:pos="459"/>
              </w:tabs>
              <w:rPr>
                <w:b/>
                <w:sz w:val="20"/>
              </w:rPr>
            </w:pPr>
            <w:r w:rsidRPr="00D07677">
              <w:rPr>
                <w:b/>
                <w:sz w:val="20"/>
              </w:rPr>
              <w:t>33</w:t>
            </w:r>
          </w:p>
        </w:tc>
        <w:tc>
          <w:tcPr>
            <w:tcW w:w="851" w:type="dxa"/>
            <w:vAlign w:val="center"/>
          </w:tcPr>
          <w:p w14:paraId="27EA7660" w14:textId="77777777" w:rsidR="00722E5C" w:rsidRPr="00D07677" w:rsidRDefault="00722E5C" w:rsidP="00722E5C">
            <w:pPr>
              <w:tabs>
                <w:tab w:val="decimal" w:pos="317"/>
              </w:tabs>
              <w:rPr>
                <w:b/>
                <w:sz w:val="20"/>
              </w:rPr>
            </w:pPr>
            <w:r w:rsidRPr="00D07677">
              <w:rPr>
                <w:b/>
                <w:sz w:val="20"/>
              </w:rPr>
              <w:t>8</w:t>
            </w:r>
          </w:p>
        </w:tc>
        <w:tc>
          <w:tcPr>
            <w:tcW w:w="850" w:type="dxa"/>
            <w:vAlign w:val="center"/>
          </w:tcPr>
          <w:p w14:paraId="68CC18EA" w14:textId="77777777" w:rsidR="00722E5C" w:rsidRPr="00D07677" w:rsidRDefault="00722E5C" w:rsidP="00722E5C">
            <w:pPr>
              <w:tabs>
                <w:tab w:val="decimal" w:pos="318"/>
              </w:tabs>
              <w:rPr>
                <w:b/>
                <w:sz w:val="20"/>
              </w:rPr>
            </w:pPr>
            <w:r w:rsidRPr="00D07677">
              <w:rPr>
                <w:b/>
                <w:sz w:val="20"/>
              </w:rPr>
              <w:t>76</w:t>
            </w:r>
          </w:p>
        </w:tc>
        <w:tc>
          <w:tcPr>
            <w:tcW w:w="851" w:type="dxa"/>
            <w:vAlign w:val="center"/>
          </w:tcPr>
          <w:p w14:paraId="78E4B341" w14:textId="77777777" w:rsidR="00722E5C" w:rsidRPr="00D07677" w:rsidRDefault="00722E5C" w:rsidP="00722E5C">
            <w:pPr>
              <w:tabs>
                <w:tab w:val="decimal" w:pos="406"/>
              </w:tabs>
              <w:rPr>
                <w:b/>
                <w:sz w:val="20"/>
              </w:rPr>
            </w:pPr>
            <w:r w:rsidRPr="00D07677">
              <w:rPr>
                <w:b/>
                <w:sz w:val="20"/>
              </w:rPr>
              <w:t>11</w:t>
            </w:r>
          </w:p>
        </w:tc>
        <w:tc>
          <w:tcPr>
            <w:tcW w:w="1313" w:type="dxa"/>
            <w:vAlign w:val="center"/>
          </w:tcPr>
          <w:p w14:paraId="78BDB42E" w14:textId="77777777" w:rsidR="00722E5C" w:rsidRPr="00D07677" w:rsidRDefault="00722E5C" w:rsidP="00722E5C">
            <w:pPr>
              <w:tabs>
                <w:tab w:val="decimal" w:pos="365"/>
              </w:tabs>
              <w:jc w:val="center"/>
              <w:rPr>
                <w:b/>
                <w:sz w:val="20"/>
              </w:rPr>
            </w:pPr>
          </w:p>
        </w:tc>
      </w:tr>
      <w:tr w:rsidR="00722E5C" w:rsidRPr="00D07677" w14:paraId="5CB209D3" w14:textId="77777777" w:rsidTr="00440578">
        <w:trPr>
          <w:jc w:val="center"/>
        </w:trPr>
        <w:tc>
          <w:tcPr>
            <w:tcW w:w="1953" w:type="dxa"/>
            <w:vAlign w:val="center"/>
          </w:tcPr>
          <w:p w14:paraId="09046E32" w14:textId="77777777" w:rsidR="00722E5C" w:rsidRPr="00D07677" w:rsidRDefault="00722E5C" w:rsidP="00722E5C">
            <w:pPr>
              <w:jc w:val="right"/>
              <w:rPr>
                <w:b/>
                <w:sz w:val="20"/>
              </w:rPr>
            </w:pPr>
            <w:r w:rsidRPr="00D07677">
              <w:rPr>
                <w:b/>
                <w:sz w:val="20"/>
              </w:rPr>
              <w:t>(</w:t>
            </w:r>
            <w:r w:rsidRPr="00D07677">
              <w:rPr>
                <w:sz w:val="20"/>
              </w:rPr>
              <w:t>O-</w:t>
            </w:r>
            <w:r w:rsidRPr="00D07677">
              <w:rPr>
                <w:b/>
                <w:sz w:val="20"/>
              </w:rPr>
              <w:t>T</w:t>
            </w:r>
            <w:r w:rsidRPr="00D07677">
              <w:rPr>
                <w:sz w:val="20"/>
              </w:rPr>
              <w:t>)/</w:t>
            </w:r>
            <w:r w:rsidRPr="00D07677">
              <w:rPr>
                <w:b/>
                <w:sz w:val="20"/>
              </w:rPr>
              <w:t>T %</w:t>
            </w:r>
          </w:p>
        </w:tc>
        <w:tc>
          <w:tcPr>
            <w:tcW w:w="1134" w:type="dxa"/>
            <w:vAlign w:val="center"/>
          </w:tcPr>
          <w:p w14:paraId="0A04186F" w14:textId="77777777" w:rsidR="00722E5C" w:rsidRPr="00D07677" w:rsidRDefault="00722E5C" w:rsidP="00722E5C">
            <w:pPr>
              <w:tabs>
                <w:tab w:val="decimal" w:pos="459"/>
              </w:tabs>
              <w:rPr>
                <w:b/>
                <w:sz w:val="20"/>
              </w:rPr>
            </w:pPr>
            <w:r w:rsidRPr="00D07677">
              <w:rPr>
                <w:sz w:val="20"/>
                <w:szCs w:val="20"/>
              </w:rPr>
              <w:t>-1</w:t>
            </w:r>
          </w:p>
        </w:tc>
        <w:tc>
          <w:tcPr>
            <w:tcW w:w="851" w:type="dxa"/>
            <w:vAlign w:val="center"/>
          </w:tcPr>
          <w:p w14:paraId="5A2A0A80" w14:textId="77777777" w:rsidR="00722E5C" w:rsidRPr="00D07677" w:rsidRDefault="00722E5C" w:rsidP="00722E5C">
            <w:pPr>
              <w:tabs>
                <w:tab w:val="decimal" w:pos="317"/>
              </w:tabs>
              <w:rPr>
                <w:b/>
                <w:sz w:val="20"/>
              </w:rPr>
            </w:pPr>
          </w:p>
        </w:tc>
        <w:tc>
          <w:tcPr>
            <w:tcW w:w="850" w:type="dxa"/>
            <w:vAlign w:val="center"/>
          </w:tcPr>
          <w:p w14:paraId="19E1C8D6" w14:textId="77777777" w:rsidR="00722E5C" w:rsidRPr="00D07677" w:rsidRDefault="00722E5C" w:rsidP="00722E5C">
            <w:pPr>
              <w:tabs>
                <w:tab w:val="decimal" w:pos="318"/>
              </w:tabs>
              <w:rPr>
                <w:b/>
                <w:sz w:val="20"/>
              </w:rPr>
            </w:pPr>
          </w:p>
        </w:tc>
        <w:tc>
          <w:tcPr>
            <w:tcW w:w="851" w:type="dxa"/>
            <w:vAlign w:val="center"/>
          </w:tcPr>
          <w:p w14:paraId="05E288A5" w14:textId="77777777" w:rsidR="00722E5C" w:rsidRPr="00D07677" w:rsidRDefault="00722E5C" w:rsidP="00722E5C">
            <w:pPr>
              <w:tabs>
                <w:tab w:val="decimal" w:pos="406"/>
              </w:tabs>
              <w:rPr>
                <w:b/>
                <w:sz w:val="20"/>
              </w:rPr>
            </w:pPr>
          </w:p>
        </w:tc>
        <w:tc>
          <w:tcPr>
            <w:tcW w:w="1313" w:type="dxa"/>
            <w:vAlign w:val="center"/>
          </w:tcPr>
          <w:p w14:paraId="5EA0DFAE" w14:textId="77777777" w:rsidR="00722E5C" w:rsidRPr="00D07677" w:rsidRDefault="00722E5C" w:rsidP="00722E5C">
            <w:pPr>
              <w:tabs>
                <w:tab w:val="decimal" w:pos="365"/>
              </w:tabs>
              <w:jc w:val="center"/>
              <w:rPr>
                <w:b/>
                <w:sz w:val="20"/>
              </w:rPr>
            </w:pPr>
          </w:p>
        </w:tc>
      </w:tr>
      <w:tr w:rsidR="00722E5C" w:rsidRPr="00D07677" w14:paraId="06320692" w14:textId="77777777" w:rsidTr="00440578">
        <w:trPr>
          <w:jc w:val="center"/>
        </w:trPr>
        <w:tc>
          <w:tcPr>
            <w:tcW w:w="1953" w:type="dxa"/>
            <w:vAlign w:val="center"/>
          </w:tcPr>
          <w:p w14:paraId="352FC7E8" w14:textId="77777777" w:rsidR="00722E5C" w:rsidRDefault="00722E5C" w:rsidP="00722E5C">
            <w:pPr>
              <w:tabs>
                <w:tab w:val="right" w:pos="1572"/>
              </w:tabs>
              <w:rPr>
                <w:b/>
                <w:sz w:val="20"/>
              </w:rPr>
            </w:pPr>
          </w:p>
          <w:p w14:paraId="0514EA79" w14:textId="77777777" w:rsidR="00722E5C" w:rsidRPr="00900252" w:rsidRDefault="00722E5C" w:rsidP="00722E5C">
            <w:pPr>
              <w:tabs>
                <w:tab w:val="right" w:pos="1572"/>
              </w:tabs>
              <w:rPr>
                <w:b/>
                <w:sz w:val="20"/>
              </w:rPr>
            </w:pPr>
            <w:r w:rsidRPr="00900252">
              <w:rPr>
                <w:b/>
                <w:sz w:val="20"/>
              </w:rPr>
              <w:t xml:space="preserve">26 wk Repeat %  </w:t>
            </w:r>
            <w:r w:rsidRPr="00900252">
              <w:rPr>
                <w:b/>
                <w:sz w:val="20"/>
              </w:rPr>
              <w:tab/>
            </w:r>
          </w:p>
          <w:p w14:paraId="0E73D99C" w14:textId="77777777" w:rsidR="00722E5C" w:rsidRPr="00D07677" w:rsidRDefault="00722E5C" w:rsidP="00722E5C">
            <w:pPr>
              <w:tabs>
                <w:tab w:val="right" w:pos="1572"/>
              </w:tabs>
              <w:jc w:val="right"/>
              <w:rPr>
                <w:sz w:val="20"/>
              </w:rPr>
            </w:pPr>
            <w:r w:rsidRPr="00D07677">
              <w:rPr>
                <w:sz w:val="20"/>
              </w:rPr>
              <w:t>O</w:t>
            </w:r>
          </w:p>
        </w:tc>
        <w:tc>
          <w:tcPr>
            <w:tcW w:w="1134" w:type="dxa"/>
            <w:vAlign w:val="bottom"/>
          </w:tcPr>
          <w:p w14:paraId="0D6FEB40" w14:textId="77777777" w:rsidR="00722E5C" w:rsidRPr="00D07677" w:rsidRDefault="00722E5C" w:rsidP="00722E5C">
            <w:pPr>
              <w:tabs>
                <w:tab w:val="decimal" w:pos="459"/>
              </w:tabs>
              <w:rPr>
                <w:rFonts w:ascii="Arial" w:hAnsi="Arial"/>
                <w:sz w:val="20"/>
              </w:rPr>
            </w:pPr>
            <w:r w:rsidRPr="00D07677">
              <w:rPr>
                <w:sz w:val="20"/>
              </w:rPr>
              <w:t>39</w:t>
            </w:r>
          </w:p>
        </w:tc>
        <w:tc>
          <w:tcPr>
            <w:tcW w:w="851" w:type="dxa"/>
            <w:vAlign w:val="bottom"/>
          </w:tcPr>
          <w:p w14:paraId="19A0A4DC" w14:textId="77777777" w:rsidR="00722E5C" w:rsidRPr="00D07677" w:rsidRDefault="00722E5C" w:rsidP="00722E5C">
            <w:pPr>
              <w:tabs>
                <w:tab w:val="decimal" w:pos="317"/>
              </w:tabs>
              <w:rPr>
                <w:rFonts w:ascii="Arial" w:hAnsi="Arial"/>
                <w:sz w:val="20"/>
              </w:rPr>
            </w:pPr>
            <w:r w:rsidRPr="00D07677">
              <w:rPr>
                <w:sz w:val="20"/>
              </w:rPr>
              <w:t>0</w:t>
            </w:r>
          </w:p>
        </w:tc>
        <w:tc>
          <w:tcPr>
            <w:tcW w:w="850" w:type="dxa"/>
            <w:vAlign w:val="bottom"/>
          </w:tcPr>
          <w:p w14:paraId="42E13EA6" w14:textId="77777777" w:rsidR="00722E5C" w:rsidRPr="00D07677" w:rsidRDefault="00722E5C" w:rsidP="00722E5C">
            <w:pPr>
              <w:jc w:val="center"/>
              <w:rPr>
                <w:rFonts w:ascii="Arial" w:hAnsi="Arial"/>
                <w:sz w:val="20"/>
              </w:rPr>
            </w:pPr>
            <w:r w:rsidRPr="00D07677">
              <w:rPr>
                <w:sz w:val="20"/>
              </w:rPr>
              <w:t>92</w:t>
            </w:r>
          </w:p>
        </w:tc>
        <w:tc>
          <w:tcPr>
            <w:tcW w:w="851" w:type="dxa"/>
            <w:vAlign w:val="bottom"/>
          </w:tcPr>
          <w:p w14:paraId="562D3F05" w14:textId="77777777" w:rsidR="00722E5C" w:rsidRPr="00D07677" w:rsidRDefault="00722E5C" w:rsidP="00722E5C">
            <w:pPr>
              <w:tabs>
                <w:tab w:val="decimal" w:pos="406"/>
              </w:tabs>
              <w:rPr>
                <w:rFonts w:ascii="Arial" w:hAnsi="Arial"/>
                <w:sz w:val="20"/>
              </w:rPr>
            </w:pPr>
            <w:r w:rsidRPr="00D07677">
              <w:rPr>
                <w:sz w:val="20"/>
              </w:rPr>
              <w:t>14</w:t>
            </w:r>
          </w:p>
        </w:tc>
        <w:tc>
          <w:tcPr>
            <w:tcW w:w="1313" w:type="dxa"/>
            <w:vAlign w:val="bottom"/>
          </w:tcPr>
          <w:p w14:paraId="20D77F0E" w14:textId="77777777" w:rsidR="00722E5C" w:rsidRPr="00D07677" w:rsidRDefault="00722E5C" w:rsidP="00722E5C">
            <w:pPr>
              <w:tabs>
                <w:tab w:val="decimal" w:pos="365"/>
              </w:tabs>
              <w:jc w:val="center"/>
              <w:rPr>
                <w:rFonts w:ascii="Arial" w:hAnsi="Arial"/>
                <w:sz w:val="20"/>
              </w:rPr>
            </w:pPr>
            <w:r w:rsidRPr="00D07677">
              <w:rPr>
                <w:sz w:val="20"/>
              </w:rPr>
              <w:t>0.70</w:t>
            </w:r>
          </w:p>
        </w:tc>
      </w:tr>
      <w:tr w:rsidR="00722E5C" w:rsidRPr="00D07677" w14:paraId="20C5838F" w14:textId="77777777" w:rsidTr="00440578">
        <w:trPr>
          <w:jc w:val="center"/>
        </w:trPr>
        <w:tc>
          <w:tcPr>
            <w:tcW w:w="1953" w:type="dxa"/>
            <w:vAlign w:val="center"/>
          </w:tcPr>
          <w:p w14:paraId="4832B148" w14:textId="77777777" w:rsidR="00722E5C" w:rsidRPr="00D07677" w:rsidRDefault="00722E5C" w:rsidP="00722E5C">
            <w:pPr>
              <w:jc w:val="right"/>
              <w:rPr>
                <w:b/>
                <w:sz w:val="20"/>
              </w:rPr>
            </w:pPr>
            <w:r w:rsidRPr="00D07677">
              <w:rPr>
                <w:b/>
                <w:sz w:val="20"/>
              </w:rPr>
              <w:t>T</w:t>
            </w:r>
          </w:p>
        </w:tc>
        <w:tc>
          <w:tcPr>
            <w:tcW w:w="1134" w:type="dxa"/>
            <w:vAlign w:val="bottom"/>
          </w:tcPr>
          <w:p w14:paraId="5BC7F15E" w14:textId="77777777" w:rsidR="00722E5C" w:rsidRPr="00D07677" w:rsidRDefault="00722E5C" w:rsidP="00722E5C">
            <w:pPr>
              <w:tabs>
                <w:tab w:val="decimal" w:pos="459"/>
              </w:tabs>
              <w:rPr>
                <w:rFonts w:ascii="Arial" w:hAnsi="Arial"/>
                <w:b/>
                <w:sz w:val="20"/>
              </w:rPr>
            </w:pPr>
            <w:r w:rsidRPr="00D07677">
              <w:rPr>
                <w:b/>
                <w:sz w:val="20"/>
              </w:rPr>
              <w:t>52</w:t>
            </w:r>
          </w:p>
        </w:tc>
        <w:tc>
          <w:tcPr>
            <w:tcW w:w="851" w:type="dxa"/>
            <w:vAlign w:val="bottom"/>
          </w:tcPr>
          <w:p w14:paraId="208397AA" w14:textId="77777777" w:rsidR="00722E5C" w:rsidRPr="00D07677" w:rsidRDefault="00722E5C" w:rsidP="00722E5C">
            <w:pPr>
              <w:tabs>
                <w:tab w:val="decimal" w:pos="317"/>
              </w:tabs>
              <w:rPr>
                <w:rFonts w:ascii="Arial" w:hAnsi="Arial"/>
                <w:b/>
                <w:sz w:val="20"/>
              </w:rPr>
            </w:pPr>
            <w:r w:rsidRPr="00D07677">
              <w:rPr>
                <w:b/>
                <w:sz w:val="20"/>
              </w:rPr>
              <w:t>18</w:t>
            </w:r>
          </w:p>
        </w:tc>
        <w:tc>
          <w:tcPr>
            <w:tcW w:w="850" w:type="dxa"/>
            <w:vAlign w:val="bottom"/>
          </w:tcPr>
          <w:p w14:paraId="735E198A" w14:textId="77777777" w:rsidR="00722E5C" w:rsidRPr="00D07677" w:rsidRDefault="00722E5C" w:rsidP="00722E5C">
            <w:pPr>
              <w:jc w:val="center"/>
              <w:rPr>
                <w:rFonts w:ascii="Arial" w:hAnsi="Arial"/>
                <w:b/>
                <w:sz w:val="20"/>
              </w:rPr>
            </w:pPr>
            <w:r w:rsidRPr="00D07677">
              <w:rPr>
                <w:b/>
                <w:sz w:val="20"/>
              </w:rPr>
              <w:t>93</w:t>
            </w:r>
          </w:p>
        </w:tc>
        <w:tc>
          <w:tcPr>
            <w:tcW w:w="851" w:type="dxa"/>
            <w:vAlign w:val="bottom"/>
          </w:tcPr>
          <w:p w14:paraId="7C06B997" w14:textId="77777777" w:rsidR="00722E5C" w:rsidRPr="00D07677" w:rsidRDefault="00722E5C" w:rsidP="00722E5C">
            <w:pPr>
              <w:tabs>
                <w:tab w:val="decimal" w:pos="406"/>
              </w:tabs>
              <w:rPr>
                <w:rFonts w:ascii="Arial" w:hAnsi="Arial"/>
                <w:b/>
                <w:sz w:val="20"/>
              </w:rPr>
            </w:pPr>
            <w:r w:rsidRPr="00D07677">
              <w:rPr>
                <w:b/>
                <w:sz w:val="20"/>
              </w:rPr>
              <w:t>11</w:t>
            </w:r>
          </w:p>
        </w:tc>
        <w:tc>
          <w:tcPr>
            <w:tcW w:w="1313" w:type="dxa"/>
            <w:vAlign w:val="bottom"/>
          </w:tcPr>
          <w:p w14:paraId="290ADCCE" w14:textId="77777777" w:rsidR="00722E5C" w:rsidRPr="00D07677" w:rsidRDefault="00722E5C" w:rsidP="00722E5C">
            <w:pPr>
              <w:tabs>
                <w:tab w:val="decimal" w:pos="365"/>
              </w:tabs>
              <w:jc w:val="center"/>
              <w:rPr>
                <w:rFonts w:ascii="Arial" w:hAnsi="Arial"/>
                <w:sz w:val="20"/>
              </w:rPr>
            </w:pPr>
          </w:p>
        </w:tc>
      </w:tr>
      <w:tr w:rsidR="00722E5C" w:rsidRPr="00D07677" w14:paraId="7A678295" w14:textId="77777777" w:rsidTr="00440578">
        <w:trPr>
          <w:jc w:val="center"/>
        </w:trPr>
        <w:tc>
          <w:tcPr>
            <w:tcW w:w="1953" w:type="dxa"/>
            <w:vAlign w:val="center"/>
          </w:tcPr>
          <w:p w14:paraId="5454CBAE" w14:textId="77777777" w:rsidR="00722E5C" w:rsidRPr="00D07677" w:rsidRDefault="00722E5C" w:rsidP="00722E5C">
            <w:pPr>
              <w:jc w:val="right"/>
              <w:rPr>
                <w:b/>
                <w:sz w:val="20"/>
              </w:rPr>
            </w:pPr>
            <w:r w:rsidRPr="00D07677">
              <w:rPr>
                <w:b/>
                <w:sz w:val="20"/>
              </w:rPr>
              <w:t>(</w:t>
            </w:r>
            <w:r w:rsidRPr="00D07677">
              <w:rPr>
                <w:sz w:val="20"/>
              </w:rPr>
              <w:t>O-</w:t>
            </w:r>
            <w:r w:rsidRPr="00D07677">
              <w:rPr>
                <w:b/>
                <w:sz w:val="20"/>
              </w:rPr>
              <w:t>T</w:t>
            </w:r>
            <w:r w:rsidRPr="00D07677">
              <w:rPr>
                <w:sz w:val="20"/>
              </w:rPr>
              <w:t>)/</w:t>
            </w:r>
            <w:r w:rsidRPr="00D07677">
              <w:rPr>
                <w:b/>
                <w:sz w:val="20"/>
              </w:rPr>
              <w:t>T %</w:t>
            </w:r>
          </w:p>
        </w:tc>
        <w:tc>
          <w:tcPr>
            <w:tcW w:w="1134" w:type="dxa"/>
            <w:vAlign w:val="bottom"/>
          </w:tcPr>
          <w:p w14:paraId="5416BE08" w14:textId="77777777" w:rsidR="00722E5C" w:rsidRPr="00D07677" w:rsidRDefault="00722E5C" w:rsidP="00722E5C">
            <w:pPr>
              <w:tabs>
                <w:tab w:val="decimal" w:pos="459"/>
              </w:tabs>
              <w:rPr>
                <w:rFonts w:ascii="Arial" w:hAnsi="Arial"/>
                <w:b/>
                <w:sz w:val="20"/>
              </w:rPr>
            </w:pPr>
            <w:r w:rsidRPr="00D07677">
              <w:rPr>
                <w:sz w:val="20"/>
                <w:szCs w:val="20"/>
              </w:rPr>
              <w:t>-26</w:t>
            </w:r>
          </w:p>
        </w:tc>
        <w:tc>
          <w:tcPr>
            <w:tcW w:w="851" w:type="dxa"/>
            <w:vAlign w:val="bottom"/>
          </w:tcPr>
          <w:p w14:paraId="0785215C" w14:textId="77777777" w:rsidR="00722E5C" w:rsidRPr="00D07677" w:rsidRDefault="00722E5C" w:rsidP="00722E5C">
            <w:pPr>
              <w:tabs>
                <w:tab w:val="decimal" w:pos="317"/>
              </w:tabs>
              <w:rPr>
                <w:rFonts w:ascii="Arial" w:hAnsi="Arial"/>
                <w:b/>
                <w:sz w:val="20"/>
              </w:rPr>
            </w:pPr>
          </w:p>
        </w:tc>
        <w:tc>
          <w:tcPr>
            <w:tcW w:w="850" w:type="dxa"/>
            <w:vAlign w:val="bottom"/>
          </w:tcPr>
          <w:p w14:paraId="195D81D8" w14:textId="77777777" w:rsidR="00722E5C" w:rsidRPr="00D07677" w:rsidRDefault="00722E5C" w:rsidP="00722E5C">
            <w:pPr>
              <w:jc w:val="center"/>
              <w:rPr>
                <w:rFonts w:ascii="Arial" w:hAnsi="Arial"/>
                <w:b/>
                <w:sz w:val="20"/>
              </w:rPr>
            </w:pPr>
          </w:p>
        </w:tc>
        <w:tc>
          <w:tcPr>
            <w:tcW w:w="851" w:type="dxa"/>
            <w:vAlign w:val="bottom"/>
          </w:tcPr>
          <w:p w14:paraId="334AF085" w14:textId="77777777" w:rsidR="00722E5C" w:rsidRPr="00D07677" w:rsidRDefault="00722E5C" w:rsidP="00722E5C">
            <w:pPr>
              <w:tabs>
                <w:tab w:val="decimal" w:pos="406"/>
              </w:tabs>
              <w:rPr>
                <w:rFonts w:ascii="Arial" w:hAnsi="Arial"/>
                <w:b/>
                <w:sz w:val="20"/>
              </w:rPr>
            </w:pPr>
          </w:p>
        </w:tc>
        <w:tc>
          <w:tcPr>
            <w:tcW w:w="1313" w:type="dxa"/>
            <w:vAlign w:val="bottom"/>
          </w:tcPr>
          <w:p w14:paraId="5CF9E8DE" w14:textId="77777777" w:rsidR="00722E5C" w:rsidRPr="00D07677" w:rsidRDefault="00722E5C" w:rsidP="00722E5C">
            <w:pPr>
              <w:tabs>
                <w:tab w:val="decimal" w:pos="365"/>
              </w:tabs>
              <w:jc w:val="center"/>
              <w:rPr>
                <w:rFonts w:ascii="Arial" w:hAnsi="Arial"/>
                <w:sz w:val="20"/>
              </w:rPr>
            </w:pPr>
          </w:p>
        </w:tc>
      </w:tr>
      <w:tr w:rsidR="00722E5C" w:rsidRPr="00D07677" w14:paraId="0459AC04" w14:textId="77777777" w:rsidTr="00440578">
        <w:trPr>
          <w:jc w:val="center"/>
        </w:trPr>
        <w:tc>
          <w:tcPr>
            <w:tcW w:w="1953" w:type="dxa"/>
            <w:vAlign w:val="center"/>
          </w:tcPr>
          <w:p w14:paraId="70098A95" w14:textId="77777777" w:rsidR="00722E5C" w:rsidRDefault="00722E5C" w:rsidP="00722E5C">
            <w:pPr>
              <w:tabs>
                <w:tab w:val="right" w:pos="1572"/>
              </w:tabs>
              <w:rPr>
                <w:b/>
                <w:sz w:val="20"/>
              </w:rPr>
            </w:pPr>
          </w:p>
          <w:p w14:paraId="39166B18" w14:textId="77777777" w:rsidR="00722E5C" w:rsidRDefault="00722E5C" w:rsidP="00722E5C">
            <w:pPr>
              <w:tabs>
                <w:tab w:val="right" w:pos="1572"/>
              </w:tabs>
              <w:rPr>
                <w:b/>
                <w:sz w:val="20"/>
              </w:rPr>
            </w:pPr>
            <w:r w:rsidRPr="00900252">
              <w:rPr>
                <w:b/>
                <w:sz w:val="20"/>
              </w:rPr>
              <w:t>100%-Loyal Pen</w:t>
            </w:r>
          </w:p>
          <w:p w14:paraId="2C174007" w14:textId="77777777" w:rsidR="00722E5C" w:rsidRPr="00D07677" w:rsidRDefault="00722E5C" w:rsidP="00722E5C">
            <w:pPr>
              <w:tabs>
                <w:tab w:val="right" w:pos="1572"/>
              </w:tabs>
              <w:jc w:val="right"/>
              <w:rPr>
                <w:sz w:val="20"/>
              </w:rPr>
            </w:pPr>
            <w:r w:rsidRPr="00900252">
              <w:rPr>
                <w:b/>
                <w:sz w:val="20"/>
              </w:rPr>
              <w:t xml:space="preserve">   </w:t>
            </w:r>
            <w:r w:rsidRPr="00900252">
              <w:rPr>
                <w:b/>
                <w:sz w:val="20"/>
              </w:rPr>
              <w:tab/>
            </w:r>
            <w:r>
              <w:rPr>
                <w:b/>
                <w:sz w:val="20"/>
              </w:rPr>
              <w:t xml:space="preserve"> </w:t>
            </w:r>
            <w:r w:rsidRPr="00D07677">
              <w:rPr>
                <w:sz w:val="20"/>
              </w:rPr>
              <w:t>O</w:t>
            </w:r>
          </w:p>
        </w:tc>
        <w:tc>
          <w:tcPr>
            <w:tcW w:w="1134" w:type="dxa"/>
            <w:vAlign w:val="center"/>
          </w:tcPr>
          <w:p w14:paraId="13000AE3" w14:textId="77777777" w:rsidR="00722E5C" w:rsidRDefault="00722E5C" w:rsidP="00722E5C">
            <w:pPr>
              <w:tabs>
                <w:tab w:val="decimal" w:pos="459"/>
              </w:tabs>
              <w:rPr>
                <w:sz w:val="20"/>
              </w:rPr>
            </w:pPr>
          </w:p>
          <w:p w14:paraId="03AE5EBD" w14:textId="77777777" w:rsidR="00722E5C" w:rsidRDefault="00722E5C" w:rsidP="00722E5C">
            <w:pPr>
              <w:tabs>
                <w:tab w:val="decimal" w:pos="459"/>
              </w:tabs>
              <w:rPr>
                <w:sz w:val="20"/>
              </w:rPr>
            </w:pPr>
          </w:p>
          <w:p w14:paraId="53753BF2" w14:textId="77777777" w:rsidR="00722E5C" w:rsidRPr="00D07677" w:rsidRDefault="00722E5C" w:rsidP="00722E5C">
            <w:pPr>
              <w:tabs>
                <w:tab w:val="decimal" w:pos="459"/>
              </w:tabs>
              <w:rPr>
                <w:sz w:val="20"/>
              </w:rPr>
            </w:pPr>
            <w:r w:rsidRPr="00D07677">
              <w:rPr>
                <w:sz w:val="20"/>
              </w:rPr>
              <w:t>24</w:t>
            </w:r>
          </w:p>
        </w:tc>
        <w:tc>
          <w:tcPr>
            <w:tcW w:w="851" w:type="dxa"/>
            <w:vAlign w:val="center"/>
          </w:tcPr>
          <w:p w14:paraId="53899119" w14:textId="77777777" w:rsidR="00722E5C" w:rsidRDefault="00722E5C" w:rsidP="00722E5C">
            <w:pPr>
              <w:tabs>
                <w:tab w:val="decimal" w:pos="317"/>
              </w:tabs>
              <w:rPr>
                <w:sz w:val="20"/>
              </w:rPr>
            </w:pPr>
          </w:p>
          <w:p w14:paraId="5F905248" w14:textId="77777777" w:rsidR="00722E5C" w:rsidRDefault="00722E5C" w:rsidP="00722E5C">
            <w:pPr>
              <w:tabs>
                <w:tab w:val="decimal" w:pos="317"/>
              </w:tabs>
              <w:rPr>
                <w:sz w:val="20"/>
              </w:rPr>
            </w:pPr>
          </w:p>
          <w:p w14:paraId="3EB18B11" w14:textId="77777777" w:rsidR="00722E5C" w:rsidRPr="00D07677" w:rsidRDefault="00722E5C" w:rsidP="00722E5C">
            <w:pPr>
              <w:tabs>
                <w:tab w:val="decimal" w:pos="317"/>
              </w:tabs>
              <w:rPr>
                <w:sz w:val="20"/>
              </w:rPr>
            </w:pPr>
            <w:r w:rsidRPr="00D07677">
              <w:rPr>
                <w:sz w:val="20"/>
              </w:rPr>
              <w:t>0</w:t>
            </w:r>
          </w:p>
        </w:tc>
        <w:tc>
          <w:tcPr>
            <w:tcW w:w="850" w:type="dxa"/>
            <w:vAlign w:val="center"/>
          </w:tcPr>
          <w:p w14:paraId="3C30EF21" w14:textId="77777777" w:rsidR="00722E5C" w:rsidRDefault="00722E5C" w:rsidP="00722E5C">
            <w:pPr>
              <w:tabs>
                <w:tab w:val="decimal" w:pos="318"/>
              </w:tabs>
              <w:rPr>
                <w:sz w:val="20"/>
              </w:rPr>
            </w:pPr>
          </w:p>
          <w:p w14:paraId="3C52AAAB" w14:textId="77777777" w:rsidR="00722E5C" w:rsidRDefault="00722E5C" w:rsidP="00722E5C">
            <w:pPr>
              <w:tabs>
                <w:tab w:val="decimal" w:pos="318"/>
              </w:tabs>
              <w:rPr>
                <w:sz w:val="20"/>
              </w:rPr>
            </w:pPr>
          </w:p>
          <w:p w14:paraId="4A6A2841" w14:textId="77777777" w:rsidR="00722E5C" w:rsidRPr="00D07677" w:rsidRDefault="00722E5C" w:rsidP="00722E5C">
            <w:pPr>
              <w:tabs>
                <w:tab w:val="decimal" w:pos="318"/>
              </w:tabs>
              <w:rPr>
                <w:sz w:val="20"/>
              </w:rPr>
            </w:pPr>
            <w:r w:rsidRPr="00D07677">
              <w:rPr>
                <w:sz w:val="20"/>
              </w:rPr>
              <w:t>100</w:t>
            </w:r>
          </w:p>
        </w:tc>
        <w:tc>
          <w:tcPr>
            <w:tcW w:w="851" w:type="dxa"/>
            <w:vAlign w:val="center"/>
          </w:tcPr>
          <w:p w14:paraId="6597200D" w14:textId="77777777" w:rsidR="00722E5C" w:rsidRDefault="00722E5C" w:rsidP="00722E5C">
            <w:pPr>
              <w:tabs>
                <w:tab w:val="decimal" w:pos="406"/>
              </w:tabs>
              <w:rPr>
                <w:sz w:val="20"/>
              </w:rPr>
            </w:pPr>
          </w:p>
          <w:p w14:paraId="71B575C6" w14:textId="77777777" w:rsidR="00722E5C" w:rsidRDefault="00722E5C" w:rsidP="00722E5C">
            <w:pPr>
              <w:tabs>
                <w:tab w:val="decimal" w:pos="406"/>
              </w:tabs>
              <w:rPr>
                <w:sz w:val="20"/>
              </w:rPr>
            </w:pPr>
          </w:p>
          <w:p w14:paraId="59743213" w14:textId="77777777" w:rsidR="00722E5C" w:rsidRPr="00D07677" w:rsidRDefault="00722E5C" w:rsidP="00722E5C">
            <w:pPr>
              <w:tabs>
                <w:tab w:val="decimal" w:pos="406"/>
              </w:tabs>
              <w:rPr>
                <w:sz w:val="20"/>
              </w:rPr>
            </w:pPr>
            <w:r w:rsidRPr="00D07677">
              <w:rPr>
                <w:sz w:val="20"/>
              </w:rPr>
              <w:t>14</w:t>
            </w:r>
          </w:p>
        </w:tc>
        <w:tc>
          <w:tcPr>
            <w:tcW w:w="1313" w:type="dxa"/>
            <w:vAlign w:val="center"/>
          </w:tcPr>
          <w:p w14:paraId="59B1FA90" w14:textId="77777777" w:rsidR="00722E5C" w:rsidRDefault="00722E5C" w:rsidP="00722E5C">
            <w:pPr>
              <w:tabs>
                <w:tab w:val="decimal" w:pos="365"/>
              </w:tabs>
              <w:jc w:val="center"/>
              <w:rPr>
                <w:sz w:val="20"/>
              </w:rPr>
            </w:pPr>
          </w:p>
          <w:p w14:paraId="1BE6433A" w14:textId="77777777" w:rsidR="00722E5C" w:rsidRDefault="00722E5C" w:rsidP="00722E5C">
            <w:pPr>
              <w:tabs>
                <w:tab w:val="decimal" w:pos="365"/>
              </w:tabs>
              <w:jc w:val="center"/>
              <w:rPr>
                <w:sz w:val="20"/>
              </w:rPr>
            </w:pPr>
          </w:p>
          <w:p w14:paraId="6BADC489" w14:textId="77777777" w:rsidR="00722E5C" w:rsidRPr="00D07677" w:rsidRDefault="00722E5C" w:rsidP="00722E5C">
            <w:pPr>
              <w:tabs>
                <w:tab w:val="decimal" w:pos="365"/>
              </w:tabs>
              <w:jc w:val="center"/>
              <w:rPr>
                <w:sz w:val="20"/>
              </w:rPr>
            </w:pPr>
            <w:r w:rsidRPr="00D07677">
              <w:rPr>
                <w:sz w:val="20"/>
              </w:rPr>
              <w:t>0.83</w:t>
            </w:r>
          </w:p>
        </w:tc>
      </w:tr>
      <w:tr w:rsidR="00722E5C" w:rsidRPr="00D07677" w14:paraId="532EBE42" w14:textId="77777777" w:rsidTr="00440578">
        <w:trPr>
          <w:jc w:val="center"/>
        </w:trPr>
        <w:tc>
          <w:tcPr>
            <w:tcW w:w="1953" w:type="dxa"/>
            <w:vAlign w:val="center"/>
          </w:tcPr>
          <w:p w14:paraId="7F28CCD2" w14:textId="77777777" w:rsidR="00722E5C" w:rsidRPr="00D07677" w:rsidRDefault="00722E5C" w:rsidP="00722E5C">
            <w:pPr>
              <w:jc w:val="right"/>
              <w:rPr>
                <w:b/>
                <w:sz w:val="20"/>
              </w:rPr>
            </w:pPr>
            <w:r w:rsidRPr="00D07677">
              <w:rPr>
                <w:b/>
                <w:sz w:val="20"/>
              </w:rPr>
              <w:t>T</w:t>
            </w:r>
          </w:p>
        </w:tc>
        <w:tc>
          <w:tcPr>
            <w:tcW w:w="1134" w:type="dxa"/>
            <w:vAlign w:val="center"/>
          </w:tcPr>
          <w:p w14:paraId="5B469D68" w14:textId="77777777" w:rsidR="00722E5C" w:rsidRPr="00D07677" w:rsidRDefault="00722E5C" w:rsidP="00722E5C">
            <w:pPr>
              <w:tabs>
                <w:tab w:val="decimal" w:pos="459"/>
              </w:tabs>
              <w:rPr>
                <w:b/>
                <w:sz w:val="20"/>
              </w:rPr>
            </w:pPr>
            <w:r w:rsidRPr="00D07677">
              <w:rPr>
                <w:b/>
                <w:sz w:val="20"/>
              </w:rPr>
              <w:t>21</w:t>
            </w:r>
          </w:p>
        </w:tc>
        <w:tc>
          <w:tcPr>
            <w:tcW w:w="851" w:type="dxa"/>
            <w:vAlign w:val="center"/>
          </w:tcPr>
          <w:p w14:paraId="3F118835" w14:textId="77777777" w:rsidR="00722E5C" w:rsidRPr="00D07677" w:rsidRDefault="00722E5C" w:rsidP="00722E5C">
            <w:pPr>
              <w:tabs>
                <w:tab w:val="decimal" w:pos="317"/>
              </w:tabs>
              <w:rPr>
                <w:b/>
                <w:sz w:val="20"/>
              </w:rPr>
            </w:pPr>
            <w:r w:rsidRPr="00D07677">
              <w:rPr>
                <w:b/>
                <w:sz w:val="20"/>
              </w:rPr>
              <w:t>0</w:t>
            </w:r>
          </w:p>
        </w:tc>
        <w:tc>
          <w:tcPr>
            <w:tcW w:w="850" w:type="dxa"/>
            <w:vAlign w:val="center"/>
          </w:tcPr>
          <w:p w14:paraId="1EA32289" w14:textId="77777777" w:rsidR="00722E5C" w:rsidRPr="00D07677" w:rsidRDefault="00722E5C" w:rsidP="00722E5C">
            <w:pPr>
              <w:tabs>
                <w:tab w:val="decimal" w:pos="318"/>
              </w:tabs>
              <w:rPr>
                <w:b/>
                <w:sz w:val="20"/>
              </w:rPr>
            </w:pPr>
            <w:r w:rsidRPr="00D07677">
              <w:rPr>
                <w:b/>
                <w:sz w:val="20"/>
              </w:rPr>
              <w:t>69</w:t>
            </w:r>
          </w:p>
        </w:tc>
        <w:tc>
          <w:tcPr>
            <w:tcW w:w="851" w:type="dxa"/>
            <w:vAlign w:val="center"/>
          </w:tcPr>
          <w:p w14:paraId="7370ADF8" w14:textId="77777777" w:rsidR="00722E5C" w:rsidRPr="00D07677" w:rsidRDefault="00722E5C" w:rsidP="00722E5C">
            <w:pPr>
              <w:tabs>
                <w:tab w:val="decimal" w:pos="406"/>
              </w:tabs>
              <w:rPr>
                <w:b/>
                <w:sz w:val="20"/>
              </w:rPr>
            </w:pPr>
            <w:r w:rsidRPr="00D07677">
              <w:rPr>
                <w:b/>
                <w:sz w:val="20"/>
              </w:rPr>
              <w:t>12</w:t>
            </w:r>
          </w:p>
        </w:tc>
        <w:tc>
          <w:tcPr>
            <w:tcW w:w="1313" w:type="dxa"/>
            <w:vAlign w:val="center"/>
          </w:tcPr>
          <w:p w14:paraId="44CEF8E2" w14:textId="77777777" w:rsidR="00722E5C" w:rsidRPr="00D07677" w:rsidRDefault="00722E5C" w:rsidP="00722E5C">
            <w:pPr>
              <w:tabs>
                <w:tab w:val="decimal" w:pos="365"/>
              </w:tabs>
              <w:jc w:val="center"/>
              <w:rPr>
                <w:b/>
                <w:sz w:val="20"/>
              </w:rPr>
            </w:pPr>
          </w:p>
        </w:tc>
      </w:tr>
      <w:tr w:rsidR="00722E5C" w:rsidRPr="00D07677" w14:paraId="7DFF3152" w14:textId="77777777" w:rsidTr="00440578">
        <w:trPr>
          <w:jc w:val="center"/>
        </w:trPr>
        <w:tc>
          <w:tcPr>
            <w:tcW w:w="1953" w:type="dxa"/>
            <w:vAlign w:val="center"/>
          </w:tcPr>
          <w:p w14:paraId="4345C0BE" w14:textId="77777777" w:rsidR="00722E5C" w:rsidRPr="00D07677" w:rsidRDefault="00722E5C" w:rsidP="00722E5C">
            <w:pPr>
              <w:jc w:val="right"/>
              <w:rPr>
                <w:b/>
                <w:sz w:val="20"/>
              </w:rPr>
            </w:pPr>
            <w:r w:rsidRPr="00D07677">
              <w:rPr>
                <w:b/>
                <w:sz w:val="20"/>
              </w:rPr>
              <w:t>(</w:t>
            </w:r>
            <w:r w:rsidRPr="00D07677">
              <w:rPr>
                <w:sz w:val="20"/>
              </w:rPr>
              <w:t>O-</w:t>
            </w:r>
            <w:r w:rsidRPr="00D07677">
              <w:rPr>
                <w:b/>
                <w:sz w:val="20"/>
              </w:rPr>
              <w:t>T</w:t>
            </w:r>
            <w:r w:rsidRPr="00D07677">
              <w:rPr>
                <w:sz w:val="20"/>
              </w:rPr>
              <w:t>)/</w:t>
            </w:r>
            <w:r w:rsidRPr="00D07677">
              <w:rPr>
                <w:b/>
                <w:sz w:val="20"/>
              </w:rPr>
              <w:t>T %</w:t>
            </w:r>
          </w:p>
        </w:tc>
        <w:tc>
          <w:tcPr>
            <w:tcW w:w="1134" w:type="dxa"/>
            <w:vAlign w:val="center"/>
          </w:tcPr>
          <w:p w14:paraId="66001FE6" w14:textId="77777777" w:rsidR="00722E5C" w:rsidRPr="00D07677" w:rsidRDefault="00722E5C" w:rsidP="00722E5C">
            <w:pPr>
              <w:tabs>
                <w:tab w:val="decimal" w:pos="459"/>
              </w:tabs>
              <w:rPr>
                <w:b/>
                <w:sz w:val="20"/>
              </w:rPr>
            </w:pPr>
            <w:r w:rsidRPr="00D07677">
              <w:rPr>
                <w:sz w:val="20"/>
                <w:szCs w:val="20"/>
              </w:rPr>
              <w:t>19</w:t>
            </w:r>
          </w:p>
        </w:tc>
        <w:tc>
          <w:tcPr>
            <w:tcW w:w="851" w:type="dxa"/>
            <w:vAlign w:val="center"/>
          </w:tcPr>
          <w:p w14:paraId="2DD4A375" w14:textId="77777777" w:rsidR="00722E5C" w:rsidRPr="00D07677" w:rsidRDefault="00722E5C" w:rsidP="00722E5C">
            <w:pPr>
              <w:tabs>
                <w:tab w:val="decimal" w:pos="317"/>
              </w:tabs>
              <w:rPr>
                <w:b/>
                <w:sz w:val="20"/>
              </w:rPr>
            </w:pPr>
          </w:p>
        </w:tc>
        <w:tc>
          <w:tcPr>
            <w:tcW w:w="850" w:type="dxa"/>
            <w:vAlign w:val="center"/>
          </w:tcPr>
          <w:p w14:paraId="518F7E5E" w14:textId="77777777" w:rsidR="00722E5C" w:rsidRPr="00D07677" w:rsidRDefault="00722E5C" w:rsidP="00722E5C">
            <w:pPr>
              <w:tabs>
                <w:tab w:val="decimal" w:pos="318"/>
              </w:tabs>
              <w:rPr>
                <w:b/>
                <w:sz w:val="20"/>
              </w:rPr>
            </w:pPr>
          </w:p>
        </w:tc>
        <w:tc>
          <w:tcPr>
            <w:tcW w:w="851" w:type="dxa"/>
            <w:vAlign w:val="center"/>
          </w:tcPr>
          <w:p w14:paraId="08EFC534" w14:textId="77777777" w:rsidR="00722E5C" w:rsidRPr="00D07677" w:rsidRDefault="00722E5C" w:rsidP="00722E5C">
            <w:pPr>
              <w:tabs>
                <w:tab w:val="decimal" w:pos="406"/>
              </w:tabs>
              <w:rPr>
                <w:b/>
                <w:sz w:val="20"/>
              </w:rPr>
            </w:pPr>
          </w:p>
        </w:tc>
        <w:tc>
          <w:tcPr>
            <w:tcW w:w="1313" w:type="dxa"/>
            <w:vAlign w:val="center"/>
          </w:tcPr>
          <w:p w14:paraId="716D0253" w14:textId="77777777" w:rsidR="00722E5C" w:rsidRPr="00D07677" w:rsidRDefault="00722E5C" w:rsidP="00722E5C">
            <w:pPr>
              <w:tabs>
                <w:tab w:val="decimal" w:pos="365"/>
              </w:tabs>
              <w:jc w:val="center"/>
              <w:rPr>
                <w:b/>
                <w:sz w:val="20"/>
              </w:rPr>
            </w:pPr>
          </w:p>
        </w:tc>
      </w:tr>
      <w:tr w:rsidR="00722E5C" w:rsidRPr="00D07677" w14:paraId="425D2ABB" w14:textId="77777777" w:rsidTr="00440578">
        <w:trPr>
          <w:jc w:val="center"/>
        </w:trPr>
        <w:tc>
          <w:tcPr>
            <w:tcW w:w="1953" w:type="dxa"/>
            <w:vAlign w:val="center"/>
          </w:tcPr>
          <w:p w14:paraId="42140AB4" w14:textId="77777777" w:rsidR="00722E5C" w:rsidRDefault="00722E5C" w:rsidP="00722E5C">
            <w:pPr>
              <w:tabs>
                <w:tab w:val="right" w:pos="1572"/>
              </w:tabs>
              <w:rPr>
                <w:b/>
                <w:sz w:val="20"/>
              </w:rPr>
            </w:pPr>
          </w:p>
          <w:p w14:paraId="15EB753C" w14:textId="77777777" w:rsidR="00722E5C" w:rsidRPr="00900252" w:rsidRDefault="00722E5C" w:rsidP="00722E5C">
            <w:pPr>
              <w:tabs>
                <w:tab w:val="right" w:pos="1572"/>
              </w:tabs>
              <w:rPr>
                <w:b/>
                <w:sz w:val="20"/>
              </w:rPr>
            </w:pPr>
            <w:r w:rsidRPr="00900252">
              <w:rPr>
                <w:b/>
                <w:sz w:val="20"/>
              </w:rPr>
              <w:t>100%-Loyal Freq</w:t>
            </w:r>
            <w:r w:rsidRPr="00900252">
              <w:rPr>
                <w:b/>
                <w:sz w:val="20"/>
              </w:rPr>
              <w:tab/>
            </w:r>
          </w:p>
          <w:p w14:paraId="04FD2A1C" w14:textId="77777777" w:rsidR="00722E5C" w:rsidRPr="00D07677" w:rsidRDefault="00722E5C" w:rsidP="00722E5C">
            <w:pPr>
              <w:tabs>
                <w:tab w:val="right" w:pos="1572"/>
              </w:tabs>
              <w:jc w:val="right"/>
              <w:rPr>
                <w:sz w:val="20"/>
              </w:rPr>
            </w:pPr>
            <w:r w:rsidRPr="00D07677">
              <w:rPr>
                <w:sz w:val="20"/>
              </w:rPr>
              <w:t>O</w:t>
            </w:r>
          </w:p>
        </w:tc>
        <w:tc>
          <w:tcPr>
            <w:tcW w:w="1134" w:type="dxa"/>
            <w:vAlign w:val="bottom"/>
          </w:tcPr>
          <w:p w14:paraId="7F452732" w14:textId="77777777" w:rsidR="00722E5C" w:rsidRPr="00D07677" w:rsidRDefault="00722E5C" w:rsidP="00722E5C">
            <w:pPr>
              <w:tabs>
                <w:tab w:val="decimal" w:pos="459"/>
              </w:tabs>
              <w:rPr>
                <w:rFonts w:ascii="Arial" w:hAnsi="Arial"/>
                <w:sz w:val="20"/>
              </w:rPr>
            </w:pPr>
            <w:r w:rsidRPr="00D07677">
              <w:rPr>
                <w:sz w:val="20"/>
              </w:rPr>
              <w:t>3.3</w:t>
            </w:r>
          </w:p>
        </w:tc>
        <w:tc>
          <w:tcPr>
            <w:tcW w:w="851" w:type="dxa"/>
            <w:vAlign w:val="center"/>
          </w:tcPr>
          <w:p w14:paraId="1AFD9DC1" w14:textId="77777777" w:rsidR="00722E5C" w:rsidRDefault="00722E5C" w:rsidP="00722E5C">
            <w:pPr>
              <w:tabs>
                <w:tab w:val="decimal" w:pos="317"/>
              </w:tabs>
              <w:rPr>
                <w:sz w:val="20"/>
              </w:rPr>
            </w:pPr>
          </w:p>
          <w:p w14:paraId="0E99C0DE" w14:textId="77777777" w:rsidR="00722E5C" w:rsidRDefault="00722E5C" w:rsidP="00722E5C">
            <w:pPr>
              <w:tabs>
                <w:tab w:val="decimal" w:pos="317"/>
              </w:tabs>
              <w:rPr>
                <w:sz w:val="20"/>
              </w:rPr>
            </w:pPr>
          </w:p>
          <w:p w14:paraId="3B88D0A0" w14:textId="77777777" w:rsidR="00722E5C" w:rsidRPr="00D07677" w:rsidRDefault="00722E5C" w:rsidP="00722E5C">
            <w:pPr>
              <w:tabs>
                <w:tab w:val="decimal" w:pos="317"/>
              </w:tabs>
              <w:rPr>
                <w:sz w:val="20"/>
              </w:rPr>
            </w:pPr>
            <w:r w:rsidRPr="00D07677">
              <w:rPr>
                <w:sz w:val="20"/>
              </w:rPr>
              <w:t>0</w:t>
            </w:r>
          </w:p>
        </w:tc>
        <w:tc>
          <w:tcPr>
            <w:tcW w:w="850" w:type="dxa"/>
            <w:vAlign w:val="center"/>
          </w:tcPr>
          <w:p w14:paraId="0AB86B03" w14:textId="77777777" w:rsidR="00722E5C" w:rsidRDefault="00722E5C" w:rsidP="00722E5C">
            <w:pPr>
              <w:tabs>
                <w:tab w:val="decimal" w:pos="318"/>
              </w:tabs>
              <w:rPr>
                <w:sz w:val="20"/>
              </w:rPr>
            </w:pPr>
          </w:p>
          <w:p w14:paraId="5FEE003E" w14:textId="77777777" w:rsidR="00722E5C" w:rsidRDefault="00722E5C" w:rsidP="00722E5C">
            <w:pPr>
              <w:tabs>
                <w:tab w:val="decimal" w:pos="318"/>
              </w:tabs>
              <w:rPr>
                <w:sz w:val="20"/>
              </w:rPr>
            </w:pPr>
          </w:p>
          <w:p w14:paraId="488C4688" w14:textId="77777777" w:rsidR="00722E5C" w:rsidRPr="00D07677" w:rsidRDefault="00722E5C" w:rsidP="00722E5C">
            <w:pPr>
              <w:tabs>
                <w:tab w:val="decimal" w:pos="318"/>
              </w:tabs>
              <w:rPr>
                <w:sz w:val="20"/>
              </w:rPr>
            </w:pPr>
            <w:r w:rsidRPr="00D07677">
              <w:rPr>
                <w:sz w:val="20"/>
              </w:rPr>
              <w:t>42</w:t>
            </w:r>
          </w:p>
        </w:tc>
        <w:tc>
          <w:tcPr>
            <w:tcW w:w="851" w:type="dxa"/>
            <w:vAlign w:val="center"/>
          </w:tcPr>
          <w:p w14:paraId="487A9A7C" w14:textId="77777777" w:rsidR="00722E5C" w:rsidRDefault="00722E5C" w:rsidP="00722E5C">
            <w:pPr>
              <w:tabs>
                <w:tab w:val="decimal" w:pos="406"/>
              </w:tabs>
              <w:rPr>
                <w:sz w:val="20"/>
              </w:rPr>
            </w:pPr>
          </w:p>
          <w:p w14:paraId="2285610A" w14:textId="77777777" w:rsidR="00722E5C" w:rsidRDefault="00722E5C" w:rsidP="00722E5C">
            <w:pPr>
              <w:tabs>
                <w:tab w:val="decimal" w:pos="406"/>
              </w:tabs>
              <w:rPr>
                <w:sz w:val="20"/>
              </w:rPr>
            </w:pPr>
          </w:p>
          <w:p w14:paraId="71E875E0" w14:textId="77777777" w:rsidR="00722E5C" w:rsidRPr="00D07677" w:rsidRDefault="00722E5C" w:rsidP="00722E5C">
            <w:pPr>
              <w:tabs>
                <w:tab w:val="decimal" w:pos="406"/>
              </w:tabs>
              <w:rPr>
                <w:sz w:val="20"/>
              </w:rPr>
            </w:pPr>
            <w:r w:rsidRPr="00D07677">
              <w:rPr>
                <w:sz w:val="20"/>
              </w:rPr>
              <w:t>2</w:t>
            </w:r>
          </w:p>
        </w:tc>
        <w:tc>
          <w:tcPr>
            <w:tcW w:w="1313" w:type="dxa"/>
            <w:vAlign w:val="center"/>
          </w:tcPr>
          <w:p w14:paraId="7DFF09E2" w14:textId="77777777" w:rsidR="00722E5C" w:rsidRDefault="00722E5C" w:rsidP="00722E5C">
            <w:pPr>
              <w:tabs>
                <w:tab w:val="decimal" w:pos="365"/>
              </w:tabs>
              <w:jc w:val="center"/>
              <w:rPr>
                <w:sz w:val="20"/>
              </w:rPr>
            </w:pPr>
          </w:p>
          <w:p w14:paraId="3C2B1884" w14:textId="77777777" w:rsidR="00722E5C" w:rsidRDefault="00722E5C" w:rsidP="00722E5C">
            <w:pPr>
              <w:tabs>
                <w:tab w:val="decimal" w:pos="365"/>
              </w:tabs>
              <w:jc w:val="center"/>
              <w:rPr>
                <w:sz w:val="20"/>
              </w:rPr>
            </w:pPr>
          </w:p>
          <w:p w14:paraId="5C584BB4" w14:textId="77777777" w:rsidR="00722E5C" w:rsidRPr="00D07677" w:rsidRDefault="00722E5C" w:rsidP="00722E5C">
            <w:pPr>
              <w:tabs>
                <w:tab w:val="decimal" w:pos="365"/>
              </w:tabs>
              <w:jc w:val="center"/>
              <w:rPr>
                <w:sz w:val="20"/>
              </w:rPr>
            </w:pPr>
            <w:r w:rsidRPr="00D07677">
              <w:rPr>
                <w:sz w:val="20"/>
              </w:rPr>
              <w:t>0.20</w:t>
            </w:r>
          </w:p>
        </w:tc>
      </w:tr>
      <w:tr w:rsidR="00722E5C" w:rsidRPr="00D07677" w14:paraId="75B8C319" w14:textId="77777777" w:rsidTr="00440578">
        <w:trPr>
          <w:jc w:val="center"/>
        </w:trPr>
        <w:tc>
          <w:tcPr>
            <w:tcW w:w="1953" w:type="dxa"/>
            <w:vAlign w:val="center"/>
          </w:tcPr>
          <w:p w14:paraId="0B3D28D2" w14:textId="77777777" w:rsidR="00722E5C" w:rsidRPr="00D07677" w:rsidRDefault="00722E5C" w:rsidP="00722E5C">
            <w:pPr>
              <w:jc w:val="right"/>
              <w:rPr>
                <w:b/>
                <w:sz w:val="20"/>
              </w:rPr>
            </w:pPr>
            <w:r w:rsidRPr="00D07677">
              <w:rPr>
                <w:b/>
                <w:sz w:val="20"/>
              </w:rPr>
              <w:t>T</w:t>
            </w:r>
          </w:p>
        </w:tc>
        <w:tc>
          <w:tcPr>
            <w:tcW w:w="1134" w:type="dxa"/>
            <w:vAlign w:val="bottom"/>
          </w:tcPr>
          <w:p w14:paraId="4453AE72" w14:textId="77777777" w:rsidR="00722E5C" w:rsidRPr="00D07677" w:rsidRDefault="00722E5C" w:rsidP="00722E5C">
            <w:pPr>
              <w:tabs>
                <w:tab w:val="decimal" w:pos="459"/>
              </w:tabs>
              <w:rPr>
                <w:rFonts w:ascii="Arial" w:hAnsi="Arial"/>
                <w:b/>
                <w:sz w:val="20"/>
              </w:rPr>
            </w:pPr>
            <w:r w:rsidRPr="00D07677">
              <w:rPr>
                <w:b/>
                <w:sz w:val="20"/>
              </w:rPr>
              <w:t>1.9</w:t>
            </w:r>
          </w:p>
        </w:tc>
        <w:tc>
          <w:tcPr>
            <w:tcW w:w="851" w:type="dxa"/>
            <w:vAlign w:val="center"/>
          </w:tcPr>
          <w:p w14:paraId="5958210E" w14:textId="77777777" w:rsidR="00722E5C" w:rsidRPr="00D07677" w:rsidRDefault="00722E5C" w:rsidP="00722E5C">
            <w:pPr>
              <w:tabs>
                <w:tab w:val="decimal" w:pos="317"/>
              </w:tabs>
              <w:rPr>
                <w:b/>
                <w:sz w:val="20"/>
              </w:rPr>
            </w:pPr>
            <w:r w:rsidRPr="00D07677">
              <w:rPr>
                <w:b/>
                <w:sz w:val="20"/>
              </w:rPr>
              <w:t>1</w:t>
            </w:r>
          </w:p>
        </w:tc>
        <w:tc>
          <w:tcPr>
            <w:tcW w:w="850" w:type="dxa"/>
            <w:vAlign w:val="center"/>
          </w:tcPr>
          <w:p w14:paraId="24F90788" w14:textId="77777777" w:rsidR="00722E5C" w:rsidRPr="00D07677" w:rsidRDefault="00722E5C" w:rsidP="00722E5C">
            <w:pPr>
              <w:tabs>
                <w:tab w:val="decimal" w:pos="318"/>
              </w:tabs>
              <w:rPr>
                <w:b/>
                <w:sz w:val="20"/>
              </w:rPr>
            </w:pPr>
            <w:r w:rsidRPr="00D07677">
              <w:rPr>
                <w:b/>
                <w:sz w:val="20"/>
              </w:rPr>
              <w:t>9</w:t>
            </w:r>
          </w:p>
        </w:tc>
        <w:tc>
          <w:tcPr>
            <w:tcW w:w="851" w:type="dxa"/>
            <w:vAlign w:val="center"/>
          </w:tcPr>
          <w:p w14:paraId="00A2A009" w14:textId="77777777" w:rsidR="00722E5C" w:rsidRPr="00D07677" w:rsidRDefault="00722E5C" w:rsidP="00722E5C">
            <w:pPr>
              <w:tabs>
                <w:tab w:val="decimal" w:pos="406"/>
              </w:tabs>
              <w:rPr>
                <w:b/>
                <w:sz w:val="20"/>
              </w:rPr>
            </w:pPr>
            <w:r w:rsidRPr="00D07677">
              <w:rPr>
                <w:b/>
                <w:sz w:val="20"/>
              </w:rPr>
              <w:t>0</w:t>
            </w:r>
          </w:p>
        </w:tc>
        <w:tc>
          <w:tcPr>
            <w:tcW w:w="1313" w:type="dxa"/>
            <w:vAlign w:val="center"/>
          </w:tcPr>
          <w:p w14:paraId="79E23283" w14:textId="77777777" w:rsidR="00722E5C" w:rsidRPr="00D07677" w:rsidRDefault="00722E5C" w:rsidP="00722E5C">
            <w:pPr>
              <w:tabs>
                <w:tab w:val="decimal" w:pos="365"/>
              </w:tabs>
              <w:jc w:val="center"/>
              <w:rPr>
                <w:b/>
                <w:sz w:val="20"/>
              </w:rPr>
            </w:pPr>
          </w:p>
        </w:tc>
      </w:tr>
      <w:tr w:rsidR="00722E5C" w:rsidRPr="00D07677" w14:paraId="3C58C9D3" w14:textId="77777777" w:rsidTr="00440578">
        <w:trPr>
          <w:jc w:val="center"/>
        </w:trPr>
        <w:tc>
          <w:tcPr>
            <w:tcW w:w="1953" w:type="dxa"/>
            <w:vAlign w:val="center"/>
          </w:tcPr>
          <w:p w14:paraId="4C219709" w14:textId="77777777" w:rsidR="00722E5C" w:rsidRPr="00D07677" w:rsidRDefault="00722E5C" w:rsidP="00722E5C">
            <w:pPr>
              <w:jc w:val="right"/>
              <w:rPr>
                <w:b/>
                <w:sz w:val="20"/>
              </w:rPr>
            </w:pPr>
            <w:r w:rsidRPr="00D07677">
              <w:rPr>
                <w:b/>
                <w:sz w:val="20"/>
              </w:rPr>
              <w:t>(</w:t>
            </w:r>
            <w:r w:rsidRPr="00D07677">
              <w:rPr>
                <w:sz w:val="20"/>
              </w:rPr>
              <w:t>O-</w:t>
            </w:r>
            <w:r w:rsidRPr="00D07677">
              <w:rPr>
                <w:b/>
                <w:sz w:val="20"/>
              </w:rPr>
              <w:t>T</w:t>
            </w:r>
            <w:r w:rsidRPr="00D07677">
              <w:rPr>
                <w:sz w:val="20"/>
              </w:rPr>
              <w:t>)/</w:t>
            </w:r>
            <w:r w:rsidRPr="00D07677">
              <w:rPr>
                <w:b/>
                <w:sz w:val="20"/>
              </w:rPr>
              <w:t>T %</w:t>
            </w:r>
          </w:p>
        </w:tc>
        <w:tc>
          <w:tcPr>
            <w:tcW w:w="1134" w:type="dxa"/>
            <w:vAlign w:val="bottom"/>
          </w:tcPr>
          <w:p w14:paraId="3FABFEF9" w14:textId="77777777" w:rsidR="00722E5C" w:rsidRPr="000463FF" w:rsidRDefault="00722E5C" w:rsidP="00722E5C">
            <w:pPr>
              <w:tabs>
                <w:tab w:val="decimal" w:pos="459"/>
              </w:tabs>
              <w:rPr>
                <w:sz w:val="20"/>
                <w:szCs w:val="20"/>
              </w:rPr>
            </w:pPr>
            <w:r w:rsidRPr="00D07677">
              <w:rPr>
                <w:sz w:val="20"/>
                <w:szCs w:val="20"/>
              </w:rPr>
              <w:t>83</w:t>
            </w:r>
          </w:p>
        </w:tc>
        <w:tc>
          <w:tcPr>
            <w:tcW w:w="851" w:type="dxa"/>
            <w:vAlign w:val="center"/>
          </w:tcPr>
          <w:p w14:paraId="446173F8" w14:textId="77777777" w:rsidR="00722E5C" w:rsidRPr="00D07677" w:rsidRDefault="00722E5C" w:rsidP="00722E5C">
            <w:pPr>
              <w:tabs>
                <w:tab w:val="decimal" w:pos="317"/>
              </w:tabs>
              <w:rPr>
                <w:b/>
                <w:sz w:val="20"/>
              </w:rPr>
            </w:pPr>
          </w:p>
        </w:tc>
        <w:tc>
          <w:tcPr>
            <w:tcW w:w="850" w:type="dxa"/>
            <w:vAlign w:val="center"/>
          </w:tcPr>
          <w:p w14:paraId="69AABEF1" w14:textId="77777777" w:rsidR="00722E5C" w:rsidRPr="00D07677" w:rsidRDefault="00722E5C" w:rsidP="00722E5C">
            <w:pPr>
              <w:tabs>
                <w:tab w:val="decimal" w:pos="318"/>
              </w:tabs>
              <w:rPr>
                <w:b/>
                <w:sz w:val="20"/>
              </w:rPr>
            </w:pPr>
          </w:p>
        </w:tc>
        <w:tc>
          <w:tcPr>
            <w:tcW w:w="851" w:type="dxa"/>
            <w:vAlign w:val="center"/>
          </w:tcPr>
          <w:p w14:paraId="566C1930" w14:textId="77777777" w:rsidR="00722E5C" w:rsidRPr="00D07677" w:rsidRDefault="00722E5C" w:rsidP="00722E5C">
            <w:pPr>
              <w:tabs>
                <w:tab w:val="decimal" w:pos="406"/>
              </w:tabs>
              <w:rPr>
                <w:b/>
                <w:sz w:val="20"/>
              </w:rPr>
            </w:pPr>
          </w:p>
        </w:tc>
        <w:tc>
          <w:tcPr>
            <w:tcW w:w="1313" w:type="dxa"/>
            <w:vAlign w:val="center"/>
          </w:tcPr>
          <w:p w14:paraId="0C0F2706" w14:textId="77777777" w:rsidR="00722E5C" w:rsidRPr="00D07677" w:rsidRDefault="00722E5C" w:rsidP="00722E5C">
            <w:pPr>
              <w:tabs>
                <w:tab w:val="decimal" w:pos="365"/>
              </w:tabs>
              <w:rPr>
                <w:b/>
                <w:sz w:val="20"/>
              </w:rPr>
            </w:pPr>
          </w:p>
        </w:tc>
      </w:tr>
      <w:tr w:rsidR="00722E5C" w:rsidRPr="00D07677" w14:paraId="2C6E1316" w14:textId="77777777" w:rsidTr="00440578">
        <w:trPr>
          <w:jc w:val="center"/>
        </w:trPr>
        <w:tc>
          <w:tcPr>
            <w:tcW w:w="1953" w:type="dxa"/>
            <w:vAlign w:val="center"/>
          </w:tcPr>
          <w:p w14:paraId="354389C8" w14:textId="77777777" w:rsidR="00722E5C" w:rsidRPr="00D07677" w:rsidRDefault="00722E5C" w:rsidP="00722E5C">
            <w:pPr>
              <w:jc w:val="right"/>
              <w:rPr>
                <w:b/>
                <w:sz w:val="20"/>
              </w:rPr>
            </w:pPr>
          </w:p>
        </w:tc>
        <w:tc>
          <w:tcPr>
            <w:tcW w:w="1134" w:type="dxa"/>
            <w:vAlign w:val="bottom"/>
          </w:tcPr>
          <w:p w14:paraId="7B09873C" w14:textId="77777777" w:rsidR="00722E5C" w:rsidRPr="00D07677" w:rsidRDefault="00722E5C" w:rsidP="00722E5C">
            <w:pPr>
              <w:tabs>
                <w:tab w:val="decimal" w:pos="459"/>
              </w:tabs>
              <w:rPr>
                <w:sz w:val="20"/>
                <w:szCs w:val="20"/>
              </w:rPr>
            </w:pPr>
          </w:p>
        </w:tc>
        <w:tc>
          <w:tcPr>
            <w:tcW w:w="851" w:type="dxa"/>
            <w:vAlign w:val="center"/>
          </w:tcPr>
          <w:p w14:paraId="3795F0E0" w14:textId="77777777" w:rsidR="00722E5C" w:rsidRPr="00D07677" w:rsidRDefault="00722E5C" w:rsidP="00722E5C">
            <w:pPr>
              <w:tabs>
                <w:tab w:val="decimal" w:pos="317"/>
              </w:tabs>
              <w:rPr>
                <w:b/>
                <w:sz w:val="20"/>
              </w:rPr>
            </w:pPr>
          </w:p>
        </w:tc>
        <w:tc>
          <w:tcPr>
            <w:tcW w:w="850" w:type="dxa"/>
            <w:vAlign w:val="center"/>
          </w:tcPr>
          <w:p w14:paraId="0E468065" w14:textId="77777777" w:rsidR="00722E5C" w:rsidRPr="00D07677" w:rsidRDefault="00722E5C" w:rsidP="00722E5C">
            <w:pPr>
              <w:tabs>
                <w:tab w:val="decimal" w:pos="318"/>
              </w:tabs>
              <w:rPr>
                <w:b/>
                <w:sz w:val="20"/>
              </w:rPr>
            </w:pPr>
          </w:p>
        </w:tc>
        <w:tc>
          <w:tcPr>
            <w:tcW w:w="851" w:type="dxa"/>
            <w:vAlign w:val="center"/>
          </w:tcPr>
          <w:p w14:paraId="41B84CF4" w14:textId="77777777" w:rsidR="00722E5C" w:rsidRPr="00D07677" w:rsidRDefault="00722E5C" w:rsidP="00722E5C">
            <w:pPr>
              <w:tabs>
                <w:tab w:val="decimal" w:pos="406"/>
              </w:tabs>
              <w:rPr>
                <w:b/>
                <w:sz w:val="20"/>
              </w:rPr>
            </w:pPr>
          </w:p>
        </w:tc>
        <w:tc>
          <w:tcPr>
            <w:tcW w:w="1313" w:type="dxa"/>
            <w:vAlign w:val="center"/>
          </w:tcPr>
          <w:p w14:paraId="566CF133" w14:textId="77777777" w:rsidR="00722E5C" w:rsidRPr="00D07677" w:rsidRDefault="00722E5C" w:rsidP="00722E5C">
            <w:pPr>
              <w:tabs>
                <w:tab w:val="decimal" w:pos="365"/>
              </w:tabs>
              <w:rPr>
                <w:b/>
                <w:sz w:val="20"/>
              </w:rPr>
            </w:pPr>
          </w:p>
        </w:tc>
      </w:tr>
      <w:tr w:rsidR="00D7118F" w:rsidRPr="00F40DEF" w14:paraId="57D99F8A" w14:textId="77777777" w:rsidTr="00440578">
        <w:trPr>
          <w:trHeight w:val="492"/>
          <w:jc w:val="center"/>
        </w:trPr>
        <w:tc>
          <w:tcPr>
            <w:tcW w:w="6952" w:type="dxa"/>
            <w:gridSpan w:val="6"/>
            <w:tcBorders>
              <w:top w:val="single" w:sz="4" w:space="0" w:color="auto"/>
              <w:bottom w:val="nil"/>
            </w:tcBorders>
            <w:vAlign w:val="center"/>
          </w:tcPr>
          <w:p w14:paraId="5537C6FC" w14:textId="77777777" w:rsidR="00D7118F" w:rsidRPr="00F40DEF" w:rsidRDefault="00D7118F" w:rsidP="00D7118F">
            <w:pPr>
              <w:pStyle w:val="ListParagraph"/>
              <w:numPr>
                <w:ilvl w:val="0"/>
                <w:numId w:val="39"/>
              </w:numPr>
              <w:rPr>
                <w:sz w:val="20"/>
              </w:rPr>
            </w:pPr>
            <w:r>
              <w:rPr>
                <w:sz w:val="20"/>
              </w:rPr>
              <w:t xml:space="preserve">26 week repeat shown for O and </w:t>
            </w:r>
            <w:r w:rsidRPr="00F40DEF">
              <w:rPr>
                <w:sz w:val="20"/>
              </w:rPr>
              <w:t>T</w:t>
            </w:r>
            <w:r>
              <w:rPr>
                <w:sz w:val="20"/>
              </w:rPr>
              <w:t xml:space="preserve"> </w:t>
            </w:r>
            <w:r w:rsidRPr="00F40DEF">
              <w:rPr>
                <w:sz w:val="20"/>
              </w:rPr>
              <w:t>as</w:t>
            </w:r>
            <w:r>
              <w:rPr>
                <w:sz w:val="20"/>
              </w:rPr>
              <w:t xml:space="preserve"> we do not have year 2 actual data to calculate 52 week repeat.</w:t>
            </w:r>
          </w:p>
        </w:tc>
      </w:tr>
    </w:tbl>
    <w:p w14:paraId="42350F72" w14:textId="77777777" w:rsidR="00722E5C" w:rsidRDefault="00722E5C" w:rsidP="00722E5C">
      <w:pPr>
        <w:rPr>
          <w:rFonts w:cs="Arial"/>
        </w:rPr>
      </w:pPr>
    </w:p>
    <w:p w14:paraId="594FABC2" w14:textId="794A294E" w:rsidR="001B79A6" w:rsidRPr="00AF214E" w:rsidRDefault="001B79A6" w:rsidP="001B79A6">
      <w:pPr>
        <w:spacing w:after="120" w:line="480" w:lineRule="auto"/>
        <w:jc w:val="center"/>
        <w:outlineLvl w:val="0"/>
        <w:rPr>
          <w:i/>
        </w:rPr>
      </w:pPr>
      <w:r>
        <w:rPr>
          <w:b/>
        </w:rPr>
        <w:t>Table 2.</w:t>
      </w:r>
      <w:r w:rsidRPr="00AF214E">
        <w:rPr>
          <w:b/>
        </w:rPr>
        <w:t xml:space="preserve">   Incidence and Buying by 100% </w:t>
      </w:r>
      <w:r>
        <w:rPr>
          <w:b/>
        </w:rPr>
        <w:t>B</w:t>
      </w:r>
      <w:r w:rsidRPr="00AF214E">
        <w:rPr>
          <w:b/>
        </w:rPr>
        <w:t>rand-</w:t>
      </w:r>
      <w:r>
        <w:rPr>
          <w:b/>
        </w:rPr>
        <w:t>L</w:t>
      </w:r>
      <w:r w:rsidRPr="00AF214E">
        <w:rPr>
          <w:b/>
        </w:rPr>
        <w:t>oyals</w:t>
      </w:r>
    </w:p>
    <w:tbl>
      <w:tblPr>
        <w:tblW w:w="7769" w:type="dxa"/>
        <w:jc w:val="center"/>
        <w:tblLayout w:type="fixed"/>
        <w:tblLook w:val="04A0" w:firstRow="1" w:lastRow="0" w:firstColumn="1" w:lastColumn="0" w:noHBand="0" w:noVBand="1"/>
      </w:tblPr>
      <w:tblGrid>
        <w:gridCol w:w="2151"/>
        <w:gridCol w:w="992"/>
        <w:gridCol w:w="790"/>
        <w:gridCol w:w="434"/>
        <w:gridCol w:w="754"/>
        <w:gridCol w:w="543"/>
        <w:gridCol w:w="1043"/>
        <w:gridCol w:w="1062"/>
      </w:tblGrid>
      <w:tr w:rsidR="001B79A6" w:rsidRPr="00AF214E" w14:paraId="47B3FDF0" w14:textId="77777777" w:rsidTr="003E077B">
        <w:trPr>
          <w:trHeight w:val="260"/>
          <w:jc w:val="center"/>
        </w:trPr>
        <w:tc>
          <w:tcPr>
            <w:tcW w:w="2151" w:type="dxa"/>
            <w:tcBorders>
              <w:top w:val="single" w:sz="4" w:space="0" w:color="auto"/>
            </w:tcBorders>
            <w:shd w:val="clear" w:color="auto" w:fill="auto"/>
            <w:noWrap/>
            <w:vAlign w:val="bottom"/>
            <w:hideMark/>
          </w:tcPr>
          <w:p w14:paraId="607D053F" w14:textId="77777777" w:rsidR="001B79A6" w:rsidRPr="00AF214E" w:rsidRDefault="001B79A6" w:rsidP="003E077B">
            <w:pPr>
              <w:rPr>
                <w:bCs/>
                <w:sz w:val="20"/>
                <w:szCs w:val="20"/>
              </w:rPr>
            </w:pPr>
            <w:r w:rsidRPr="00AF214E">
              <w:rPr>
                <w:bCs/>
                <w:sz w:val="20"/>
                <w:szCs w:val="20"/>
              </w:rPr>
              <w:t>Brand</w:t>
            </w:r>
          </w:p>
        </w:tc>
        <w:tc>
          <w:tcPr>
            <w:tcW w:w="992" w:type="dxa"/>
            <w:tcBorders>
              <w:top w:val="single" w:sz="4" w:space="0" w:color="auto"/>
            </w:tcBorders>
            <w:shd w:val="clear" w:color="auto" w:fill="auto"/>
            <w:noWrap/>
            <w:vAlign w:val="center"/>
            <w:hideMark/>
          </w:tcPr>
          <w:p w14:paraId="373F1E93" w14:textId="77777777" w:rsidR="001B79A6" w:rsidRPr="00AF214E" w:rsidRDefault="001B79A6" w:rsidP="003E077B">
            <w:pPr>
              <w:jc w:val="right"/>
              <w:rPr>
                <w:bCs/>
                <w:sz w:val="20"/>
                <w:szCs w:val="20"/>
              </w:rPr>
            </w:pPr>
            <w:r w:rsidRPr="00AF214E">
              <w:rPr>
                <w:bCs/>
                <w:sz w:val="20"/>
                <w:szCs w:val="20"/>
              </w:rPr>
              <w:t>Market</w:t>
            </w:r>
          </w:p>
        </w:tc>
        <w:tc>
          <w:tcPr>
            <w:tcW w:w="2521" w:type="dxa"/>
            <w:gridSpan w:val="4"/>
            <w:tcBorders>
              <w:top w:val="single" w:sz="4" w:space="0" w:color="auto"/>
            </w:tcBorders>
            <w:shd w:val="clear" w:color="auto" w:fill="auto"/>
            <w:noWrap/>
            <w:hideMark/>
          </w:tcPr>
          <w:p w14:paraId="0B84BB55" w14:textId="77777777" w:rsidR="001B79A6" w:rsidRPr="00B72142" w:rsidRDefault="001B79A6" w:rsidP="003E077B">
            <w:pPr>
              <w:jc w:val="center"/>
              <w:rPr>
                <w:bCs/>
                <w:sz w:val="20"/>
                <w:szCs w:val="20"/>
                <w:u w:val="single"/>
              </w:rPr>
            </w:pPr>
            <w:r w:rsidRPr="00B72142">
              <w:rPr>
                <w:bCs/>
                <w:sz w:val="20"/>
                <w:szCs w:val="20"/>
                <w:u w:val="single"/>
              </w:rPr>
              <w:t>100% Loyal</w:t>
            </w:r>
          </w:p>
        </w:tc>
        <w:tc>
          <w:tcPr>
            <w:tcW w:w="2105" w:type="dxa"/>
            <w:gridSpan w:val="2"/>
            <w:tcBorders>
              <w:top w:val="single" w:sz="4" w:space="0" w:color="auto"/>
            </w:tcBorders>
            <w:shd w:val="clear" w:color="auto" w:fill="auto"/>
            <w:noWrap/>
            <w:hideMark/>
          </w:tcPr>
          <w:p w14:paraId="7E135BC1" w14:textId="77777777" w:rsidR="001B79A6" w:rsidRPr="00B72142" w:rsidRDefault="001B79A6" w:rsidP="003E077B">
            <w:pPr>
              <w:jc w:val="center"/>
              <w:rPr>
                <w:bCs/>
                <w:sz w:val="20"/>
                <w:szCs w:val="20"/>
                <w:u w:val="single"/>
              </w:rPr>
            </w:pPr>
            <w:r w:rsidRPr="00B72142">
              <w:rPr>
                <w:bCs/>
                <w:sz w:val="20"/>
                <w:szCs w:val="20"/>
                <w:u w:val="single"/>
              </w:rPr>
              <w:t>% Deviation</w:t>
            </w:r>
          </w:p>
        </w:tc>
      </w:tr>
      <w:tr w:rsidR="001B79A6" w:rsidRPr="00AF214E" w14:paraId="210FEEAC" w14:textId="77777777" w:rsidTr="003E077B">
        <w:trPr>
          <w:trHeight w:val="260"/>
          <w:jc w:val="center"/>
        </w:trPr>
        <w:tc>
          <w:tcPr>
            <w:tcW w:w="2151" w:type="dxa"/>
            <w:shd w:val="clear" w:color="auto" w:fill="auto"/>
            <w:noWrap/>
            <w:vAlign w:val="bottom"/>
          </w:tcPr>
          <w:p w14:paraId="5F21BFB8" w14:textId="77777777" w:rsidR="001B79A6" w:rsidRPr="00AF214E" w:rsidRDefault="001B79A6" w:rsidP="003E077B">
            <w:pPr>
              <w:rPr>
                <w:bCs/>
                <w:sz w:val="20"/>
                <w:szCs w:val="20"/>
              </w:rPr>
            </w:pPr>
          </w:p>
        </w:tc>
        <w:tc>
          <w:tcPr>
            <w:tcW w:w="992" w:type="dxa"/>
            <w:shd w:val="clear" w:color="auto" w:fill="auto"/>
            <w:noWrap/>
            <w:vAlign w:val="center"/>
          </w:tcPr>
          <w:p w14:paraId="2CC4E663" w14:textId="77777777" w:rsidR="001B79A6" w:rsidRPr="00AF214E" w:rsidRDefault="001B79A6" w:rsidP="003E077B">
            <w:pPr>
              <w:jc w:val="right"/>
              <w:rPr>
                <w:bCs/>
                <w:sz w:val="20"/>
                <w:szCs w:val="20"/>
              </w:rPr>
            </w:pPr>
            <w:r>
              <w:rPr>
                <w:bCs/>
                <w:sz w:val="20"/>
                <w:szCs w:val="20"/>
              </w:rPr>
              <w:t>Share</w:t>
            </w:r>
          </w:p>
        </w:tc>
        <w:tc>
          <w:tcPr>
            <w:tcW w:w="1224" w:type="dxa"/>
            <w:gridSpan w:val="2"/>
            <w:shd w:val="clear" w:color="auto" w:fill="auto"/>
            <w:noWrap/>
            <w:vAlign w:val="center"/>
          </w:tcPr>
          <w:p w14:paraId="18C73710" w14:textId="77777777" w:rsidR="001B79A6" w:rsidRPr="00AF214E" w:rsidRDefault="001B79A6" w:rsidP="003E077B">
            <w:pPr>
              <w:jc w:val="right"/>
              <w:rPr>
                <w:bCs/>
                <w:sz w:val="20"/>
                <w:szCs w:val="20"/>
              </w:rPr>
            </w:pPr>
            <w:r w:rsidRPr="00AF214E">
              <w:rPr>
                <w:bCs/>
                <w:sz w:val="20"/>
                <w:szCs w:val="20"/>
              </w:rPr>
              <w:t>Incidence</w:t>
            </w:r>
          </w:p>
        </w:tc>
        <w:tc>
          <w:tcPr>
            <w:tcW w:w="1297" w:type="dxa"/>
            <w:gridSpan w:val="2"/>
            <w:shd w:val="clear" w:color="auto" w:fill="auto"/>
            <w:vAlign w:val="center"/>
          </w:tcPr>
          <w:p w14:paraId="2D982526" w14:textId="77777777" w:rsidR="001B79A6" w:rsidRPr="00AF214E" w:rsidRDefault="001B79A6" w:rsidP="003E077B">
            <w:pPr>
              <w:jc w:val="right"/>
              <w:rPr>
                <w:bCs/>
                <w:sz w:val="20"/>
                <w:szCs w:val="20"/>
              </w:rPr>
            </w:pPr>
            <w:r w:rsidRPr="00AF214E">
              <w:rPr>
                <w:bCs/>
                <w:sz w:val="20"/>
                <w:szCs w:val="20"/>
              </w:rPr>
              <w:t>Purchase per</w:t>
            </w:r>
          </w:p>
        </w:tc>
        <w:tc>
          <w:tcPr>
            <w:tcW w:w="1043" w:type="dxa"/>
            <w:shd w:val="clear" w:color="auto" w:fill="auto"/>
            <w:noWrap/>
            <w:vAlign w:val="center"/>
          </w:tcPr>
          <w:p w14:paraId="40D5EF75" w14:textId="77777777" w:rsidR="001B79A6" w:rsidRPr="00AF214E" w:rsidRDefault="001B79A6" w:rsidP="003E077B">
            <w:pPr>
              <w:jc w:val="right"/>
              <w:rPr>
                <w:bCs/>
                <w:sz w:val="20"/>
                <w:szCs w:val="20"/>
              </w:rPr>
            </w:pPr>
            <w:r w:rsidRPr="00AF214E">
              <w:rPr>
                <w:bCs/>
                <w:sz w:val="20"/>
                <w:szCs w:val="20"/>
              </w:rPr>
              <w:t>Incidence</w:t>
            </w:r>
          </w:p>
        </w:tc>
        <w:tc>
          <w:tcPr>
            <w:tcW w:w="1062" w:type="dxa"/>
            <w:shd w:val="clear" w:color="auto" w:fill="auto"/>
            <w:vAlign w:val="center"/>
          </w:tcPr>
          <w:p w14:paraId="6A502E5F" w14:textId="77777777" w:rsidR="001B79A6" w:rsidRPr="00AF214E" w:rsidRDefault="001B79A6" w:rsidP="003E077B">
            <w:pPr>
              <w:jc w:val="right"/>
              <w:rPr>
                <w:bCs/>
                <w:sz w:val="20"/>
                <w:szCs w:val="20"/>
              </w:rPr>
            </w:pPr>
            <w:r w:rsidRPr="00AF214E">
              <w:rPr>
                <w:bCs/>
                <w:sz w:val="20"/>
                <w:szCs w:val="20"/>
              </w:rPr>
              <w:t>Purchase</w:t>
            </w:r>
          </w:p>
        </w:tc>
      </w:tr>
      <w:tr w:rsidR="001B79A6" w:rsidRPr="00AF214E" w14:paraId="5B49FCE2" w14:textId="77777777" w:rsidTr="003E077B">
        <w:trPr>
          <w:trHeight w:val="260"/>
          <w:jc w:val="center"/>
        </w:trPr>
        <w:tc>
          <w:tcPr>
            <w:tcW w:w="2151" w:type="dxa"/>
            <w:tcBorders>
              <w:bottom w:val="single" w:sz="4" w:space="0" w:color="auto"/>
            </w:tcBorders>
            <w:shd w:val="clear" w:color="auto" w:fill="auto"/>
            <w:noWrap/>
            <w:vAlign w:val="bottom"/>
            <w:hideMark/>
          </w:tcPr>
          <w:p w14:paraId="7B43EF22" w14:textId="77777777" w:rsidR="001B79A6" w:rsidRPr="00AF214E" w:rsidRDefault="001B79A6" w:rsidP="003E077B">
            <w:pPr>
              <w:jc w:val="center"/>
              <w:rPr>
                <w:bCs/>
                <w:sz w:val="20"/>
                <w:szCs w:val="20"/>
              </w:rPr>
            </w:pPr>
            <w:r w:rsidRPr="00AF214E">
              <w:rPr>
                <w:bCs/>
                <w:sz w:val="20"/>
                <w:szCs w:val="20"/>
              </w:rPr>
              <w:t> </w:t>
            </w:r>
          </w:p>
        </w:tc>
        <w:tc>
          <w:tcPr>
            <w:tcW w:w="992" w:type="dxa"/>
            <w:tcBorders>
              <w:bottom w:val="single" w:sz="4" w:space="0" w:color="auto"/>
            </w:tcBorders>
            <w:shd w:val="clear" w:color="auto" w:fill="auto"/>
            <w:noWrap/>
            <w:vAlign w:val="center"/>
            <w:hideMark/>
          </w:tcPr>
          <w:p w14:paraId="7839E375" w14:textId="77777777" w:rsidR="001B79A6" w:rsidRPr="00AF214E" w:rsidRDefault="001B79A6" w:rsidP="003E077B">
            <w:pPr>
              <w:jc w:val="right"/>
              <w:rPr>
                <w:bCs/>
                <w:sz w:val="20"/>
                <w:szCs w:val="20"/>
              </w:rPr>
            </w:pPr>
            <w:r>
              <w:rPr>
                <w:bCs/>
                <w:sz w:val="20"/>
                <w:szCs w:val="20"/>
              </w:rPr>
              <w:t>%</w:t>
            </w:r>
          </w:p>
        </w:tc>
        <w:tc>
          <w:tcPr>
            <w:tcW w:w="1224" w:type="dxa"/>
            <w:gridSpan w:val="2"/>
            <w:tcBorders>
              <w:bottom w:val="single" w:sz="4" w:space="0" w:color="auto"/>
            </w:tcBorders>
            <w:shd w:val="clear" w:color="auto" w:fill="auto"/>
            <w:noWrap/>
            <w:vAlign w:val="center"/>
            <w:hideMark/>
          </w:tcPr>
          <w:p w14:paraId="5FD8064C" w14:textId="77777777" w:rsidR="001B79A6" w:rsidRPr="00AF214E" w:rsidRDefault="001B79A6" w:rsidP="003E077B">
            <w:pPr>
              <w:jc w:val="right"/>
              <w:rPr>
                <w:bCs/>
                <w:sz w:val="20"/>
                <w:szCs w:val="20"/>
              </w:rPr>
            </w:pPr>
          </w:p>
        </w:tc>
        <w:tc>
          <w:tcPr>
            <w:tcW w:w="1297" w:type="dxa"/>
            <w:gridSpan w:val="2"/>
            <w:tcBorders>
              <w:bottom w:val="single" w:sz="4" w:space="0" w:color="auto"/>
            </w:tcBorders>
            <w:shd w:val="clear" w:color="auto" w:fill="auto"/>
            <w:noWrap/>
            <w:vAlign w:val="center"/>
            <w:hideMark/>
          </w:tcPr>
          <w:p w14:paraId="7D76891E" w14:textId="77777777" w:rsidR="001B79A6" w:rsidRPr="00AF214E" w:rsidRDefault="001B79A6" w:rsidP="003E077B">
            <w:pPr>
              <w:jc w:val="right"/>
              <w:rPr>
                <w:bCs/>
                <w:sz w:val="20"/>
                <w:szCs w:val="20"/>
              </w:rPr>
            </w:pPr>
            <w:r w:rsidRPr="00AF214E">
              <w:rPr>
                <w:bCs/>
                <w:sz w:val="20"/>
                <w:szCs w:val="20"/>
              </w:rPr>
              <w:t>buyer</w:t>
            </w:r>
          </w:p>
        </w:tc>
        <w:tc>
          <w:tcPr>
            <w:tcW w:w="1043" w:type="dxa"/>
            <w:tcBorders>
              <w:bottom w:val="single" w:sz="4" w:space="0" w:color="auto"/>
            </w:tcBorders>
            <w:shd w:val="clear" w:color="auto" w:fill="auto"/>
            <w:noWrap/>
            <w:vAlign w:val="center"/>
            <w:hideMark/>
          </w:tcPr>
          <w:p w14:paraId="4777393C" w14:textId="77777777" w:rsidR="001B79A6" w:rsidRPr="00AF214E" w:rsidRDefault="001B79A6" w:rsidP="003E077B">
            <w:pPr>
              <w:jc w:val="right"/>
              <w:rPr>
                <w:bCs/>
                <w:sz w:val="20"/>
                <w:szCs w:val="20"/>
              </w:rPr>
            </w:pPr>
          </w:p>
        </w:tc>
        <w:tc>
          <w:tcPr>
            <w:tcW w:w="1062" w:type="dxa"/>
            <w:tcBorders>
              <w:bottom w:val="single" w:sz="4" w:space="0" w:color="auto"/>
            </w:tcBorders>
            <w:shd w:val="clear" w:color="auto" w:fill="auto"/>
            <w:noWrap/>
            <w:vAlign w:val="center"/>
            <w:hideMark/>
          </w:tcPr>
          <w:p w14:paraId="43DB9E05" w14:textId="77777777" w:rsidR="001B79A6" w:rsidRPr="00AF214E" w:rsidRDefault="001B79A6" w:rsidP="003E077B">
            <w:pPr>
              <w:jc w:val="right"/>
              <w:rPr>
                <w:bCs/>
                <w:sz w:val="20"/>
                <w:szCs w:val="20"/>
              </w:rPr>
            </w:pPr>
            <w:r w:rsidRPr="00AF214E">
              <w:rPr>
                <w:bCs/>
                <w:sz w:val="20"/>
                <w:szCs w:val="20"/>
              </w:rPr>
              <w:t xml:space="preserve"> per buyer</w:t>
            </w:r>
          </w:p>
        </w:tc>
      </w:tr>
      <w:tr w:rsidR="001B79A6" w14:paraId="7CFE52B5" w14:textId="77777777" w:rsidTr="003E077B">
        <w:trPr>
          <w:trHeight w:val="260"/>
          <w:jc w:val="center"/>
        </w:trPr>
        <w:tc>
          <w:tcPr>
            <w:tcW w:w="2151" w:type="dxa"/>
            <w:tcBorders>
              <w:top w:val="single" w:sz="4" w:space="0" w:color="auto"/>
            </w:tcBorders>
            <w:shd w:val="clear" w:color="auto" w:fill="auto"/>
            <w:noWrap/>
            <w:vAlign w:val="bottom"/>
            <w:hideMark/>
          </w:tcPr>
          <w:p w14:paraId="4077467D" w14:textId="77777777" w:rsidR="001B79A6" w:rsidRDefault="001B79A6" w:rsidP="003E077B">
            <w:pPr>
              <w:rPr>
                <w:sz w:val="20"/>
                <w:szCs w:val="20"/>
              </w:rPr>
            </w:pPr>
            <w:r>
              <w:rPr>
                <w:sz w:val="20"/>
                <w:szCs w:val="20"/>
              </w:rPr>
              <w:t> </w:t>
            </w:r>
          </w:p>
        </w:tc>
        <w:tc>
          <w:tcPr>
            <w:tcW w:w="992" w:type="dxa"/>
            <w:tcBorders>
              <w:top w:val="single" w:sz="4" w:space="0" w:color="auto"/>
            </w:tcBorders>
            <w:shd w:val="clear" w:color="auto" w:fill="auto"/>
            <w:noWrap/>
            <w:vAlign w:val="bottom"/>
            <w:hideMark/>
          </w:tcPr>
          <w:p w14:paraId="3AD801D4" w14:textId="77777777" w:rsidR="001B79A6" w:rsidRDefault="001B79A6" w:rsidP="003E077B">
            <w:pPr>
              <w:jc w:val="right"/>
              <w:rPr>
                <w:sz w:val="20"/>
                <w:szCs w:val="20"/>
              </w:rPr>
            </w:pPr>
          </w:p>
        </w:tc>
        <w:tc>
          <w:tcPr>
            <w:tcW w:w="790" w:type="dxa"/>
            <w:tcBorders>
              <w:top w:val="single" w:sz="4" w:space="0" w:color="auto"/>
            </w:tcBorders>
            <w:shd w:val="clear" w:color="auto" w:fill="auto"/>
            <w:noWrap/>
            <w:vAlign w:val="bottom"/>
            <w:hideMark/>
          </w:tcPr>
          <w:p w14:paraId="0BCAE262" w14:textId="77777777" w:rsidR="001B79A6" w:rsidRDefault="001B79A6" w:rsidP="003E077B">
            <w:pPr>
              <w:jc w:val="right"/>
              <w:rPr>
                <w:sz w:val="20"/>
                <w:szCs w:val="20"/>
              </w:rPr>
            </w:pPr>
            <w:r>
              <w:rPr>
                <w:sz w:val="20"/>
                <w:szCs w:val="20"/>
              </w:rPr>
              <w:t>O</w:t>
            </w:r>
          </w:p>
        </w:tc>
        <w:tc>
          <w:tcPr>
            <w:tcW w:w="434" w:type="dxa"/>
            <w:tcBorders>
              <w:top w:val="single" w:sz="4" w:space="0" w:color="auto"/>
            </w:tcBorders>
            <w:shd w:val="clear" w:color="auto" w:fill="auto"/>
            <w:noWrap/>
            <w:vAlign w:val="bottom"/>
            <w:hideMark/>
          </w:tcPr>
          <w:p w14:paraId="015B7E35" w14:textId="77777777" w:rsidR="001B79A6" w:rsidRDefault="001B79A6" w:rsidP="003E077B">
            <w:pPr>
              <w:jc w:val="right"/>
              <w:rPr>
                <w:b/>
                <w:bCs/>
                <w:sz w:val="20"/>
                <w:szCs w:val="20"/>
              </w:rPr>
            </w:pPr>
            <w:r>
              <w:rPr>
                <w:b/>
                <w:bCs/>
                <w:sz w:val="20"/>
                <w:szCs w:val="20"/>
              </w:rPr>
              <w:t>T</w:t>
            </w:r>
          </w:p>
        </w:tc>
        <w:tc>
          <w:tcPr>
            <w:tcW w:w="754" w:type="dxa"/>
            <w:tcBorders>
              <w:top w:val="single" w:sz="4" w:space="0" w:color="auto"/>
            </w:tcBorders>
            <w:shd w:val="clear" w:color="auto" w:fill="auto"/>
            <w:noWrap/>
            <w:vAlign w:val="bottom"/>
            <w:hideMark/>
          </w:tcPr>
          <w:p w14:paraId="2E055800" w14:textId="77777777" w:rsidR="001B79A6" w:rsidRDefault="001B79A6" w:rsidP="003E077B">
            <w:pPr>
              <w:jc w:val="right"/>
              <w:rPr>
                <w:sz w:val="20"/>
                <w:szCs w:val="20"/>
              </w:rPr>
            </w:pPr>
            <w:r>
              <w:rPr>
                <w:sz w:val="20"/>
                <w:szCs w:val="20"/>
              </w:rPr>
              <w:t>O</w:t>
            </w:r>
          </w:p>
        </w:tc>
        <w:tc>
          <w:tcPr>
            <w:tcW w:w="543" w:type="dxa"/>
            <w:tcBorders>
              <w:top w:val="single" w:sz="4" w:space="0" w:color="auto"/>
            </w:tcBorders>
            <w:shd w:val="clear" w:color="auto" w:fill="auto"/>
            <w:noWrap/>
            <w:vAlign w:val="bottom"/>
            <w:hideMark/>
          </w:tcPr>
          <w:p w14:paraId="1E0DB9F1" w14:textId="77777777" w:rsidR="001B79A6" w:rsidRDefault="001B79A6" w:rsidP="003E077B">
            <w:pPr>
              <w:jc w:val="right"/>
              <w:rPr>
                <w:b/>
                <w:bCs/>
                <w:sz w:val="20"/>
                <w:szCs w:val="20"/>
              </w:rPr>
            </w:pPr>
            <w:r>
              <w:rPr>
                <w:b/>
                <w:bCs/>
                <w:sz w:val="20"/>
                <w:szCs w:val="20"/>
              </w:rPr>
              <w:t>T</w:t>
            </w:r>
          </w:p>
        </w:tc>
        <w:tc>
          <w:tcPr>
            <w:tcW w:w="2105" w:type="dxa"/>
            <w:gridSpan w:val="2"/>
            <w:tcBorders>
              <w:top w:val="single" w:sz="4" w:space="0" w:color="auto"/>
            </w:tcBorders>
            <w:shd w:val="clear" w:color="auto" w:fill="auto"/>
            <w:noWrap/>
            <w:vAlign w:val="bottom"/>
            <w:hideMark/>
          </w:tcPr>
          <w:p w14:paraId="0FA30B89" w14:textId="77777777" w:rsidR="001B79A6" w:rsidRDefault="001B79A6" w:rsidP="003E077B">
            <w:pPr>
              <w:jc w:val="center"/>
              <w:rPr>
                <w:sz w:val="20"/>
                <w:szCs w:val="20"/>
              </w:rPr>
            </w:pPr>
          </w:p>
        </w:tc>
      </w:tr>
      <w:tr w:rsidR="001B79A6" w14:paraId="7A7D63EE" w14:textId="77777777" w:rsidTr="003E077B">
        <w:trPr>
          <w:trHeight w:val="260"/>
          <w:jc w:val="center"/>
        </w:trPr>
        <w:tc>
          <w:tcPr>
            <w:tcW w:w="2151" w:type="dxa"/>
            <w:shd w:val="clear" w:color="auto" w:fill="auto"/>
            <w:noWrap/>
            <w:vAlign w:val="bottom"/>
            <w:hideMark/>
          </w:tcPr>
          <w:p w14:paraId="43B7DA55" w14:textId="77777777" w:rsidR="001B79A6" w:rsidRDefault="001B79A6" w:rsidP="003E077B">
            <w:pPr>
              <w:rPr>
                <w:sz w:val="20"/>
                <w:szCs w:val="20"/>
              </w:rPr>
            </w:pPr>
            <w:r>
              <w:rPr>
                <w:sz w:val="20"/>
                <w:szCs w:val="20"/>
              </w:rPr>
              <w:t> </w:t>
            </w:r>
          </w:p>
        </w:tc>
        <w:tc>
          <w:tcPr>
            <w:tcW w:w="992" w:type="dxa"/>
            <w:shd w:val="clear" w:color="auto" w:fill="auto"/>
            <w:noWrap/>
            <w:vAlign w:val="bottom"/>
            <w:hideMark/>
          </w:tcPr>
          <w:p w14:paraId="7F3FD8C0" w14:textId="77777777" w:rsidR="001B79A6" w:rsidRDefault="001B79A6" w:rsidP="003E077B">
            <w:pPr>
              <w:jc w:val="right"/>
              <w:rPr>
                <w:sz w:val="20"/>
                <w:szCs w:val="20"/>
              </w:rPr>
            </w:pPr>
            <w:r>
              <w:rPr>
                <w:sz w:val="20"/>
                <w:szCs w:val="20"/>
              </w:rPr>
              <w:t> </w:t>
            </w:r>
          </w:p>
        </w:tc>
        <w:tc>
          <w:tcPr>
            <w:tcW w:w="790" w:type="dxa"/>
            <w:shd w:val="clear" w:color="auto" w:fill="auto"/>
            <w:noWrap/>
            <w:vAlign w:val="bottom"/>
            <w:hideMark/>
          </w:tcPr>
          <w:p w14:paraId="4F6B30D7" w14:textId="77777777" w:rsidR="001B79A6" w:rsidRDefault="001B79A6" w:rsidP="003E077B">
            <w:pPr>
              <w:jc w:val="right"/>
              <w:rPr>
                <w:sz w:val="20"/>
                <w:szCs w:val="20"/>
              </w:rPr>
            </w:pPr>
            <w:r>
              <w:rPr>
                <w:sz w:val="20"/>
                <w:szCs w:val="20"/>
              </w:rPr>
              <w:t> </w:t>
            </w:r>
          </w:p>
        </w:tc>
        <w:tc>
          <w:tcPr>
            <w:tcW w:w="434" w:type="dxa"/>
            <w:shd w:val="clear" w:color="auto" w:fill="auto"/>
            <w:noWrap/>
            <w:vAlign w:val="bottom"/>
            <w:hideMark/>
          </w:tcPr>
          <w:p w14:paraId="5E3D81F1" w14:textId="77777777" w:rsidR="001B79A6" w:rsidRDefault="001B79A6" w:rsidP="003E077B">
            <w:pPr>
              <w:jc w:val="right"/>
              <w:rPr>
                <w:sz w:val="20"/>
                <w:szCs w:val="20"/>
              </w:rPr>
            </w:pPr>
          </w:p>
        </w:tc>
        <w:tc>
          <w:tcPr>
            <w:tcW w:w="754" w:type="dxa"/>
            <w:shd w:val="clear" w:color="auto" w:fill="auto"/>
            <w:noWrap/>
            <w:vAlign w:val="bottom"/>
            <w:hideMark/>
          </w:tcPr>
          <w:p w14:paraId="78AEF295" w14:textId="77777777" w:rsidR="001B79A6" w:rsidRDefault="001B79A6" w:rsidP="003E077B">
            <w:pPr>
              <w:jc w:val="right"/>
              <w:rPr>
                <w:sz w:val="20"/>
                <w:szCs w:val="20"/>
              </w:rPr>
            </w:pPr>
          </w:p>
        </w:tc>
        <w:tc>
          <w:tcPr>
            <w:tcW w:w="543" w:type="dxa"/>
            <w:shd w:val="clear" w:color="auto" w:fill="auto"/>
            <w:noWrap/>
            <w:vAlign w:val="bottom"/>
            <w:hideMark/>
          </w:tcPr>
          <w:p w14:paraId="6A9D3DE1" w14:textId="77777777" w:rsidR="001B79A6" w:rsidRDefault="001B79A6" w:rsidP="003E077B">
            <w:pPr>
              <w:jc w:val="right"/>
              <w:rPr>
                <w:b/>
                <w:bCs/>
                <w:sz w:val="20"/>
                <w:szCs w:val="20"/>
              </w:rPr>
            </w:pPr>
            <w:r>
              <w:rPr>
                <w:b/>
                <w:bCs/>
                <w:sz w:val="20"/>
                <w:szCs w:val="20"/>
              </w:rPr>
              <w:t> </w:t>
            </w:r>
          </w:p>
        </w:tc>
        <w:tc>
          <w:tcPr>
            <w:tcW w:w="1043" w:type="dxa"/>
            <w:shd w:val="clear" w:color="auto" w:fill="auto"/>
            <w:noWrap/>
            <w:vAlign w:val="bottom"/>
            <w:hideMark/>
          </w:tcPr>
          <w:p w14:paraId="2D5BD567" w14:textId="77777777" w:rsidR="001B79A6" w:rsidRDefault="001B79A6" w:rsidP="003E077B">
            <w:pPr>
              <w:jc w:val="right"/>
              <w:rPr>
                <w:b/>
                <w:bCs/>
                <w:sz w:val="20"/>
                <w:szCs w:val="20"/>
              </w:rPr>
            </w:pPr>
          </w:p>
        </w:tc>
        <w:tc>
          <w:tcPr>
            <w:tcW w:w="1062" w:type="dxa"/>
            <w:shd w:val="clear" w:color="auto" w:fill="auto"/>
            <w:noWrap/>
            <w:vAlign w:val="bottom"/>
            <w:hideMark/>
          </w:tcPr>
          <w:p w14:paraId="3716A324" w14:textId="77777777" w:rsidR="001B79A6" w:rsidRDefault="001B79A6" w:rsidP="003E077B">
            <w:pPr>
              <w:jc w:val="right"/>
              <w:rPr>
                <w:sz w:val="20"/>
                <w:szCs w:val="20"/>
              </w:rPr>
            </w:pPr>
            <w:r>
              <w:rPr>
                <w:sz w:val="20"/>
                <w:szCs w:val="20"/>
              </w:rPr>
              <w:t> </w:t>
            </w:r>
          </w:p>
        </w:tc>
      </w:tr>
      <w:tr w:rsidR="001B79A6" w14:paraId="47CD182B" w14:textId="77777777" w:rsidTr="003E077B">
        <w:trPr>
          <w:trHeight w:val="260"/>
          <w:jc w:val="center"/>
        </w:trPr>
        <w:tc>
          <w:tcPr>
            <w:tcW w:w="2151" w:type="dxa"/>
            <w:shd w:val="clear" w:color="auto" w:fill="auto"/>
            <w:noWrap/>
            <w:vAlign w:val="bottom"/>
            <w:hideMark/>
          </w:tcPr>
          <w:p w14:paraId="376FA915" w14:textId="77777777" w:rsidR="001B79A6" w:rsidRDefault="001B79A6" w:rsidP="003E077B">
            <w:pPr>
              <w:rPr>
                <w:sz w:val="20"/>
                <w:szCs w:val="20"/>
              </w:rPr>
            </w:pPr>
            <w:r>
              <w:rPr>
                <w:sz w:val="20"/>
                <w:szCs w:val="20"/>
              </w:rPr>
              <w:t xml:space="preserve"> Persil</w:t>
            </w:r>
          </w:p>
        </w:tc>
        <w:tc>
          <w:tcPr>
            <w:tcW w:w="992" w:type="dxa"/>
            <w:shd w:val="clear" w:color="auto" w:fill="auto"/>
            <w:noWrap/>
            <w:vAlign w:val="bottom"/>
            <w:hideMark/>
          </w:tcPr>
          <w:p w14:paraId="51B65BC7" w14:textId="77777777" w:rsidR="001B79A6" w:rsidRDefault="001B79A6" w:rsidP="003E077B">
            <w:pPr>
              <w:jc w:val="right"/>
              <w:rPr>
                <w:sz w:val="20"/>
                <w:szCs w:val="20"/>
              </w:rPr>
            </w:pPr>
            <w:r>
              <w:rPr>
                <w:sz w:val="20"/>
                <w:szCs w:val="20"/>
              </w:rPr>
              <w:t>22</w:t>
            </w:r>
          </w:p>
        </w:tc>
        <w:tc>
          <w:tcPr>
            <w:tcW w:w="790" w:type="dxa"/>
            <w:shd w:val="clear" w:color="auto" w:fill="auto"/>
            <w:noWrap/>
            <w:vAlign w:val="bottom"/>
            <w:hideMark/>
          </w:tcPr>
          <w:p w14:paraId="5BEBB044" w14:textId="77777777" w:rsidR="001B79A6" w:rsidRDefault="001B79A6" w:rsidP="003E077B">
            <w:pPr>
              <w:jc w:val="right"/>
              <w:rPr>
                <w:sz w:val="20"/>
                <w:szCs w:val="20"/>
              </w:rPr>
            </w:pPr>
            <w:r>
              <w:rPr>
                <w:sz w:val="20"/>
                <w:szCs w:val="20"/>
              </w:rPr>
              <w:t>25</w:t>
            </w:r>
          </w:p>
        </w:tc>
        <w:tc>
          <w:tcPr>
            <w:tcW w:w="434" w:type="dxa"/>
            <w:shd w:val="clear" w:color="auto" w:fill="auto"/>
            <w:noWrap/>
            <w:vAlign w:val="bottom"/>
            <w:hideMark/>
          </w:tcPr>
          <w:p w14:paraId="7BD60BC6" w14:textId="77777777" w:rsidR="001B79A6" w:rsidRDefault="001B79A6" w:rsidP="003E077B">
            <w:pPr>
              <w:jc w:val="right"/>
              <w:rPr>
                <w:b/>
                <w:bCs/>
                <w:sz w:val="20"/>
                <w:szCs w:val="20"/>
              </w:rPr>
            </w:pPr>
            <w:r>
              <w:rPr>
                <w:b/>
                <w:bCs/>
                <w:sz w:val="20"/>
                <w:szCs w:val="20"/>
              </w:rPr>
              <w:t>17</w:t>
            </w:r>
          </w:p>
        </w:tc>
        <w:tc>
          <w:tcPr>
            <w:tcW w:w="754" w:type="dxa"/>
            <w:shd w:val="clear" w:color="auto" w:fill="auto"/>
            <w:noWrap/>
            <w:vAlign w:val="bottom"/>
            <w:hideMark/>
          </w:tcPr>
          <w:p w14:paraId="5D8E9A6C" w14:textId="77777777" w:rsidR="001B79A6" w:rsidRDefault="001B79A6" w:rsidP="003E077B">
            <w:pPr>
              <w:jc w:val="right"/>
              <w:rPr>
                <w:sz w:val="20"/>
                <w:szCs w:val="20"/>
              </w:rPr>
            </w:pPr>
            <w:r>
              <w:rPr>
                <w:sz w:val="20"/>
                <w:szCs w:val="20"/>
              </w:rPr>
              <w:t>5.6</w:t>
            </w:r>
          </w:p>
        </w:tc>
        <w:tc>
          <w:tcPr>
            <w:tcW w:w="543" w:type="dxa"/>
            <w:shd w:val="clear" w:color="auto" w:fill="auto"/>
            <w:noWrap/>
            <w:vAlign w:val="bottom"/>
            <w:hideMark/>
          </w:tcPr>
          <w:p w14:paraId="42C705DD" w14:textId="77777777" w:rsidR="001B79A6" w:rsidRDefault="001B79A6" w:rsidP="003E077B">
            <w:pPr>
              <w:jc w:val="right"/>
              <w:rPr>
                <w:b/>
                <w:bCs/>
                <w:sz w:val="20"/>
                <w:szCs w:val="20"/>
              </w:rPr>
            </w:pPr>
            <w:r>
              <w:rPr>
                <w:b/>
                <w:bCs/>
                <w:sz w:val="20"/>
                <w:szCs w:val="20"/>
              </w:rPr>
              <w:t>4.2</w:t>
            </w:r>
          </w:p>
        </w:tc>
        <w:tc>
          <w:tcPr>
            <w:tcW w:w="1043" w:type="dxa"/>
            <w:shd w:val="clear" w:color="auto" w:fill="auto"/>
            <w:noWrap/>
            <w:vAlign w:val="bottom"/>
            <w:hideMark/>
          </w:tcPr>
          <w:p w14:paraId="6838C6F3" w14:textId="77777777" w:rsidR="001B79A6" w:rsidRDefault="001B79A6" w:rsidP="003E077B">
            <w:pPr>
              <w:jc w:val="right"/>
              <w:rPr>
                <w:sz w:val="20"/>
                <w:szCs w:val="20"/>
              </w:rPr>
            </w:pPr>
            <w:r>
              <w:rPr>
                <w:sz w:val="20"/>
                <w:szCs w:val="20"/>
              </w:rPr>
              <w:t>49</w:t>
            </w:r>
          </w:p>
        </w:tc>
        <w:tc>
          <w:tcPr>
            <w:tcW w:w="1062" w:type="dxa"/>
            <w:shd w:val="clear" w:color="auto" w:fill="auto"/>
            <w:noWrap/>
            <w:vAlign w:val="bottom"/>
            <w:hideMark/>
          </w:tcPr>
          <w:p w14:paraId="6535460C" w14:textId="77777777" w:rsidR="001B79A6" w:rsidRDefault="001B79A6" w:rsidP="003E077B">
            <w:pPr>
              <w:jc w:val="right"/>
              <w:rPr>
                <w:sz w:val="20"/>
                <w:szCs w:val="20"/>
              </w:rPr>
            </w:pPr>
            <w:r>
              <w:rPr>
                <w:sz w:val="20"/>
                <w:szCs w:val="20"/>
              </w:rPr>
              <w:t>32</w:t>
            </w:r>
          </w:p>
        </w:tc>
      </w:tr>
      <w:tr w:rsidR="001B79A6" w14:paraId="4D34AEA5" w14:textId="77777777" w:rsidTr="003E077B">
        <w:trPr>
          <w:trHeight w:val="260"/>
          <w:jc w:val="center"/>
        </w:trPr>
        <w:tc>
          <w:tcPr>
            <w:tcW w:w="2151" w:type="dxa"/>
            <w:shd w:val="clear" w:color="auto" w:fill="auto"/>
            <w:noWrap/>
            <w:vAlign w:val="bottom"/>
            <w:hideMark/>
          </w:tcPr>
          <w:p w14:paraId="22251359" w14:textId="77777777" w:rsidR="001B79A6" w:rsidRDefault="001B79A6" w:rsidP="003E077B">
            <w:pPr>
              <w:rPr>
                <w:sz w:val="20"/>
                <w:szCs w:val="20"/>
              </w:rPr>
            </w:pPr>
            <w:r>
              <w:rPr>
                <w:sz w:val="20"/>
                <w:szCs w:val="20"/>
              </w:rPr>
              <w:t xml:space="preserve"> Ariel</w:t>
            </w:r>
          </w:p>
        </w:tc>
        <w:tc>
          <w:tcPr>
            <w:tcW w:w="992" w:type="dxa"/>
            <w:shd w:val="clear" w:color="auto" w:fill="auto"/>
            <w:noWrap/>
            <w:vAlign w:val="bottom"/>
            <w:hideMark/>
          </w:tcPr>
          <w:p w14:paraId="0363FC20" w14:textId="77777777" w:rsidR="001B79A6" w:rsidRDefault="001B79A6" w:rsidP="003E077B">
            <w:pPr>
              <w:jc w:val="right"/>
              <w:rPr>
                <w:sz w:val="20"/>
                <w:szCs w:val="20"/>
              </w:rPr>
            </w:pPr>
            <w:r>
              <w:rPr>
                <w:sz w:val="20"/>
                <w:szCs w:val="20"/>
              </w:rPr>
              <w:t>14</w:t>
            </w:r>
          </w:p>
        </w:tc>
        <w:tc>
          <w:tcPr>
            <w:tcW w:w="790" w:type="dxa"/>
            <w:shd w:val="clear" w:color="auto" w:fill="auto"/>
            <w:noWrap/>
            <w:vAlign w:val="bottom"/>
            <w:hideMark/>
          </w:tcPr>
          <w:p w14:paraId="2DCC1358" w14:textId="77777777" w:rsidR="001B79A6" w:rsidRDefault="001B79A6" w:rsidP="003E077B">
            <w:pPr>
              <w:jc w:val="right"/>
              <w:rPr>
                <w:sz w:val="20"/>
                <w:szCs w:val="20"/>
              </w:rPr>
            </w:pPr>
            <w:r>
              <w:rPr>
                <w:sz w:val="20"/>
                <w:szCs w:val="20"/>
              </w:rPr>
              <w:t>20</w:t>
            </w:r>
          </w:p>
        </w:tc>
        <w:tc>
          <w:tcPr>
            <w:tcW w:w="434" w:type="dxa"/>
            <w:shd w:val="clear" w:color="auto" w:fill="auto"/>
            <w:noWrap/>
            <w:vAlign w:val="bottom"/>
            <w:hideMark/>
          </w:tcPr>
          <w:p w14:paraId="090EE7E5" w14:textId="77777777" w:rsidR="001B79A6" w:rsidRDefault="001B79A6" w:rsidP="003E077B">
            <w:pPr>
              <w:jc w:val="right"/>
              <w:rPr>
                <w:b/>
                <w:bCs/>
                <w:sz w:val="20"/>
                <w:szCs w:val="20"/>
              </w:rPr>
            </w:pPr>
            <w:r>
              <w:rPr>
                <w:b/>
                <w:bCs/>
                <w:sz w:val="20"/>
                <w:szCs w:val="20"/>
              </w:rPr>
              <w:t>14</w:t>
            </w:r>
          </w:p>
        </w:tc>
        <w:tc>
          <w:tcPr>
            <w:tcW w:w="754" w:type="dxa"/>
            <w:shd w:val="clear" w:color="auto" w:fill="auto"/>
            <w:noWrap/>
            <w:vAlign w:val="bottom"/>
            <w:hideMark/>
          </w:tcPr>
          <w:p w14:paraId="1BE2F643" w14:textId="77777777" w:rsidR="001B79A6" w:rsidRDefault="001B79A6" w:rsidP="003E077B">
            <w:pPr>
              <w:jc w:val="right"/>
              <w:rPr>
                <w:sz w:val="20"/>
                <w:szCs w:val="20"/>
              </w:rPr>
            </w:pPr>
            <w:r>
              <w:rPr>
                <w:sz w:val="20"/>
                <w:szCs w:val="20"/>
              </w:rPr>
              <w:t>6.1</w:t>
            </w:r>
          </w:p>
        </w:tc>
        <w:tc>
          <w:tcPr>
            <w:tcW w:w="543" w:type="dxa"/>
            <w:shd w:val="clear" w:color="auto" w:fill="auto"/>
            <w:noWrap/>
            <w:vAlign w:val="bottom"/>
            <w:hideMark/>
          </w:tcPr>
          <w:p w14:paraId="6D0E3969" w14:textId="77777777" w:rsidR="001B79A6" w:rsidRDefault="001B79A6" w:rsidP="003E077B">
            <w:pPr>
              <w:jc w:val="right"/>
              <w:rPr>
                <w:b/>
                <w:bCs/>
                <w:sz w:val="20"/>
                <w:szCs w:val="20"/>
              </w:rPr>
            </w:pPr>
            <w:r>
              <w:rPr>
                <w:b/>
                <w:bCs/>
                <w:sz w:val="20"/>
                <w:szCs w:val="20"/>
              </w:rPr>
              <w:t>3.9</w:t>
            </w:r>
          </w:p>
        </w:tc>
        <w:tc>
          <w:tcPr>
            <w:tcW w:w="1043" w:type="dxa"/>
            <w:shd w:val="clear" w:color="auto" w:fill="auto"/>
            <w:noWrap/>
            <w:vAlign w:val="bottom"/>
            <w:hideMark/>
          </w:tcPr>
          <w:p w14:paraId="55BD5F83" w14:textId="77777777" w:rsidR="001B79A6" w:rsidRDefault="001B79A6" w:rsidP="003E077B">
            <w:pPr>
              <w:jc w:val="right"/>
              <w:rPr>
                <w:sz w:val="20"/>
                <w:szCs w:val="20"/>
              </w:rPr>
            </w:pPr>
            <w:r>
              <w:rPr>
                <w:sz w:val="20"/>
                <w:szCs w:val="20"/>
              </w:rPr>
              <w:t>42</w:t>
            </w:r>
          </w:p>
        </w:tc>
        <w:tc>
          <w:tcPr>
            <w:tcW w:w="1062" w:type="dxa"/>
            <w:shd w:val="clear" w:color="auto" w:fill="auto"/>
            <w:noWrap/>
            <w:vAlign w:val="bottom"/>
            <w:hideMark/>
          </w:tcPr>
          <w:p w14:paraId="5D0613DB" w14:textId="77777777" w:rsidR="001B79A6" w:rsidRDefault="001B79A6" w:rsidP="003E077B">
            <w:pPr>
              <w:jc w:val="right"/>
              <w:rPr>
                <w:sz w:val="20"/>
                <w:szCs w:val="20"/>
              </w:rPr>
            </w:pPr>
            <w:r>
              <w:rPr>
                <w:sz w:val="20"/>
                <w:szCs w:val="20"/>
              </w:rPr>
              <w:t>55</w:t>
            </w:r>
          </w:p>
        </w:tc>
      </w:tr>
      <w:tr w:rsidR="001B79A6" w14:paraId="29720005" w14:textId="77777777" w:rsidTr="003E077B">
        <w:trPr>
          <w:trHeight w:val="260"/>
          <w:jc w:val="center"/>
        </w:trPr>
        <w:tc>
          <w:tcPr>
            <w:tcW w:w="2151" w:type="dxa"/>
            <w:shd w:val="clear" w:color="auto" w:fill="auto"/>
            <w:noWrap/>
            <w:vAlign w:val="bottom"/>
            <w:hideMark/>
          </w:tcPr>
          <w:p w14:paraId="791CD3F8" w14:textId="77777777" w:rsidR="001B79A6" w:rsidRDefault="001B79A6" w:rsidP="003E077B">
            <w:pPr>
              <w:rPr>
                <w:sz w:val="20"/>
                <w:szCs w:val="20"/>
              </w:rPr>
            </w:pPr>
            <w:r>
              <w:rPr>
                <w:sz w:val="20"/>
                <w:szCs w:val="20"/>
              </w:rPr>
              <w:t xml:space="preserve"> Bold</w:t>
            </w:r>
          </w:p>
        </w:tc>
        <w:tc>
          <w:tcPr>
            <w:tcW w:w="992" w:type="dxa"/>
            <w:shd w:val="clear" w:color="auto" w:fill="auto"/>
            <w:noWrap/>
            <w:vAlign w:val="bottom"/>
            <w:hideMark/>
          </w:tcPr>
          <w:p w14:paraId="61FCBDBD" w14:textId="77777777" w:rsidR="001B79A6" w:rsidRDefault="001B79A6" w:rsidP="003E077B">
            <w:pPr>
              <w:jc w:val="right"/>
              <w:rPr>
                <w:sz w:val="20"/>
                <w:szCs w:val="20"/>
              </w:rPr>
            </w:pPr>
            <w:r>
              <w:rPr>
                <w:sz w:val="20"/>
                <w:szCs w:val="20"/>
              </w:rPr>
              <w:t>10</w:t>
            </w:r>
          </w:p>
        </w:tc>
        <w:tc>
          <w:tcPr>
            <w:tcW w:w="790" w:type="dxa"/>
            <w:shd w:val="clear" w:color="auto" w:fill="auto"/>
            <w:noWrap/>
            <w:vAlign w:val="bottom"/>
            <w:hideMark/>
          </w:tcPr>
          <w:p w14:paraId="3807E430" w14:textId="77777777" w:rsidR="001B79A6" w:rsidRDefault="001B79A6" w:rsidP="003E077B">
            <w:pPr>
              <w:jc w:val="right"/>
              <w:rPr>
                <w:sz w:val="20"/>
                <w:szCs w:val="20"/>
              </w:rPr>
            </w:pPr>
            <w:r>
              <w:rPr>
                <w:sz w:val="20"/>
                <w:szCs w:val="20"/>
              </w:rPr>
              <w:t>20</w:t>
            </w:r>
          </w:p>
        </w:tc>
        <w:tc>
          <w:tcPr>
            <w:tcW w:w="434" w:type="dxa"/>
            <w:shd w:val="clear" w:color="auto" w:fill="auto"/>
            <w:noWrap/>
            <w:vAlign w:val="bottom"/>
            <w:hideMark/>
          </w:tcPr>
          <w:p w14:paraId="21C9C7D3" w14:textId="77777777" w:rsidR="001B79A6" w:rsidRDefault="001B79A6" w:rsidP="003E077B">
            <w:pPr>
              <w:jc w:val="right"/>
              <w:rPr>
                <w:b/>
                <w:bCs/>
                <w:sz w:val="20"/>
                <w:szCs w:val="20"/>
              </w:rPr>
            </w:pPr>
            <w:r>
              <w:rPr>
                <w:b/>
                <w:bCs/>
                <w:sz w:val="20"/>
                <w:szCs w:val="20"/>
              </w:rPr>
              <w:t>13</w:t>
            </w:r>
          </w:p>
        </w:tc>
        <w:tc>
          <w:tcPr>
            <w:tcW w:w="754" w:type="dxa"/>
            <w:shd w:val="clear" w:color="auto" w:fill="auto"/>
            <w:noWrap/>
            <w:vAlign w:val="bottom"/>
            <w:hideMark/>
          </w:tcPr>
          <w:p w14:paraId="5503C0F1" w14:textId="77777777" w:rsidR="001B79A6" w:rsidRDefault="001B79A6" w:rsidP="003E077B">
            <w:pPr>
              <w:jc w:val="right"/>
              <w:rPr>
                <w:sz w:val="20"/>
                <w:szCs w:val="20"/>
              </w:rPr>
            </w:pPr>
            <w:r>
              <w:rPr>
                <w:sz w:val="20"/>
                <w:szCs w:val="20"/>
              </w:rPr>
              <w:t>6.2</w:t>
            </w:r>
          </w:p>
        </w:tc>
        <w:tc>
          <w:tcPr>
            <w:tcW w:w="543" w:type="dxa"/>
            <w:shd w:val="clear" w:color="auto" w:fill="auto"/>
            <w:noWrap/>
            <w:vAlign w:val="bottom"/>
            <w:hideMark/>
          </w:tcPr>
          <w:p w14:paraId="0C0DCED9" w14:textId="77777777" w:rsidR="001B79A6" w:rsidRDefault="001B79A6" w:rsidP="003E077B">
            <w:pPr>
              <w:jc w:val="right"/>
              <w:rPr>
                <w:b/>
                <w:bCs/>
                <w:sz w:val="20"/>
                <w:szCs w:val="20"/>
              </w:rPr>
            </w:pPr>
            <w:r>
              <w:rPr>
                <w:b/>
                <w:bCs/>
                <w:sz w:val="20"/>
                <w:szCs w:val="20"/>
              </w:rPr>
              <w:t>3.8</w:t>
            </w:r>
          </w:p>
        </w:tc>
        <w:tc>
          <w:tcPr>
            <w:tcW w:w="1043" w:type="dxa"/>
            <w:shd w:val="clear" w:color="auto" w:fill="auto"/>
            <w:noWrap/>
            <w:vAlign w:val="bottom"/>
            <w:hideMark/>
          </w:tcPr>
          <w:p w14:paraId="08C50086" w14:textId="77777777" w:rsidR="001B79A6" w:rsidRDefault="001B79A6" w:rsidP="003E077B">
            <w:pPr>
              <w:jc w:val="right"/>
              <w:rPr>
                <w:sz w:val="20"/>
                <w:szCs w:val="20"/>
              </w:rPr>
            </w:pPr>
            <w:r>
              <w:rPr>
                <w:sz w:val="20"/>
                <w:szCs w:val="20"/>
              </w:rPr>
              <w:t>58</w:t>
            </w:r>
          </w:p>
        </w:tc>
        <w:tc>
          <w:tcPr>
            <w:tcW w:w="1062" w:type="dxa"/>
            <w:shd w:val="clear" w:color="auto" w:fill="auto"/>
            <w:noWrap/>
            <w:vAlign w:val="bottom"/>
            <w:hideMark/>
          </w:tcPr>
          <w:p w14:paraId="08B1D62C" w14:textId="77777777" w:rsidR="001B79A6" w:rsidRDefault="001B79A6" w:rsidP="003E077B">
            <w:pPr>
              <w:jc w:val="right"/>
              <w:rPr>
                <w:sz w:val="20"/>
                <w:szCs w:val="20"/>
              </w:rPr>
            </w:pPr>
            <w:r>
              <w:rPr>
                <w:sz w:val="20"/>
                <w:szCs w:val="20"/>
              </w:rPr>
              <w:t>65</w:t>
            </w:r>
          </w:p>
        </w:tc>
      </w:tr>
      <w:tr w:rsidR="001B79A6" w14:paraId="476F36C3" w14:textId="77777777" w:rsidTr="003E077B">
        <w:trPr>
          <w:trHeight w:val="260"/>
          <w:jc w:val="center"/>
        </w:trPr>
        <w:tc>
          <w:tcPr>
            <w:tcW w:w="2151" w:type="dxa"/>
            <w:shd w:val="clear" w:color="auto" w:fill="auto"/>
            <w:noWrap/>
            <w:vAlign w:val="bottom"/>
            <w:hideMark/>
          </w:tcPr>
          <w:p w14:paraId="157795D6" w14:textId="77777777" w:rsidR="001B79A6" w:rsidRDefault="001B79A6" w:rsidP="003E077B">
            <w:pPr>
              <w:rPr>
                <w:sz w:val="20"/>
                <w:szCs w:val="20"/>
              </w:rPr>
            </w:pPr>
            <w:r>
              <w:rPr>
                <w:sz w:val="20"/>
                <w:szCs w:val="20"/>
              </w:rPr>
              <w:t xml:space="preserve"> Surf</w:t>
            </w:r>
          </w:p>
        </w:tc>
        <w:tc>
          <w:tcPr>
            <w:tcW w:w="992" w:type="dxa"/>
            <w:shd w:val="clear" w:color="auto" w:fill="auto"/>
            <w:noWrap/>
            <w:vAlign w:val="bottom"/>
            <w:hideMark/>
          </w:tcPr>
          <w:p w14:paraId="27BBFA4D" w14:textId="77777777" w:rsidR="001B79A6" w:rsidRDefault="001B79A6" w:rsidP="003E077B">
            <w:pPr>
              <w:jc w:val="right"/>
              <w:rPr>
                <w:sz w:val="20"/>
                <w:szCs w:val="20"/>
              </w:rPr>
            </w:pPr>
            <w:r>
              <w:rPr>
                <w:sz w:val="20"/>
                <w:szCs w:val="20"/>
              </w:rPr>
              <w:t>8</w:t>
            </w:r>
          </w:p>
        </w:tc>
        <w:tc>
          <w:tcPr>
            <w:tcW w:w="790" w:type="dxa"/>
            <w:shd w:val="clear" w:color="auto" w:fill="auto"/>
            <w:noWrap/>
            <w:vAlign w:val="bottom"/>
            <w:hideMark/>
          </w:tcPr>
          <w:p w14:paraId="717E215B" w14:textId="77777777" w:rsidR="001B79A6" w:rsidRDefault="001B79A6" w:rsidP="003E077B">
            <w:pPr>
              <w:jc w:val="right"/>
              <w:rPr>
                <w:sz w:val="20"/>
                <w:szCs w:val="20"/>
              </w:rPr>
            </w:pPr>
            <w:r>
              <w:rPr>
                <w:sz w:val="20"/>
                <w:szCs w:val="20"/>
              </w:rPr>
              <w:t>9</w:t>
            </w:r>
          </w:p>
        </w:tc>
        <w:tc>
          <w:tcPr>
            <w:tcW w:w="434" w:type="dxa"/>
            <w:shd w:val="clear" w:color="auto" w:fill="auto"/>
            <w:noWrap/>
            <w:vAlign w:val="bottom"/>
            <w:hideMark/>
          </w:tcPr>
          <w:p w14:paraId="0ED2818B" w14:textId="77777777" w:rsidR="001B79A6" w:rsidRDefault="001B79A6" w:rsidP="003E077B">
            <w:pPr>
              <w:jc w:val="right"/>
              <w:rPr>
                <w:b/>
                <w:bCs/>
                <w:sz w:val="20"/>
                <w:szCs w:val="20"/>
              </w:rPr>
            </w:pPr>
            <w:r>
              <w:rPr>
                <w:b/>
                <w:bCs/>
                <w:sz w:val="20"/>
                <w:szCs w:val="20"/>
              </w:rPr>
              <w:t>12</w:t>
            </w:r>
          </w:p>
        </w:tc>
        <w:tc>
          <w:tcPr>
            <w:tcW w:w="754" w:type="dxa"/>
            <w:shd w:val="clear" w:color="auto" w:fill="auto"/>
            <w:noWrap/>
            <w:vAlign w:val="bottom"/>
            <w:hideMark/>
          </w:tcPr>
          <w:p w14:paraId="3CC0711C" w14:textId="77777777" w:rsidR="001B79A6" w:rsidRDefault="001B79A6" w:rsidP="003E077B">
            <w:pPr>
              <w:jc w:val="right"/>
              <w:rPr>
                <w:sz w:val="20"/>
                <w:szCs w:val="20"/>
              </w:rPr>
            </w:pPr>
            <w:r>
              <w:rPr>
                <w:sz w:val="20"/>
                <w:szCs w:val="20"/>
              </w:rPr>
              <w:t>6.0</w:t>
            </w:r>
          </w:p>
        </w:tc>
        <w:tc>
          <w:tcPr>
            <w:tcW w:w="543" w:type="dxa"/>
            <w:shd w:val="clear" w:color="auto" w:fill="auto"/>
            <w:noWrap/>
            <w:vAlign w:val="bottom"/>
            <w:hideMark/>
          </w:tcPr>
          <w:p w14:paraId="3DC0212E" w14:textId="77777777" w:rsidR="001B79A6" w:rsidRDefault="001B79A6" w:rsidP="003E077B">
            <w:pPr>
              <w:jc w:val="right"/>
              <w:rPr>
                <w:b/>
                <w:bCs/>
                <w:sz w:val="20"/>
                <w:szCs w:val="20"/>
              </w:rPr>
            </w:pPr>
            <w:r>
              <w:rPr>
                <w:b/>
                <w:bCs/>
                <w:sz w:val="20"/>
                <w:szCs w:val="20"/>
              </w:rPr>
              <w:t>3.7</w:t>
            </w:r>
          </w:p>
        </w:tc>
        <w:tc>
          <w:tcPr>
            <w:tcW w:w="1043" w:type="dxa"/>
            <w:shd w:val="clear" w:color="auto" w:fill="auto"/>
            <w:noWrap/>
            <w:vAlign w:val="bottom"/>
            <w:hideMark/>
          </w:tcPr>
          <w:p w14:paraId="0EC5ABAB" w14:textId="77777777" w:rsidR="001B79A6" w:rsidRDefault="001B79A6" w:rsidP="003E077B">
            <w:pPr>
              <w:jc w:val="right"/>
              <w:rPr>
                <w:sz w:val="20"/>
                <w:szCs w:val="20"/>
              </w:rPr>
            </w:pPr>
            <w:r>
              <w:rPr>
                <w:sz w:val="20"/>
                <w:szCs w:val="20"/>
              </w:rPr>
              <w:t>-26</w:t>
            </w:r>
          </w:p>
        </w:tc>
        <w:tc>
          <w:tcPr>
            <w:tcW w:w="1062" w:type="dxa"/>
            <w:shd w:val="clear" w:color="auto" w:fill="auto"/>
            <w:noWrap/>
            <w:vAlign w:val="bottom"/>
            <w:hideMark/>
          </w:tcPr>
          <w:p w14:paraId="50577D50" w14:textId="77777777" w:rsidR="001B79A6" w:rsidRDefault="001B79A6" w:rsidP="003E077B">
            <w:pPr>
              <w:jc w:val="right"/>
              <w:rPr>
                <w:sz w:val="20"/>
                <w:szCs w:val="20"/>
              </w:rPr>
            </w:pPr>
            <w:r>
              <w:rPr>
                <w:sz w:val="20"/>
                <w:szCs w:val="20"/>
              </w:rPr>
              <w:t>63</w:t>
            </w:r>
          </w:p>
        </w:tc>
      </w:tr>
      <w:tr w:rsidR="001B79A6" w14:paraId="21CF3E79" w14:textId="77777777" w:rsidTr="003E077B">
        <w:trPr>
          <w:trHeight w:val="260"/>
          <w:jc w:val="center"/>
        </w:trPr>
        <w:tc>
          <w:tcPr>
            <w:tcW w:w="2151" w:type="dxa"/>
            <w:shd w:val="clear" w:color="auto" w:fill="auto"/>
            <w:noWrap/>
            <w:vAlign w:val="bottom"/>
            <w:hideMark/>
          </w:tcPr>
          <w:p w14:paraId="1094A25F" w14:textId="77777777" w:rsidR="001B79A6" w:rsidRDefault="001B79A6" w:rsidP="003E077B">
            <w:pPr>
              <w:rPr>
                <w:sz w:val="20"/>
                <w:szCs w:val="20"/>
              </w:rPr>
            </w:pPr>
            <w:r>
              <w:rPr>
                <w:sz w:val="20"/>
                <w:szCs w:val="20"/>
              </w:rPr>
              <w:t xml:space="preserve"> Tesco</w:t>
            </w:r>
          </w:p>
        </w:tc>
        <w:tc>
          <w:tcPr>
            <w:tcW w:w="992" w:type="dxa"/>
            <w:shd w:val="clear" w:color="auto" w:fill="auto"/>
            <w:noWrap/>
            <w:vAlign w:val="bottom"/>
            <w:hideMark/>
          </w:tcPr>
          <w:p w14:paraId="3125CD96" w14:textId="77777777" w:rsidR="001B79A6" w:rsidRDefault="001B79A6" w:rsidP="003E077B">
            <w:pPr>
              <w:jc w:val="right"/>
              <w:rPr>
                <w:sz w:val="20"/>
                <w:szCs w:val="20"/>
              </w:rPr>
            </w:pPr>
            <w:r>
              <w:rPr>
                <w:sz w:val="20"/>
                <w:szCs w:val="20"/>
              </w:rPr>
              <w:t>8</w:t>
            </w:r>
          </w:p>
        </w:tc>
        <w:tc>
          <w:tcPr>
            <w:tcW w:w="790" w:type="dxa"/>
            <w:shd w:val="clear" w:color="auto" w:fill="auto"/>
            <w:noWrap/>
            <w:vAlign w:val="bottom"/>
            <w:hideMark/>
          </w:tcPr>
          <w:p w14:paraId="124CBA61" w14:textId="77777777" w:rsidR="001B79A6" w:rsidRDefault="001B79A6" w:rsidP="003E077B">
            <w:pPr>
              <w:jc w:val="right"/>
              <w:rPr>
                <w:sz w:val="20"/>
                <w:szCs w:val="20"/>
              </w:rPr>
            </w:pPr>
            <w:r>
              <w:rPr>
                <w:sz w:val="20"/>
                <w:szCs w:val="20"/>
              </w:rPr>
              <w:t>18</w:t>
            </w:r>
          </w:p>
        </w:tc>
        <w:tc>
          <w:tcPr>
            <w:tcW w:w="434" w:type="dxa"/>
            <w:shd w:val="clear" w:color="auto" w:fill="auto"/>
            <w:noWrap/>
            <w:vAlign w:val="bottom"/>
            <w:hideMark/>
          </w:tcPr>
          <w:p w14:paraId="2496C846" w14:textId="77777777" w:rsidR="001B79A6" w:rsidRDefault="001B79A6" w:rsidP="003E077B">
            <w:pPr>
              <w:jc w:val="right"/>
              <w:rPr>
                <w:b/>
                <w:bCs/>
                <w:sz w:val="20"/>
                <w:szCs w:val="20"/>
              </w:rPr>
            </w:pPr>
            <w:r>
              <w:rPr>
                <w:b/>
                <w:bCs/>
                <w:sz w:val="20"/>
                <w:szCs w:val="20"/>
              </w:rPr>
              <w:t>12</w:t>
            </w:r>
          </w:p>
        </w:tc>
        <w:tc>
          <w:tcPr>
            <w:tcW w:w="754" w:type="dxa"/>
            <w:shd w:val="clear" w:color="auto" w:fill="auto"/>
            <w:noWrap/>
            <w:vAlign w:val="bottom"/>
            <w:hideMark/>
          </w:tcPr>
          <w:p w14:paraId="478DDF46" w14:textId="77777777" w:rsidR="001B79A6" w:rsidRDefault="001B79A6" w:rsidP="003E077B">
            <w:pPr>
              <w:jc w:val="right"/>
              <w:rPr>
                <w:sz w:val="20"/>
                <w:szCs w:val="20"/>
              </w:rPr>
            </w:pPr>
            <w:r>
              <w:rPr>
                <w:sz w:val="20"/>
                <w:szCs w:val="20"/>
              </w:rPr>
              <w:t>5.2</w:t>
            </w:r>
          </w:p>
        </w:tc>
        <w:tc>
          <w:tcPr>
            <w:tcW w:w="543" w:type="dxa"/>
            <w:shd w:val="clear" w:color="auto" w:fill="auto"/>
            <w:noWrap/>
            <w:vAlign w:val="bottom"/>
            <w:hideMark/>
          </w:tcPr>
          <w:p w14:paraId="28BB62F6" w14:textId="77777777" w:rsidR="001B79A6" w:rsidRDefault="001B79A6" w:rsidP="003E077B">
            <w:pPr>
              <w:jc w:val="right"/>
              <w:rPr>
                <w:b/>
                <w:bCs/>
                <w:sz w:val="20"/>
                <w:szCs w:val="20"/>
              </w:rPr>
            </w:pPr>
            <w:r>
              <w:rPr>
                <w:b/>
                <w:bCs/>
                <w:sz w:val="20"/>
                <w:szCs w:val="20"/>
              </w:rPr>
              <w:t>3.7</w:t>
            </w:r>
          </w:p>
        </w:tc>
        <w:tc>
          <w:tcPr>
            <w:tcW w:w="1043" w:type="dxa"/>
            <w:shd w:val="clear" w:color="auto" w:fill="auto"/>
            <w:noWrap/>
            <w:vAlign w:val="bottom"/>
            <w:hideMark/>
          </w:tcPr>
          <w:p w14:paraId="37D04BBD" w14:textId="77777777" w:rsidR="001B79A6" w:rsidRDefault="001B79A6" w:rsidP="003E077B">
            <w:pPr>
              <w:jc w:val="right"/>
              <w:rPr>
                <w:sz w:val="20"/>
                <w:szCs w:val="20"/>
              </w:rPr>
            </w:pPr>
            <w:r>
              <w:rPr>
                <w:sz w:val="20"/>
                <w:szCs w:val="20"/>
              </w:rPr>
              <w:t>46</w:t>
            </w:r>
          </w:p>
        </w:tc>
        <w:tc>
          <w:tcPr>
            <w:tcW w:w="1062" w:type="dxa"/>
            <w:shd w:val="clear" w:color="auto" w:fill="auto"/>
            <w:noWrap/>
            <w:vAlign w:val="bottom"/>
            <w:hideMark/>
          </w:tcPr>
          <w:p w14:paraId="4CF6595E" w14:textId="77777777" w:rsidR="001B79A6" w:rsidRDefault="001B79A6" w:rsidP="003E077B">
            <w:pPr>
              <w:jc w:val="right"/>
              <w:rPr>
                <w:sz w:val="20"/>
                <w:szCs w:val="20"/>
              </w:rPr>
            </w:pPr>
            <w:r>
              <w:rPr>
                <w:sz w:val="20"/>
                <w:szCs w:val="20"/>
              </w:rPr>
              <w:t>42</w:t>
            </w:r>
          </w:p>
        </w:tc>
      </w:tr>
      <w:tr w:rsidR="001B79A6" w14:paraId="1B35CA5B" w14:textId="77777777" w:rsidTr="003E077B">
        <w:trPr>
          <w:trHeight w:val="260"/>
          <w:jc w:val="center"/>
        </w:trPr>
        <w:tc>
          <w:tcPr>
            <w:tcW w:w="2151" w:type="dxa"/>
            <w:shd w:val="clear" w:color="auto" w:fill="auto"/>
            <w:noWrap/>
            <w:vAlign w:val="bottom"/>
            <w:hideMark/>
          </w:tcPr>
          <w:p w14:paraId="269C5AD6" w14:textId="77777777" w:rsidR="001B79A6" w:rsidRDefault="001B79A6" w:rsidP="003E077B">
            <w:pPr>
              <w:rPr>
                <w:sz w:val="20"/>
                <w:szCs w:val="20"/>
              </w:rPr>
            </w:pPr>
            <w:r>
              <w:rPr>
                <w:sz w:val="20"/>
                <w:szCs w:val="20"/>
              </w:rPr>
              <w:t xml:space="preserve"> Asda</w:t>
            </w:r>
          </w:p>
        </w:tc>
        <w:tc>
          <w:tcPr>
            <w:tcW w:w="992" w:type="dxa"/>
            <w:shd w:val="clear" w:color="auto" w:fill="auto"/>
            <w:noWrap/>
            <w:vAlign w:val="bottom"/>
            <w:hideMark/>
          </w:tcPr>
          <w:p w14:paraId="57558408" w14:textId="77777777" w:rsidR="001B79A6" w:rsidRDefault="001B79A6" w:rsidP="003E077B">
            <w:pPr>
              <w:jc w:val="right"/>
              <w:rPr>
                <w:sz w:val="20"/>
                <w:szCs w:val="20"/>
              </w:rPr>
            </w:pPr>
            <w:r>
              <w:rPr>
                <w:sz w:val="20"/>
                <w:szCs w:val="20"/>
              </w:rPr>
              <w:t>5</w:t>
            </w:r>
          </w:p>
        </w:tc>
        <w:tc>
          <w:tcPr>
            <w:tcW w:w="790" w:type="dxa"/>
            <w:shd w:val="clear" w:color="auto" w:fill="auto"/>
            <w:noWrap/>
            <w:vAlign w:val="bottom"/>
            <w:hideMark/>
          </w:tcPr>
          <w:p w14:paraId="06B6FAE8" w14:textId="77777777" w:rsidR="001B79A6" w:rsidRDefault="001B79A6" w:rsidP="003E077B">
            <w:pPr>
              <w:jc w:val="right"/>
              <w:rPr>
                <w:sz w:val="20"/>
                <w:szCs w:val="20"/>
              </w:rPr>
            </w:pPr>
            <w:r>
              <w:rPr>
                <w:sz w:val="20"/>
                <w:szCs w:val="20"/>
              </w:rPr>
              <w:t>15</w:t>
            </w:r>
          </w:p>
        </w:tc>
        <w:tc>
          <w:tcPr>
            <w:tcW w:w="434" w:type="dxa"/>
            <w:shd w:val="clear" w:color="auto" w:fill="auto"/>
            <w:noWrap/>
            <w:vAlign w:val="bottom"/>
            <w:hideMark/>
          </w:tcPr>
          <w:p w14:paraId="34C43B26" w14:textId="77777777" w:rsidR="001B79A6" w:rsidRDefault="001B79A6" w:rsidP="003E077B">
            <w:pPr>
              <w:jc w:val="right"/>
              <w:rPr>
                <w:b/>
                <w:bCs/>
                <w:sz w:val="20"/>
                <w:szCs w:val="20"/>
              </w:rPr>
            </w:pPr>
            <w:r>
              <w:rPr>
                <w:b/>
                <w:bCs/>
                <w:sz w:val="20"/>
                <w:szCs w:val="20"/>
              </w:rPr>
              <w:t>11</w:t>
            </w:r>
          </w:p>
        </w:tc>
        <w:tc>
          <w:tcPr>
            <w:tcW w:w="754" w:type="dxa"/>
            <w:shd w:val="clear" w:color="auto" w:fill="auto"/>
            <w:noWrap/>
            <w:vAlign w:val="bottom"/>
            <w:hideMark/>
          </w:tcPr>
          <w:p w14:paraId="671DE25D" w14:textId="77777777" w:rsidR="001B79A6" w:rsidRDefault="001B79A6" w:rsidP="003E077B">
            <w:pPr>
              <w:jc w:val="right"/>
              <w:rPr>
                <w:sz w:val="20"/>
                <w:szCs w:val="20"/>
              </w:rPr>
            </w:pPr>
            <w:r>
              <w:rPr>
                <w:sz w:val="20"/>
                <w:szCs w:val="20"/>
              </w:rPr>
              <w:t>6.4</w:t>
            </w:r>
          </w:p>
        </w:tc>
        <w:tc>
          <w:tcPr>
            <w:tcW w:w="543" w:type="dxa"/>
            <w:shd w:val="clear" w:color="auto" w:fill="auto"/>
            <w:noWrap/>
            <w:vAlign w:val="bottom"/>
            <w:hideMark/>
          </w:tcPr>
          <w:p w14:paraId="00820785" w14:textId="77777777" w:rsidR="001B79A6" w:rsidRDefault="001B79A6" w:rsidP="003E077B">
            <w:pPr>
              <w:jc w:val="right"/>
              <w:rPr>
                <w:b/>
                <w:bCs/>
                <w:sz w:val="20"/>
                <w:szCs w:val="20"/>
              </w:rPr>
            </w:pPr>
            <w:r>
              <w:rPr>
                <w:b/>
                <w:bCs/>
                <w:sz w:val="20"/>
                <w:szCs w:val="20"/>
              </w:rPr>
              <w:t>3.6</w:t>
            </w:r>
          </w:p>
        </w:tc>
        <w:tc>
          <w:tcPr>
            <w:tcW w:w="1043" w:type="dxa"/>
            <w:shd w:val="clear" w:color="auto" w:fill="auto"/>
            <w:noWrap/>
            <w:vAlign w:val="bottom"/>
            <w:hideMark/>
          </w:tcPr>
          <w:p w14:paraId="176724DA" w14:textId="77777777" w:rsidR="001B79A6" w:rsidRDefault="001B79A6" w:rsidP="003E077B">
            <w:pPr>
              <w:jc w:val="right"/>
              <w:rPr>
                <w:sz w:val="20"/>
                <w:szCs w:val="20"/>
              </w:rPr>
            </w:pPr>
            <w:r>
              <w:rPr>
                <w:sz w:val="20"/>
                <w:szCs w:val="20"/>
              </w:rPr>
              <w:t>29</w:t>
            </w:r>
          </w:p>
        </w:tc>
        <w:tc>
          <w:tcPr>
            <w:tcW w:w="1062" w:type="dxa"/>
            <w:shd w:val="clear" w:color="auto" w:fill="auto"/>
            <w:noWrap/>
            <w:vAlign w:val="bottom"/>
            <w:hideMark/>
          </w:tcPr>
          <w:p w14:paraId="6AFD8720" w14:textId="77777777" w:rsidR="001B79A6" w:rsidRDefault="001B79A6" w:rsidP="003E077B">
            <w:pPr>
              <w:jc w:val="right"/>
              <w:rPr>
                <w:sz w:val="20"/>
                <w:szCs w:val="20"/>
              </w:rPr>
            </w:pPr>
            <w:r>
              <w:rPr>
                <w:sz w:val="20"/>
                <w:szCs w:val="20"/>
              </w:rPr>
              <w:t>80</w:t>
            </w:r>
          </w:p>
        </w:tc>
      </w:tr>
      <w:tr w:rsidR="001B79A6" w14:paraId="0552760C" w14:textId="77777777" w:rsidTr="003E077B">
        <w:trPr>
          <w:trHeight w:val="260"/>
          <w:jc w:val="center"/>
        </w:trPr>
        <w:tc>
          <w:tcPr>
            <w:tcW w:w="2151" w:type="dxa"/>
            <w:shd w:val="clear" w:color="auto" w:fill="auto"/>
            <w:noWrap/>
            <w:vAlign w:val="bottom"/>
            <w:hideMark/>
          </w:tcPr>
          <w:p w14:paraId="79A0BA54" w14:textId="77777777" w:rsidR="001B79A6" w:rsidRDefault="001B79A6" w:rsidP="003E077B">
            <w:pPr>
              <w:rPr>
                <w:sz w:val="20"/>
                <w:szCs w:val="20"/>
              </w:rPr>
            </w:pPr>
            <w:r>
              <w:rPr>
                <w:sz w:val="20"/>
                <w:szCs w:val="20"/>
              </w:rPr>
              <w:t xml:space="preserve"> Sainsbury</w:t>
            </w:r>
          </w:p>
        </w:tc>
        <w:tc>
          <w:tcPr>
            <w:tcW w:w="992" w:type="dxa"/>
            <w:shd w:val="clear" w:color="auto" w:fill="auto"/>
            <w:noWrap/>
            <w:vAlign w:val="bottom"/>
            <w:hideMark/>
          </w:tcPr>
          <w:p w14:paraId="26192E57" w14:textId="77777777" w:rsidR="001B79A6" w:rsidRDefault="001B79A6" w:rsidP="003E077B">
            <w:pPr>
              <w:jc w:val="right"/>
              <w:rPr>
                <w:sz w:val="20"/>
                <w:szCs w:val="20"/>
              </w:rPr>
            </w:pPr>
            <w:r>
              <w:rPr>
                <w:sz w:val="20"/>
                <w:szCs w:val="20"/>
              </w:rPr>
              <w:t>2</w:t>
            </w:r>
          </w:p>
        </w:tc>
        <w:tc>
          <w:tcPr>
            <w:tcW w:w="790" w:type="dxa"/>
            <w:shd w:val="clear" w:color="auto" w:fill="auto"/>
            <w:noWrap/>
            <w:vAlign w:val="bottom"/>
            <w:hideMark/>
          </w:tcPr>
          <w:p w14:paraId="2F1382F8" w14:textId="77777777" w:rsidR="001B79A6" w:rsidRDefault="001B79A6" w:rsidP="003E077B">
            <w:pPr>
              <w:jc w:val="right"/>
              <w:rPr>
                <w:sz w:val="20"/>
                <w:szCs w:val="20"/>
              </w:rPr>
            </w:pPr>
            <w:r>
              <w:rPr>
                <w:sz w:val="20"/>
                <w:szCs w:val="20"/>
              </w:rPr>
              <w:t>11</w:t>
            </w:r>
          </w:p>
        </w:tc>
        <w:tc>
          <w:tcPr>
            <w:tcW w:w="434" w:type="dxa"/>
            <w:shd w:val="clear" w:color="auto" w:fill="auto"/>
            <w:noWrap/>
            <w:vAlign w:val="bottom"/>
            <w:hideMark/>
          </w:tcPr>
          <w:p w14:paraId="1A9422E3" w14:textId="77777777" w:rsidR="001B79A6" w:rsidRDefault="001B79A6" w:rsidP="003E077B">
            <w:pPr>
              <w:jc w:val="right"/>
              <w:rPr>
                <w:b/>
                <w:bCs/>
                <w:sz w:val="20"/>
                <w:szCs w:val="20"/>
              </w:rPr>
            </w:pPr>
            <w:r>
              <w:rPr>
                <w:b/>
                <w:bCs/>
                <w:sz w:val="20"/>
                <w:szCs w:val="20"/>
              </w:rPr>
              <w:t>11</w:t>
            </w:r>
          </w:p>
        </w:tc>
        <w:tc>
          <w:tcPr>
            <w:tcW w:w="754" w:type="dxa"/>
            <w:shd w:val="clear" w:color="auto" w:fill="auto"/>
            <w:noWrap/>
            <w:vAlign w:val="bottom"/>
            <w:hideMark/>
          </w:tcPr>
          <w:p w14:paraId="400B1A2F" w14:textId="77777777" w:rsidR="001B79A6" w:rsidRDefault="001B79A6" w:rsidP="003E077B">
            <w:pPr>
              <w:jc w:val="right"/>
              <w:rPr>
                <w:sz w:val="20"/>
                <w:szCs w:val="20"/>
              </w:rPr>
            </w:pPr>
            <w:r>
              <w:rPr>
                <w:sz w:val="20"/>
                <w:szCs w:val="20"/>
              </w:rPr>
              <w:t>4.9</w:t>
            </w:r>
          </w:p>
        </w:tc>
        <w:tc>
          <w:tcPr>
            <w:tcW w:w="543" w:type="dxa"/>
            <w:shd w:val="clear" w:color="auto" w:fill="auto"/>
            <w:noWrap/>
            <w:vAlign w:val="bottom"/>
            <w:hideMark/>
          </w:tcPr>
          <w:p w14:paraId="04F84E00" w14:textId="77777777" w:rsidR="001B79A6" w:rsidRDefault="001B79A6" w:rsidP="003E077B">
            <w:pPr>
              <w:jc w:val="right"/>
              <w:rPr>
                <w:b/>
                <w:bCs/>
                <w:sz w:val="20"/>
                <w:szCs w:val="20"/>
              </w:rPr>
            </w:pPr>
            <w:r>
              <w:rPr>
                <w:b/>
                <w:bCs/>
                <w:sz w:val="20"/>
                <w:szCs w:val="20"/>
              </w:rPr>
              <w:t>3.5</w:t>
            </w:r>
          </w:p>
        </w:tc>
        <w:tc>
          <w:tcPr>
            <w:tcW w:w="1043" w:type="dxa"/>
            <w:shd w:val="clear" w:color="auto" w:fill="auto"/>
            <w:noWrap/>
            <w:vAlign w:val="bottom"/>
            <w:hideMark/>
          </w:tcPr>
          <w:p w14:paraId="44D51012" w14:textId="77777777" w:rsidR="001B79A6" w:rsidRDefault="001B79A6" w:rsidP="003E077B">
            <w:pPr>
              <w:jc w:val="right"/>
              <w:rPr>
                <w:sz w:val="20"/>
                <w:szCs w:val="20"/>
              </w:rPr>
            </w:pPr>
            <w:r>
              <w:rPr>
                <w:sz w:val="20"/>
                <w:szCs w:val="20"/>
              </w:rPr>
              <w:t>6</w:t>
            </w:r>
          </w:p>
        </w:tc>
        <w:tc>
          <w:tcPr>
            <w:tcW w:w="1062" w:type="dxa"/>
            <w:shd w:val="clear" w:color="auto" w:fill="auto"/>
            <w:noWrap/>
            <w:vAlign w:val="bottom"/>
            <w:hideMark/>
          </w:tcPr>
          <w:p w14:paraId="3CD6539D" w14:textId="77777777" w:rsidR="001B79A6" w:rsidRDefault="001B79A6" w:rsidP="003E077B">
            <w:pPr>
              <w:jc w:val="right"/>
              <w:rPr>
                <w:sz w:val="20"/>
                <w:szCs w:val="20"/>
              </w:rPr>
            </w:pPr>
            <w:r>
              <w:rPr>
                <w:sz w:val="20"/>
                <w:szCs w:val="20"/>
              </w:rPr>
              <w:t>41</w:t>
            </w:r>
          </w:p>
        </w:tc>
      </w:tr>
      <w:tr w:rsidR="001B79A6" w14:paraId="105F93E8" w14:textId="77777777" w:rsidTr="003E077B">
        <w:trPr>
          <w:trHeight w:val="260"/>
          <w:jc w:val="center"/>
        </w:trPr>
        <w:tc>
          <w:tcPr>
            <w:tcW w:w="2151" w:type="dxa"/>
            <w:shd w:val="clear" w:color="auto" w:fill="auto"/>
            <w:noWrap/>
            <w:vAlign w:val="bottom"/>
            <w:hideMark/>
          </w:tcPr>
          <w:p w14:paraId="47874CD4" w14:textId="77777777" w:rsidR="001B79A6" w:rsidRDefault="001B79A6" w:rsidP="003E077B">
            <w:pPr>
              <w:rPr>
                <w:sz w:val="20"/>
                <w:szCs w:val="20"/>
              </w:rPr>
            </w:pPr>
            <w:r>
              <w:rPr>
                <w:sz w:val="20"/>
                <w:szCs w:val="20"/>
              </w:rPr>
              <w:t xml:space="preserve"> Lidl</w:t>
            </w:r>
          </w:p>
        </w:tc>
        <w:tc>
          <w:tcPr>
            <w:tcW w:w="992" w:type="dxa"/>
            <w:shd w:val="clear" w:color="auto" w:fill="auto"/>
            <w:noWrap/>
            <w:vAlign w:val="bottom"/>
            <w:hideMark/>
          </w:tcPr>
          <w:p w14:paraId="2C9B29C6" w14:textId="77777777" w:rsidR="001B79A6" w:rsidRDefault="001B79A6" w:rsidP="003E077B">
            <w:pPr>
              <w:jc w:val="right"/>
              <w:rPr>
                <w:sz w:val="20"/>
                <w:szCs w:val="20"/>
              </w:rPr>
            </w:pPr>
            <w:r>
              <w:rPr>
                <w:sz w:val="20"/>
                <w:szCs w:val="20"/>
              </w:rPr>
              <w:t>2</w:t>
            </w:r>
          </w:p>
        </w:tc>
        <w:tc>
          <w:tcPr>
            <w:tcW w:w="790" w:type="dxa"/>
            <w:shd w:val="clear" w:color="auto" w:fill="auto"/>
            <w:noWrap/>
            <w:vAlign w:val="bottom"/>
            <w:hideMark/>
          </w:tcPr>
          <w:p w14:paraId="579E52B7" w14:textId="77777777" w:rsidR="001B79A6" w:rsidRDefault="001B79A6" w:rsidP="003E077B">
            <w:pPr>
              <w:jc w:val="right"/>
              <w:rPr>
                <w:sz w:val="20"/>
                <w:szCs w:val="20"/>
              </w:rPr>
            </w:pPr>
            <w:r>
              <w:rPr>
                <w:sz w:val="20"/>
                <w:szCs w:val="20"/>
              </w:rPr>
              <w:t>28</w:t>
            </w:r>
          </w:p>
        </w:tc>
        <w:tc>
          <w:tcPr>
            <w:tcW w:w="434" w:type="dxa"/>
            <w:shd w:val="clear" w:color="auto" w:fill="auto"/>
            <w:noWrap/>
            <w:vAlign w:val="bottom"/>
            <w:hideMark/>
          </w:tcPr>
          <w:p w14:paraId="6FD822C0" w14:textId="77777777" w:rsidR="001B79A6" w:rsidRDefault="001B79A6" w:rsidP="003E077B">
            <w:pPr>
              <w:jc w:val="right"/>
              <w:rPr>
                <w:b/>
                <w:bCs/>
                <w:sz w:val="20"/>
                <w:szCs w:val="20"/>
              </w:rPr>
            </w:pPr>
            <w:r>
              <w:rPr>
                <w:b/>
                <w:bCs/>
                <w:sz w:val="20"/>
                <w:szCs w:val="20"/>
              </w:rPr>
              <w:t>10</w:t>
            </w:r>
          </w:p>
        </w:tc>
        <w:tc>
          <w:tcPr>
            <w:tcW w:w="754" w:type="dxa"/>
            <w:shd w:val="clear" w:color="auto" w:fill="auto"/>
            <w:noWrap/>
            <w:vAlign w:val="bottom"/>
            <w:hideMark/>
          </w:tcPr>
          <w:p w14:paraId="51BA0BA5" w14:textId="77777777" w:rsidR="001B79A6" w:rsidRDefault="001B79A6" w:rsidP="003E077B">
            <w:pPr>
              <w:jc w:val="right"/>
              <w:rPr>
                <w:sz w:val="20"/>
                <w:szCs w:val="20"/>
              </w:rPr>
            </w:pPr>
            <w:r>
              <w:rPr>
                <w:sz w:val="20"/>
                <w:szCs w:val="20"/>
              </w:rPr>
              <w:t>3.7</w:t>
            </w:r>
          </w:p>
        </w:tc>
        <w:tc>
          <w:tcPr>
            <w:tcW w:w="543" w:type="dxa"/>
            <w:shd w:val="clear" w:color="auto" w:fill="auto"/>
            <w:noWrap/>
            <w:vAlign w:val="bottom"/>
            <w:hideMark/>
          </w:tcPr>
          <w:p w14:paraId="695DA85C" w14:textId="77777777" w:rsidR="001B79A6" w:rsidRDefault="001B79A6" w:rsidP="003E077B">
            <w:pPr>
              <w:jc w:val="right"/>
              <w:rPr>
                <w:b/>
                <w:bCs/>
                <w:sz w:val="20"/>
                <w:szCs w:val="20"/>
              </w:rPr>
            </w:pPr>
            <w:r>
              <w:rPr>
                <w:b/>
                <w:bCs/>
                <w:sz w:val="20"/>
                <w:szCs w:val="20"/>
              </w:rPr>
              <w:t>3.4</w:t>
            </w:r>
          </w:p>
        </w:tc>
        <w:tc>
          <w:tcPr>
            <w:tcW w:w="1043" w:type="dxa"/>
            <w:shd w:val="clear" w:color="auto" w:fill="auto"/>
            <w:noWrap/>
            <w:vAlign w:val="bottom"/>
            <w:hideMark/>
          </w:tcPr>
          <w:p w14:paraId="4910AF15" w14:textId="77777777" w:rsidR="001B79A6" w:rsidRDefault="001B79A6" w:rsidP="003E077B">
            <w:pPr>
              <w:jc w:val="right"/>
              <w:rPr>
                <w:sz w:val="20"/>
                <w:szCs w:val="20"/>
              </w:rPr>
            </w:pPr>
            <w:r>
              <w:rPr>
                <w:sz w:val="20"/>
                <w:szCs w:val="20"/>
              </w:rPr>
              <w:t>162</w:t>
            </w:r>
          </w:p>
        </w:tc>
        <w:tc>
          <w:tcPr>
            <w:tcW w:w="1062" w:type="dxa"/>
            <w:shd w:val="clear" w:color="auto" w:fill="auto"/>
            <w:noWrap/>
            <w:vAlign w:val="bottom"/>
            <w:hideMark/>
          </w:tcPr>
          <w:p w14:paraId="2019946B" w14:textId="77777777" w:rsidR="001B79A6" w:rsidRDefault="001B79A6" w:rsidP="003E077B">
            <w:pPr>
              <w:jc w:val="right"/>
              <w:rPr>
                <w:sz w:val="20"/>
                <w:szCs w:val="20"/>
              </w:rPr>
            </w:pPr>
            <w:r>
              <w:rPr>
                <w:sz w:val="20"/>
                <w:szCs w:val="20"/>
              </w:rPr>
              <w:t>7</w:t>
            </w:r>
          </w:p>
        </w:tc>
      </w:tr>
      <w:tr w:rsidR="001B79A6" w14:paraId="07A23017" w14:textId="77777777" w:rsidTr="003E077B">
        <w:trPr>
          <w:trHeight w:val="260"/>
          <w:jc w:val="center"/>
        </w:trPr>
        <w:tc>
          <w:tcPr>
            <w:tcW w:w="2151" w:type="dxa"/>
            <w:shd w:val="clear" w:color="auto" w:fill="auto"/>
            <w:noWrap/>
            <w:vAlign w:val="bottom"/>
            <w:hideMark/>
          </w:tcPr>
          <w:p w14:paraId="3DB9E640" w14:textId="77777777" w:rsidR="001B79A6" w:rsidRDefault="001B79A6" w:rsidP="003E077B">
            <w:pPr>
              <w:rPr>
                <w:sz w:val="20"/>
                <w:szCs w:val="20"/>
              </w:rPr>
            </w:pPr>
            <w:r>
              <w:rPr>
                <w:sz w:val="20"/>
                <w:szCs w:val="20"/>
              </w:rPr>
              <w:t xml:space="preserve"> Asda Smartprice</w:t>
            </w:r>
          </w:p>
        </w:tc>
        <w:tc>
          <w:tcPr>
            <w:tcW w:w="992" w:type="dxa"/>
            <w:shd w:val="clear" w:color="auto" w:fill="auto"/>
            <w:noWrap/>
            <w:vAlign w:val="bottom"/>
            <w:hideMark/>
          </w:tcPr>
          <w:p w14:paraId="1FC2FD38" w14:textId="77777777" w:rsidR="001B79A6" w:rsidRDefault="001B79A6" w:rsidP="003E077B">
            <w:pPr>
              <w:jc w:val="right"/>
              <w:rPr>
                <w:sz w:val="20"/>
                <w:szCs w:val="20"/>
              </w:rPr>
            </w:pPr>
            <w:r>
              <w:rPr>
                <w:sz w:val="20"/>
                <w:szCs w:val="20"/>
              </w:rPr>
              <w:t>1</w:t>
            </w:r>
          </w:p>
        </w:tc>
        <w:tc>
          <w:tcPr>
            <w:tcW w:w="790" w:type="dxa"/>
            <w:shd w:val="clear" w:color="auto" w:fill="auto"/>
            <w:noWrap/>
            <w:vAlign w:val="bottom"/>
            <w:hideMark/>
          </w:tcPr>
          <w:p w14:paraId="16790A43" w14:textId="77777777" w:rsidR="001B79A6" w:rsidRDefault="001B79A6" w:rsidP="003E077B">
            <w:pPr>
              <w:jc w:val="right"/>
              <w:rPr>
                <w:sz w:val="20"/>
                <w:szCs w:val="20"/>
              </w:rPr>
            </w:pPr>
            <w:r>
              <w:rPr>
                <w:sz w:val="20"/>
                <w:szCs w:val="20"/>
              </w:rPr>
              <w:t>23</w:t>
            </w:r>
          </w:p>
        </w:tc>
        <w:tc>
          <w:tcPr>
            <w:tcW w:w="434" w:type="dxa"/>
            <w:shd w:val="clear" w:color="auto" w:fill="auto"/>
            <w:noWrap/>
            <w:vAlign w:val="bottom"/>
            <w:hideMark/>
          </w:tcPr>
          <w:p w14:paraId="3C8B79AB" w14:textId="77777777" w:rsidR="001B79A6" w:rsidRDefault="001B79A6" w:rsidP="003E077B">
            <w:pPr>
              <w:jc w:val="right"/>
              <w:rPr>
                <w:b/>
                <w:bCs/>
                <w:sz w:val="20"/>
                <w:szCs w:val="20"/>
              </w:rPr>
            </w:pPr>
            <w:r>
              <w:rPr>
                <w:b/>
                <w:bCs/>
                <w:sz w:val="20"/>
                <w:szCs w:val="20"/>
              </w:rPr>
              <w:t>10</w:t>
            </w:r>
          </w:p>
        </w:tc>
        <w:tc>
          <w:tcPr>
            <w:tcW w:w="754" w:type="dxa"/>
            <w:shd w:val="clear" w:color="auto" w:fill="auto"/>
            <w:noWrap/>
            <w:vAlign w:val="bottom"/>
            <w:hideMark/>
          </w:tcPr>
          <w:p w14:paraId="4DC759FB" w14:textId="77777777" w:rsidR="001B79A6" w:rsidRDefault="001B79A6" w:rsidP="003E077B">
            <w:pPr>
              <w:jc w:val="right"/>
              <w:rPr>
                <w:sz w:val="20"/>
                <w:szCs w:val="20"/>
              </w:rPr>
            </w:pPr>
            <w:r>
              <w:rPr>
                <w:sz w:val="20"/>
                <w:szCs w:val="20"/>
              </w:rPr>
              <w:t>5.7</w:t>
            </w:r>
          </w:p>
        </w:tc>
        <w:tc>
          <w:tcPr>
            <w:tcW w:w="543" w:type="dxa"/>
            <w:shd w:val="clear" w:color="auto" w:fill="auto"/>
            <w:noWrap/>
            <w:vAlign w:val="bottom"/>
            <w:hideMark/>
          </w:tcPr>
          <w:p w14:paraId="73D3C93F" w14:textId="77777777" w:rsidR="001B79A6" w:rsidRDefault="001B79A6" w:rsidP="003E077B">
            <w:pPr>
              <w:jc w:val="right"/>
              <w:rPr>
                <w:b/>
                <w:bCs/>
                <w:sz w:val="20"/>
                <w:szCs w:val="20"/>
              </w:rPr>
            </w:pPr>
            <w:r>
              <w:rPr>
                <w:b/>
                <w:bCs/>
                <w:sz w:val="20"/>
                <w:szCs w:val="20"/>
              </w:rPr>
              <w:t>3.4</w:t>
            </w:r>
          </w:p>
        </w:tc>
        <w:tc>
          <w:tcPr>
            <w:tcW w:w="1043" w:type="dxa"/>
            <w:shd w:val="clear" w:color="auto" w:fill="auto"/>
            <w:noWrap/>
            <w:vAlign w:val="bottom"/>
            <w:hideMark/>
          </w:tcPr>
          <w:p w14:paraId="1EDC78A4" w14:textId="77777777" w:rsidR="001B79A6" w:rsidRDefault="001B79A6" w:rsidP="003E077B">
            <w:pPr>
              <w:jc w:val="right"/>
              <w:rPr>
                <w:sz w:val="20"/>
                <w:szCs w:val="20"/>
              </w:rPr>
            </w:pPr>
            <w:r>
              <w:rPr>
                <w:sz w:val="20"/>
                <w:szCs w:val="20"/>
              </w:rPr>
              <w:t>120</w:t>
            </w:r>
          </w:p>
        </w:tc>
        <w:tc>
          <w:tcPr>
            <w:tcW w:w="1062" w:type="dxa"/>
            <w:shd w:val="clear" w:color="auto" w:fill="auto"/>
            <w:noWrap/>
            <w:vAlign w:val="bottom"/>
            <w:hideMark/>
          </w:tcPr>
          <w:p w14:paraId="0B0CDDB5" w14:textId="77777777" w:rsidR="001B79A6" w:rsidRDefault="001B79A6" w:rsidP="003E077B">
            <w:pPr>
              <w:jc w:val="right"/>
              <w:rPr>
                <w:sz w:val="20"/>
                <w:szCs w:val="20"/>
              </w:rPr>
            </w:pPr>
            <w:r>
              <w:rPr>
                <w:sz w:val="20"/>
                <w:szCs w:val="20"/>
              </w:rPr>
              <w:t>66</w:t>
            </w:r>
          </w:p>
        </w:tc>
      </w:tr>
      <w:tr w:rsidR="001B79A6" w14:paraId="43824FC7" w14:textId="77777777" w:rsidTr="003E077B">
        <w:trPr>
          <w:trHeight w:val="260"/>
          <w:jc w:val="center"/>
        </w:trPr>
        <w:tc>
          <w:tcPr>
            <w:tcW w:w="2151" w:type="dxa"/>
            <w:shd w:val="clear" w:color="auto" w:fill="auto"/>
            <w:noWrap/>
            <w:vAlign w:val="bottom"/>
            <w:hideMark/>
          </w:tcPr>
          <w:p w14:paraId="741B92D5" w14:textId="77777777" w:rsidR="001B79A6" w:rsidRDefault="001B79A6" w:rsidP="003E077B">
            <w:pPr>
              <w:rPr>
                <w:sz w:val="20"/>
                <w:szCs w:val="20"/>
              </w:rPr>
            </w:pPr>
            <w:r>
              <w:rPr>
                <w:sz w:val="20"/>
                <w:szCs w:val="20"/>
              </w:rPr>
              <w:t xml:space="preserve"> Aldi</w:t>
            </w:r>
          </w:p>
        </w:tc>
        <w:tc>
          <w:tcPr>
            <w:tcW w:w="992" w:type="dxa"/>
            <w:shd w:val="clear" w:color="auto" w:fill="auto"/>
            <w:noWrap/>
            <w:vAlign w:val="bottom"/>
            <w:hideMark/>
          </w:tcPr>
          <w:p w14:paraId="60DCE339" w14:textId="77777777" w:rsidR="001B79A6" w:rsidRDefault="001B79A6" w:rsidP="003E077B">
            <w:pPr>
              <w:jc w:val="right"/>
              <w:rPr>
                <w:sz w:val="20"/>
                <w:szCs w:val="20"/>
              </w:rPr>
            </w:pPr>
            <w:r>
              <w:rPr>
                <w:sz w:val="20"/>
                <w:szCs w:val="20"/>
              </w:rPr>
              <w:t>1</w:t>
            </w:r>
          </w:p>
        </w:tc>
        <w:tc>
          <w:tcPr>
            <w:tcW w:w="790" w:type="dxa"/>
            <w:shd w:val="clear" w:color="auto" w:fill="auto"/>
            <w:noWrap/>
            <w:vAlign w:val="bottom"/>
            <w:hideMark/>
          </w:tcPr>
          <w:p w14:paraId="1505E6A3" w14:textId="77777777" w:rsidR="001B79A6" w:rsidRDefault="001B79A6" w:rsidP="003E077B">
            <w:pPr>
              <w:jc w:val="right"/>
              <w:rPr>
                <w:sz w:val="20"/>
                <w:szCs w:val="20"/>
              </w:rPr>
            </w:pPr>
            <w:r>
              <w:rPr>
                <w:sz w:val="20"/>
                <w:szCs w:val="20"/>
              </w:rPr>
              <w:t>17</w:t>
            </w:r>
          </w:p>
        </w:tc>
        <w:tc>
          <w:tcPr>
            <w:tcW w:w="434" w:type="dxa"/>
            <w:shd w:val="clear" w:color="auto" w:fill="auto"/>
            <w:noWrap/>
            <w:vAlign w:val="bottom"/>
            <w:hideMark/>
          </w:tcPr>
          <w:p w14:paraId="1E6DC865" w14:textId="77777777" w:rsidR="001B79A6" w:rsidRDefault="001B79A6" w:rsidP="003E077B">
            <w:pPr>
              <w:jc w:val="right"/>
              <w:rPr>
                <w:b/>
                <w:bCs/>
                <w:sz w:val="20"/>
                <w:szCs w:val="20"/>
              </w:rPr>
            </w:pPr>
            <w:r>
              <w:rPr>
                <w:b/>
                <w:bCs/>
                <w:sz w:val="20"/>
                <w:szCs w:val="20"/>
              </w:rPr>
              <w:t>10</w:t>
            </w:r>
          </w:p>
        </w:tc>
        <w:tc>
          <w:tcPr>
            <w:tcW w:w="754" w:type="dxa"/>
            <w:shd w:val="clear" w:color="auto" w:fill="auto"/>
            <w:noWrap/>
            <w:vAlign w:val="bottom"/>
            <w:hideMark/>
          </w:tcPr>
          <w:p w14:paraId="74AD819C" w14:textId="77777777" w:rsidR="001B79A6" w:rsidRDefault="001B79A6" w:rsidP="003E077B">
            <w:pPr>
              <w:jc w:val="right"/>
              <w:rPr>
                <w:sz w:val="20"/>
                <w:szCs w:val="20"/>
              </w:rPr>
            </w:pPr>
            <w:r>
              <w:rPr>
                <w:sz w:val="20"/>
                <w:szCs w:val="20"/>
              </w:rPr>
              <w:t>3.8</w:t>
            </w:r>
          </w:p>
        </w:tc>
        <w:tc>
          <w:tcPr>
            <w:tcW w:w="543" w:type="dxa"/>
            <w:shd w:val="clear" w:color="auto" w:fill="auto"/>
            <w:noWrap/>
            <w:vAlign w:val="bottom"/>
            <w:hideMark/>
          </w:tcPr>
          <w:p w14:paraId="3F524358" w14:textId="77777777" w:rsidR="001B79A6" w:rsidRDefault="001B79A6" w:rsidP="003E077B">
            <w:pPr>
              <w:jc w:val="right"/>
              <w:rPr>
                <w:b/>
                <w:bCs/>
                <w:sz w:val="20"/>
                <w:szCs w:val="20"/>
              </w:rPr>
            </w:pPr>
            <w:r>
              <w:rPr>
                <w:b/>
                <w:bCs/>
                <w:sz w:val="20"/>
                <w:szCs w:val="20"/>
              </w:rPr>
              <w:t>3.4</w:t>
            </w:r>
          </w:p>
        </w:tc>
        <w:tc>
          <w:tcPr>
            <w:tcW w:w="1043" w:type="dxa"/>
            <w:shd w:val="clear" w:color="auto" w:fill="auto"/>
            <w:noWrap/>
            <w:vAlign w:val="bottom"/>
            <w:hideMark/>
          </w:tcPr>
          <w:p w14:paraId="51EE629B" w14:textId="77777777" w:rsidR="001B79A6" w:rsidRDefault="001B79A6" w:rsidP="003E077B">
            <w:pPr>
              <w:jc w:val="right"/>
              <w:rPr>
                <w:sz w:val="20"/>
                <w:szCs w:val="20"/>
              </w:rPr>
            </w:pPr>
            <w:r>
              <w:rPr>
                <w:sz w:val="20"/>
                <w:szCs w:val="20"/>
              </w:rPr>
              <w:t>60</w:t>
            </w:r>
          </w:p>
        </w:tc>
        <w:tc>
          <w:tcPr>
            <w:tcW w:w="1062" w:type="dxa"/>
            <w:shd w:val="clear" w:color="auto" w:fill="auto"/>
            <w:noWrap/>
            <w:vAlign w:val="bottom"/>
            <w:hideMark/>
          </w:tcPr>
          <w:p w14:paraId="4149B3C4" w14:textId="77777777" w:rsidR="001B79A6" w:rsidRDefault="001B79A6" w:rsidP="003E077B">
            <w:pPr>
              <w:jc w:val="right"/>
              <w:rPr>
                <w:sz w:val="20"/>
                <w:szCs w:val="20"/>
              </w:rPr>
            </w:pPr>
            <w:r>
              <w:rPr>
                <w:sz w:val="20"/>
                <w:szCs w:val="20"/>
              </w:rPr>
              <w:t>10</w:t>
            </w:r>
          </w:p>
        </w:tc>
      </w:tr>
      <w:tr w:rsidR="001B79A6" w14:paraId="6AE0B850" w14:textId="77777777" w:rsidTr="003E077B">
        <w:trPr>
          <w:trHeight w:val="260"/>
          <w:jc w:val="center"/>
        </w:trPr>
        <w:tc>
          <w:tcPr>
            <w:tcW w:w="2151" w:type="dxa"/>
            <w:shd w:val="clear" w:color="auto" w:fill="auto"/>
            <w:noWrap/>
            <w:vAlign w:val="bottom"/>
            <w:hideMark/>
          </w:tcPr>
          <w:p w14:paraId="793B5C82" w14:textId="77777777" w:rsidR="001B79A6" w:rsidRDefault="001B79A6" w:rsidP="003E077B">
            <w:pPr>
              <w:rPr>
                <w:sz w:val="20"/>
                <w:szCs w:val="20"/>
              </w:rPr>
            </w:pPr>
            <w:r>
              <w:rPr>
                <w:sz w:val="20"/>
                <w:szCs w:val="20"/>
              </w:rPr>
              <w:t xml:space="preserve"> Co-op</w:t>
            </w:r>
          </w:p>
        </w:tc>
        <w:tc>
          <w:tcPr>
            <w:tcW w:w="992" w:type="dxa"/>
            <w:shd w:val="clear" w:color="auto" w:fill="auto"/>
            <w:noWrap/>
            <w:vAlign w:val="bottom"/>
            <w:hideMark/>
          </w:tcPr>
          <w:p w14:paraId="7558D18C" w14:textId="77777777" w:rsidR="001B79A6" w:rsidRDefault="001B79A6" w:rsidP="003E077B">
            <w:pPr>
              <w:jc w:val="right"/>
              <w:rPr>
                <w:sz w:val="20"/>
                <w:szCs w:val="20"/>
              </w:rPr>
            </w:pPr>
            <w:r>
              <w:rPr>
                <w:sz w:val="20"/>
                <w:szCs w:val="20"/>
              </w:rPr>
              <w:t>1</w:t>
            </w:r>
          </w:p>
        </w:tc>
        <w:tc>
          <w:tcPr>
            <w:tcW w:w="790" w:type="dxa"/>
            <w:shd w:val="clear" w:color="auto" w:fill="auto"/>
            <w:noWrap/>
            <w:vAlign w:val="bottom"/>
            <w:hideMark/>
          </w:tcPr>
          <w:p w14:paraId="6B6BDE78" w14:textId="77777777" w:rsidR="001B79A6" w:rsidRDefault="001B79A6" w:rsidP="003E077B">
            <w:pPr>
              <w:jc w:val="right"/>
              <w:rPr>
                <w:sz w:val="20"/>
                <w:szCs w:val="20"/>
              </w:rPr>
            </w:pPr>
            <w:r>
              <w:rPr>
                <w:sz w:val="20"/>
                <w:szCs w:val="20"/>
              </w:rPr>
              <w:t>9</w:t>
            </w:r>
          </w:p>
        </w:tc>
        <w:tc>
          <w:tcPr>
            <w:tcW w:w="434" w:type="dxa"/>
            <w:shd w:val="clear" w:color="auto" w:fill="auto"/>
            <w:noWrap/>
            <w:vAlign w:val="bottom"/>
            <w:hideMark/>
          </w:tcPr>
          <w:p w14:paraId="2442901D" w14:textId="77777777" w:rsidR="001B79A6" w:rsidRDefault="001B79A6" w:rsidP="003E077B">
            <w:pPr>
              <w:jc w:val="right"/>
              <w:rPr>
                <w:b/>
                <w:bCs/>
                <w:sz w:val="20"/>
                <w:szCs w:val="20"/>
              </w:rPr>
            </w:pPr>
            <w:r>
              <w:rPr>
                <w:b/>
                <w:bCs/>
                <w:sz w:val="20"/>
                <w:szCs w:val="20"/>
              </w:rPr>
              <w:t>10</w:t>
            </w:r>
          </w:p>
        </w:tc>
        <w:tc>
          <w:tcPr>
            <w:tcW w:w="754" w:type="dxa"/>
            <w:shd w:val="clear" w:color="auto" w:fill="auto"/>
            <w:noWrap/>
            <w:vAlign w:val="bottom"/>
            <w:hideMark/>
          </w:tcPr>
          <w:p w14:paraId="289F7F61" w14:textId="77777777" w:rsidR="001B79A6" w:rsidRDefault="001B79A6" w:rsidP="003E077B">
            <w:pPr>
              <w:jc w:val="right"/>
              <w:rPr>
                <w:sz w:val="20"/>
                <w:szCs w:val="20"/>
              </w:rPr>
            </w:pPr>
            <w:r>
              <w:rPr>
                <w:sz w:val="20"/>
                <w:szCs w:val="20"/>
              </w:rPr>
              <w:t>6.0</w:t>
            </w:r>
          </w:p>
        </w:tc>
        <w:tc>
          <w:tcPr>
            <w:tcW w:w="543" w:type="dxa"/>
            <w:shd w:val="clear" w:color="auto" w:fill="auto"/>
            <w:noWrap/>
            <w:vAlign w:val="bottom"/>
            <w:hideMark/>
          </w:tcPr>
          <w:p w14:paraId="09E673B9" w14:textId="77777777" w:rsidR="001B79A6" w:rsidRDefault="001B79A6" w:rsidP="003E077B">
            <w:pPr>
              <w:jc w:val="right"/>
              <w:rPr>
                <w:b/>
                <w:bCs/>
                <w:sz w:val="20"/>
                <w:szCs w:val="20"/>
              </w:rPr>
            </w:pPr>
            <w:r>
              <w:rPr>
                <w:b/>
                <w:bCs/>
                <w:sz w:val="20"/>
                <w:szCs w:val="20"/>
              </w:rPr>
              <w:t>3.4</w:t>
            </w:r>
          </w:p>
        </w:tc>
        <w:tc>
          <w:tcPr>
            <w:tcW w:w="1043" w:type="dxa"/>
            <w:shd w:val="clear" w:color="auto" w:fill="auto"/>
            <w:noWrap/>
            <w:vAlign w:val="bottom"/>
            <w:hideMark/>
          </w:tcPr>
          <w:p w14:paraId="68F23E9F" w14:textId="77777777" w:rsidR="001B79A6" w:rsidRDefault="001B79A6" w:rsidP="003E077B">
            <w:pPr>
              <w:jc w:val="right"/>
              <w:rPr>
                <w:sz w:val="20"/>
                <w:szCs w:val="20"/>
              </w:rPr>
            </w:pPr>
            <w:r>
              <w:rPr>
                <w:sz w:val="20"/>
                <w:szCs w:val="20"/>
              </w:rPr>
              <w:t>-16</w:t>
            </w:r>
          </w:p>
        </w:tc>
        <w:tc>
          <w:tcPr>
            <w:tcW w:w="1062" w:type="dxa"/>
            <w:shd w:val="clear" w:color="auto" w:fill="auto"/>
            <w:noWrap/>
            <w:vAlign w:val="bottom"/>
            <w:hideMark/>
          </w:tcPr>
          <w:p w14:paraId="30593F5E" w14:textId="77777777" w:rsidR="001B79A6" w:rsidRDefault="001B79A6" w:rsidP="003E077B">
            <w:pPr>
              <w:jc w:val="right"/>
              <w:rPr>
                <w:sz w:val="20"/>
                <w:szCs w:val="20"/>
              </w:rPr>
            </w:pPr>
            <w:r>
              <w:rPr>
                <w:sz w:val="20"/>
                <w:szCs w:val="20"/>
              </w:rPr>
              <w:t>75</w:t>
            </w:r>
          </w:p>
        </w:tc>
      </w:tr>
      <w:tr w:rsidR="001B79A6" w14:paraId="374192D0" w14:textId="77777777" w:rsidTr="003E077B">
        <w:trPr>
          <w:trHeight w:val="260"/>
          <w:jc w:val="center"/>
        </w:trPr>
        <w:tc>
          <w:tcPr>
            <w:tcW w:w="2151" w:type="dxa"/>
            <w:shd w:val="clear" w:color="auto" w:fill="auto"/>
            <w:noWrap/>
            <w:vAlign w:val="bottom"/>
            <w:hideMark/>
          </w:tcPr>
          <w:p w14:paraId="4A0BB39F" w14:textId="77777777" w:rsidR="001B79A6" w:rsidRDefault="001B79A6" w:rsidP="003E077B">
            <w:pPr>
              <w:rPr>
                <w:sz w:val="20"/>
                <w:szCs w:val="20"/>
              </w:rPr>
            </w:pPr>
            <w:r>
              <w:rPr>
                <w:sz w:val="20"/>
                <w:szCs w:val="20"/>
              </w:rPr>
              <w:t xml:space="preserve"> Sains Perform+Protect</w:t>
            </w:r>
          </w:p>
        </w:tc>
        <w:tc>
          <w:tcPr>
            <w:tcW w:w="992" w:type="dxa"/>
            <w:shd w:val="clear" w:color="auto" w:fill="auto"/>
            <w:noWrap/>
            <w:vAlign w:val="bottom"/>
            <w:hideMark/>
          </w:tcPr>
          <w:p w14:paraId="3DF6BD98" w14:textId="77777777" w:rsidR="001B79A6" w:rsidRDefault="001B79A6" w:rsidP="003E077B">
            <w:pPr>
              <w:jc w:val="right"/>
              <w:rPr>
                <w:sz w:val="20"/>
                <w:szCs w:val="20"/>
              </w:rPr>
            </w:pPr>
            <w:r>
              <w:rPr>
                <w:sz w:val="20"/>
                <w:szCs w:val="20"/>
              </w:rPr>
              <w:t>1</w:t>
            </w:r>
          </w:p>
        </w:tc>
        <w:tc>
          <w:tcPr>
            <w:tcW w:w="790" w:type="dxa"/>
            <w:shd w:val="clear" w:color="auto" w:fill="auto"/>
            <w:noWrap/>
            <w:vAlign w:val="bottom"/>
            <w:hideMark/>
          </w:tcPr>
          <w:p w14:paraId="3DD43A19" w14:textId="77777777" w:rsidR="001B79A6" w:rsidRDefault="001B79A6" w:rsidP="003E077B">
            <w:pPr>
              <w:jc w:val="right"/>
              <w:rPr>
                <w:sz w:val="20"/>
                <w:szCs w:val="20"/>
              </w:rPr>
            </w:pPr>
            <w:r>
              <w:rPr>
                <w:sz w:val="20"/>
                <w:szCs w:val="20"/>
              </w:rPr>
              <w:t>5</w:t>
            </w:r>
          </w:p>
        </w:tc>
        <w:tc>
          <w:tcPr>
            <w:tcW w:w="434" w:type="dxa"/>
            <w:shd w:val="clear" w:color="auto" w:fill="auto"/>
            <w:noWrap/>
            <w:vAlign w:val="bottom"/>
            <w:hideMark/>
          </w:tcPr>
          <w:p w14:paraId="11C5AEAC" w14:textId="77777777" w:rsidR="001B79A6" w:rsidRDefault="001B79A6" w:rsidP="003E077B">
            <w:pPr>
              <w:jc w:val="right"/>
              <w:rPr>
                <w:b/>
                <w:bCs/>
                <w:sz w:val="20"/>
                <w:szCs w:val="20"/>
              </w:rPr>
            </w:pPr>
            <w:r>
              <w:rPr>
                <w:b/>
                <w:bCs/>
                <w:sz w:val="20"/>
                <w:szCs w:val="20"/>
              </w:rPr>
              <w:t>10</w:t>
            </w:r>
          </w:p>
        </w:tc>
        <w:tc>
          <w:tcPr>
            <w:tcW w:w="754" w:type="dxa"/>
            <w:shd w:val="clear" w:color="auto" w:fill="auto"/>
            <w:noWrap/>
            <w:vAlign w:val="bottom"/>
            <w:hideMark/>
          </w:tcPr>
          <w:p w14:paraId="67CAAAF0" w14:textId="77777777" w:rsidR="001B79A6" w:rsidRDefault="001B79A6" w:rsidP="003E077B">
            <w:pPr>
              <w:jc w:val="right"/>
              <w:rPr>
                <w:sz w:val="20"/>
                <w:szCs w:val="20"/>
              </w:rPr>
            </w:pPr>
            <w:r>
              <w:rPr>
                <w:sz w:val="20"/>
                <w:szCs w:val="20"/>
              </w:rPr>
              <w:t>5.0</w:t>
            </w:r>
          </w:p>
        </w:tc>
        <w:tc>
          <w:tcPr>
            <w:tcW w:w="543" w:type="dxa"/>
            <w:shd w:val="clear" w:color="auto" w:fill="auto"/>
            <w:noWrap/>
            <w:vAlign w:val="bottom"/>
            <w:hideMark/>
          </w:tcPr>
          <w:p w14:paraId="650CAAB4" w14:textId="77777777" w:rsidR="001B79A6" w:rsidRDefault="001B79A6" w:rsidP="003E077B">
            <w:pPr>
              <w:jc w:val="right"/>
              <w:rPr>
                <w:b/>
                <w:bCs/>
                <w:sz w:val="20"/>
                <w:szCs w:val="20"/>
              </w:rPr>
            </w:pPr>
            <w:r>
              <w:rPr>
                <w:b/>
                <w:bCs/>
                <w:sz w:val="20"/>
                <w:szCs w:val="20"/>
              </w:rPr>
              <w:t>3.4</w:t>
            </w:r>
          </w:p>
        </w:tc>
        <w:tc>
          <w:tcPr>
            <w:tcW w:w="1043" w:type="dxa"/>
            <w:shd w:val="clear" w:color="auto" w:fill="auto"/>
            <w:noWrap/>
            <w:vAlign w:val="bottom"/>
            <w:hideMark/>
          </w:tcPr>
          <w:p w14:paraId="31FD9C59" w14:textId="77777777" w:rsidR="001B79A6" w:rsidRDefault="001B79A6" w:rsidP="003E077B">
            <w:pPr>
              <w:jc w:val="right"/>
              <w:rPr>
                <w:sz w:val="20"/>
                <w:szCs w:val="20"/>
              </w:rPr>
            </w:pPr>
            <w:r>
              <w:rPr>
                <w:sz w:val="20"/>
                <w:szCs w:val="20"/>
              </w:rPr>
              <w:t>-54</w:t>
            </w:r>
          </w:p>
        </w:tc>
        <w:tc>
          <w:tcPr>
            <w:tcW w:w="1062" w:type="dxa"/>
            <w:shd w:val="clear" w:color="auto" w:fill="auto"/>
            <w:noWrap/>
            <w:vAlign w:val="bottom"/>
            <w:hideMark/>
          </w:tcPr>
          <w:p w14:paraId="6963DDD1" w14:textId="77777777" w:rsidR="001B79A6" w:rsidRDefault="001B79A6" w:rsidP="003E077B">
            <w:pPr>
              <w:jc w:val="right"/>
              <w:rPr>
                <w:sz w:val="20"/>
                <w:szCs w:val="20"/>
              </w:rPr>
            </w:pPr>
            <w:r>
              <w:rPr>
                <w:sz w:val="20"/>
                <w:szCs w:val="20"/>
              </w:rPr>
              <w:t>47</w:t>
            </w:r>
          </w:p>
        </w:tc>
      </w:tr>
      <w:tr w:rsidR="001B79A6" w14:paraId="6D200304" w14:textId="77777777" w:rsidTr="003E077B">
        <w:trPr>
          <w:trHeight w:val="260"/>
          <w:jc w:val="center"/>
        </w:trPr>
        <w:tc>
          <w:tcPr>
            <w:tcW w:w="2151" w:type="dxa"/>
            <w:shd w:val="clear" w:color="auto" w:fill="auto"/>
            <w:noWrap/>
            <w:vAlign w:val="bottom"/>
            <w:hideMark/>
          </w:tcPr>
          <w:p w14:paraId="69AA0103" w14:textId="77777777" w:rsidR="001B79A6" w:rsidRDefault="001B79A6" w:rsidP="003E077B">
            <w:pPr>
              <w:rPr>
                <w:sz w:val="20"/>
                <w:szCs w:val="20"/>
              </w:rPr>
            </w:pPr>
            <w:r>
              <w:rPr>
                <w:sz w:val="20"/>
                <w:szCs w:val="20"/>
              </w:rPr>
              <w:t xml:space="preserve"> Ecover</w:t>
            </w:r>
          </w:p>
        </w:tc>
        <w:tc>
          <w:tcPr>
            <w:tcW w:w="992" w:type="dxa"/>
            <w:shd w:val="clear" w:color="auto" w:fill="auto"/>
            <w:noWrap/>
            <w:vAlign w:val="bottom"/>
            <w:hideMark/>
          </w:tcPr>
          <w:p w14:paraId="39F5CCEC" w14:textId="77777777" w:rsidR="001B79A6" w:rsidRDefault="001B79A6" w:rsidP="003E077B">
            <w:pPr>
              <w:jc w:val="right"/>
              <w:rPr>
                <w:sz w:val="20"/>
                <w:szCs w:val="20"/>
              </w:rPr>
            </w:pPr>
            <w:r>
              <w:rPr>
                <w:sz w:val="20"/>
                <w:szCs w:val="20"/>
              </w:rPr>
              <w:t>1</w:t>
            </w:r>
          </w:p>
        </w:tc>
        <w:tc>
          <w:tcPr>
            <w:tcW w:w="790" w:type="dxa"/>
            <w:shd w:val="clear" w:color="auto" w:fill="auto"/>
            <w:noWrap/>
            <w:vAlign w:val="bottom"/>
            <w:hideMark/>
          </w:tcPr>
          <w:p w14:paraId="25C344BD" w14:textId="77777777" w:rsidR="001B79A6" w:rsidRDefault="001B79A6" w:rsidP="003E077B">
            <w:pPr>
              <w:jc w:val="right"/>
              <w:rPr>
                <w:sz w:val="20"/>
                <w:szCs w:val="20"/>
              </w:rPr>
            </w:pPr>
            <w:r>
              <w:rPr>
                <w:sz w:val="20"/>
                <w:szCs w:val="20"/>
              </w:rPr>
              <w:t>33</w:t>
            </w:r>
          </w:p>
        </w:tc>
        <w:tc>
          <w:tcPr>
            <w:tcW w:w="434" w:type="dxa"/>
            <w:shd w:val="clear" w:color="auto" w:fill="auto"/>
            <w:noWrap/>
            <w:vAlign w:val="bottom"/>
            <w:hideMark/>
          </w:tcPr>
          <w:p w14:paraId="4F30D9AE" w14:textId="77777777" w:rsidR="001B79A6" w:rsidRDefault="001B79A6" w:rsidP="003E077B">
            <w:pPr>
              <w:jc w:val="right"/>
              <w:rPr>
                <w:b/>
                <w:bCs/>
                <w:sz w:val="20"/>
                <w:szCs w:val="20"/>
              </w:rPr>
            </w:pPr>
            <w:r>
              <w:rPr>
                <w:b/>
                <w:bCs/>
                <w:sz w:val="20"/>
                <w:szCs w:val="20"/>
              </w:rPr>
              <w:t>10</w:t>
            </w:r>
          </w:p>
        </w:tc>
        <w:tc>
          <w:tcPr>
            <w:tcW w:w="754" w:type="dxa"/>
            <w:shd w:val="clear" w:color="auto" w:fill="auto"/>
            <w:noWrap/>
            <w:vAlign w:val="bottom"/>
            <w:hideMark/>
          </w:tcPr>
          <w:p w14:paraId="201BCBF1" w14:textId="77777777" w:rsidR="001B79A6" w:rsidRDefault="001B79A6" w:rsidP="003E077B">
            <w:pPr>
              <w:jc w:val="right"/>
              <w:rPr>
                <w:sz w:val="20"/>
                <w:szCs w:val="20"/>
              </w:rPr>
            </w:pPr>
            <w:r>
              <w:rPr>
                <w:sz w:val="20"/>
                <w:szCs w:val="20"/>
              </w:rPr>
              <w:t>5.2</w:t>
            </w:r>
          </w:p>
        </w:tc>
        <w:tc>
          <w:tcPr>
            <w:tcW w:w="543" w:type="dxa"/>
            <w:shd w:val="clear" w:color="auto" w:fill="auto"/>
            <w:noWrap/>
            <w:vAlign w:val="bottom"/>
            <w:hideMark/>
          </w:tcPr>
          <w:p w14:paraId="656BAD52" w14:textId="77777777" w:rsidR="001B79A6" w:rsidRDefault="001B79A6" w:rsidP="003E077B">
            <w:pPr>
              <w:jc w:val="right"/>
              <w:rPr>
                <w:b/>
                <w:bCs/>
                <w:sz w:val="20"/>
                <w:szCs w:val="20"/>
              </w:rPr>
            </w:pPr>
            <w:r>
              <w:rPr>
                <w:b/>
                <w:bCs/>
                <w:sz w:val="20"/>
                <w:szCs w:val="20"/>
              </w:rPr>
              <w:t>3.4</w:t>
            </w:r>
          </w:p>
        </w:tc>
        <w:tc>
          <w:tcPr>
            <w:tcW w:w="1043" w:type="dxa"/>
            <w:shd w:val="clear" w:color="auto" w:fill="auto"/>
            <w:noWrap/>
            <w:vAlign w:val="bottom"/>
            <w:hideMark/>
          </w:tcPr>
          <w:p w14:paraId="6EE51BA5" w14:textId="77777777" w:rsidR="001B79A6" w:rsidRDefault="001B79A6" w:rsidP="003E077B">
            <w:pPr>
              <w:jc w:val="right"/>
              <w:rPr>
                <w:sz w:val="20"/>
                <w:szCs w:val="20"/>
              </w:rPr>
            </w:pPr>
            <w:r>
              <w:rPr>
                <w:sz w:val="20"/>
                <w:szCs w:val="20"/>
              </w:rPr>
              <w:t>223</w:t>
            </w:r>
          </w:p>
        </w:tc>
        <w:tc>
          <w:tcPr>
            <w:tcW w:w="1062" w:type="dxa"/>
            <w:shd w:val="clear" w:color="auto" w:fill="auto"/>
            <w:noWrap/>
            <w:vAlign w:val="bottom"/>
            <w:hideMark/>
          </w:tcPr>
          <w:p w14:paraId="6662889E" w14:textId="77777777" w:rsidR="001B79A6" w:rsidRDefault="001B79A6" w:rsidP="003E077B">
            <w:pPr>
              <w:jc w:val="right"/>
              <w:rPr>
                <w:sz w:val="20"/>
                <w:szCs w:val="20"/>
              </w:rPr>
            </w:pPr>
            <w:r>
              <w:rPr>
                <w:sz w:val="20"/>
                <w:szCs w:val="20"/>
              </w:rPr>
              <w:t>51</w:t>
            </w:r>
          </w:p>
        </w:tc>
      </w:tr>
      <w:tr w:rsidR="001B79A6" w14:paraId="33D4D122" w14:textId="77777777" w:rsidTr="003E077B">
        <w:trPr>
          <w:trHeight w:val="160"/>
          <w:jc w:val="center"/>
        </w:trPr>
        <w:tc>
          <w:tcPr>
            <w:tcW w:w="2151" w:type="dxa"/>
            <w:shd w:val="clear" w:color="auto" w:fill="auto"/>
            <w:noWrap/>
            <w:vAlign w:val="bottom"/>
            <w:hideMark/>
          </w:tcPr>
          <w:p w14:paraId="0020A6B2" w14:textId="77777777" w:rsidR="001B79A6" w:rsidRDefault="001B79A6" w:rsidP="003E077B">
            <w:pPr>
              <w:rPr>
                <w:sz w:val="20"/>
                <w:szCs w:val="20"/>
              </w:rPr>
            </w:pPr>
            <w:r>
              <w:rPr>
                <w:sz w:val="20"/>
                <w:szCs w:val="20"/>
              </w:rPr>
              <w:t> </w:t>
            </w:r>
          </w:p>
        </w:tc>
        <w:tc>
          <w:tcPr>
            <w:tcW w:w="992" w:type="dxa"/>
            <w:shd w:val="clear" w:color="auto" w:fill="auto"/>
            <w:noWrap/>
            <w:vAlign w:val="bottom"/>
            <w:hideMark/>
          </w:tcPr>
          <w:p w14:paraId="7FA7A00D" w14:textId="77777777" w:rsidR="001B79A6" w:rsidRDefault="001B79A6" w:rsidP="003E077B">
            <w:pPr>
              <w:jc w:val="right"/>
              <w:rPr>
                <w:sz w:val="20"/>
                <w:szCs w:val="20"/>
              </w:rPr>
            </w:pPr>
            <w:r>
              <w:rPr>
                <w:sz w:val="20"/>
                <w:szCs w:val="20"/>
              </w:rPr>
              <w:t> </w:t>
            </w:r>
          </w:p>
        </w:tc>
        <w:tc>
          <w:tcPr>
            <w:tcW w:w="790" w:type="dxa"/>
            <w:shd w:val="clear" w:color="auto" w:fill="auto"/>
            <w:noWrap/>
            <w:vAlign w:val="bottom"/>
            <w:hideMark/>
          </w:tcPr>
          <w:p w14:paraId="5CB40510" w14:textId="77777777" w:rsidR="001B79A6" w:rsidRDefault="001B79A6" w:rsidP="003E077B">
            <w:pPr>
              <w:jc w:val="right"/>
              <w:rPr>
                <w:sz w:val="20"/>
                <w:szCs w:val="20"/>
              </w:rPr>
            </w:pPr>
            <w:r>
              <w:rPr>
                <w:sz w:val="20"/>
                <w:szCs w:val="20"/>
              </w:rPr>
              <w:t> </w:t>
            </w:r>
          </w:p>
        </w:tc>
        <w:tc>
          <w:tcPr>
            <w:tcW w:w="434" w:type="dxa"/>
            <w:shd w:val="clear" w:color="auto" w:fill="auto"/>
            <w:noWrap/>
            <w:vAlign w:val="bottom"/>
            <w:hideMark/>
          </w:tcPr>
          <w:p w14:paraId="01332616" w14:textId="77777777" w:rsidR="001B79A6" w:rsidRDefault="001B79A6" w:rsidP="003E077B">
            <w:pPr>
              <w:jc w:val="right"/>
              <w:rPr>
                <w:sz w:val="20"/>
                <w:szCs w:val="20"/>
              </w:rPr>
            </w:pPr>
            <w:r>
              <w:rPr>
                <w:sz w:val="20"/>
                <w:szCs w:val="20"/>
              </w:rPr>
              <w:t> </w:t>
            </w:r>
          </w:p>
        </w:tc>
        <w:tc>
          <w:tcPr>
            <w:tcW w:w="754" w:type="dxa"/>
            <w:shd w:val="clear" w:color="auto" w:fill="auto"/>
            <w:noWrap/>
            <w:vAlign w:val="bottom"/>
            <w:hideMark/>
          </w:tcPr>
          <w:p w14:paraId="2248C35B" w14:textId="77777777" w:rsidR="001B79A6" w:rsidRDefault="001B79A6" w:rsidP="003E077B">
            <w:pPr>
              <w:jc w:val="right"/>
              <w:rPr>
                <w:sz w:val="20"/>
                <w:szCs w:val="20"/>
              </w:rPr>
            </w:pPr>
            <w:r>
              <w:rPr>
                <w:sz w:val="20"/>
                <w:szCs w:val="20"/>
              </w:rPr>
              <w:t> </w:t>
            </w:r>
          </w:p>
        </w:tc>
        <w:tc>
          <w:tcPr>
            <w:tcW w:w="543" w:type="dxa"/>
            <w:shd w:val="clear" w:color="auto" w:fill="auto"/>
            <w:noWrap/>
            <w:vAlign w:val="bottom"/>
            <w:hideMark/>
          </w:tcPr>
          <w:p w14:paraId="5C7B37B9" w14:textId="77777777" w:rsidR="001B79A6" w:rsidRDefault="001B79A6" w:rsidP="003E077B">
            <w:pPr>
              <w:jc w:val="right"/>
              <w:rPr>
                <w:sz w:val="20"/>
                <w:szCs w:val="20"/>
              </w:rPr>
            </w:pPr>
            <w:r>
              <w:rPr>
                <w:sz w:val="20"/>
                <w:szCs w:val="20"/>
              </w:rPr>
              <w:t> </w:t>
            </w:r>
          </w:p>
        </w:tc>
        <w:tc>
          <w:tcPr>
            <w:tcW w:w="1043" w:type="dxa"/>
            <w:shd w:val="clear" w:color="auto" w:fill="auto"/>
            <w:noWrap/>
            <w:vAlign w:val="bottom"/>
            <w:hideMark/>
          </w:tcPr>
          <w:p w14:paraId="7E15AC5A" w14:textId="77777777" w:rsidR="001B79A6" w:rsidRDefault="001B79A6" w:rsidP="003E077B">
            <w:pPr>
              <w:jc w:val="right"/>
              <w:rPr>
                <w:sz w:val="20"/>
                <w:szCs w:val="20"/>
              </w:rPr>
            </w:pPr>
            <w:r>
              <w:rPr>
                <w:sz w:val="20"/>
                <w:szCs w:val="20"/>
              </w:rPr>
              <w:t> </w:t>
            </w:r>
          </w:p>
        </w:tc>
        <w:tc>
          <w:tcPr>
            <w:tcW w:w="1062" w:type="dxa"/>
            <w:shd w:val="clear" w:color="auto" w:fill="auto"/>
            <w:noWrap/>
            <w:vAlign w:val="bottom"/>
            <w:hideMark/>
          </w:tcPr>
          <w:p w14:paraId="2081EFAF" w14:textId="77777777" w:rsidR="001B79A6" w:rsidRDefault="001B79A6" w:rsidP="003E077B">
            <w:pPr>
              <w:jc w:val="right"/>
              <w:rPr>
                <w:sz w:val="20"/>
                <w:szCs w:val="20"/>
              </w:rPr>
            </w:pPr>
            <w:r>
              <w:rPr>
                <w:sz w:val="20"/>
                <w:szCs w:val="20"/>
              </w:rPr>
              <w:t> </w:t>
            </w:r>
          </w:p>
        </w:tc>
      </w:tr>
      <w:tr w:rsidR="001B79A6" w14:paraId="6E18EF6A" w14:textId="77777777" w:rsidTr="003E077B">
        <w:trPr>
          <w:trHeight w:val="449"/>
          <w:jc w:val="center"/>
        </w:trPr>
        <w:tc>
          <w:tcPr>
            <w:tcW w:w="2151" w:type="dxa"/>
            <w:tcBorders>
              <w:bottom w:val="single" w:sz="4" w:space="0" w:color="auto"/>
            </w:tcBorders>
            <w:shd w:val="clear" w:color="auto" w:fill="auto"/>
            <w:noWrap/>
            <w:vAlign w:val="center"/>
            <w:hideMark/>
          </w:tcPr>
          <w:p w14:paraId="0667E6E9" w14:textId="77777777" w:rsidR="001B79A6" w:rsidRPr="00AF214E" w:rsidRDefault="001B79A6" w:rsidP="003E077B">
            <w:pPr>
              <w:rPr>
                <w:b/>
                <w:bCs/>
                <w:sz w:val="20"/>
                <w:szCs w:val="20"/>
              </w:rPr>
            </w:pPr>
            <w:r w:rsidRPr="00AF214E">
              <w:rPr>
                <w:b/>
                <w:bCs/>
                <w:sz w:val="20"/>
                <w:szCs w:val="20"/>
              </w:rPr>
              <w:t>Average</w:t>
            </w:r>
          </w:p>
        </w:tc>
        <w:tc>
          <w:tcPr>
            <w:tcW w:w="992" w:type="dxa"/>
            <w:tcBorders>
              <w:bottom w:val="single" w:sz="4" w:space="0" w:color="auto"/>
            </w:tcBorders>
            <w:shd w:val="clear" w:color="auto" w:fill="auto"/>
            <w:noWrap/>
            <w:vAlign w:val="center"/>
            <w:hideMark/>
          </w:tcPr>
          <w:p w14:paraId="5B123F27" w14:textId="77777777" w:rsidR="001B79A6" w:rsidRPr="00AF214E" w:rsidRDefault="001B79A6" w:rsidP="003E077B">
            <w:pPr>
              <w:jc w:val="right"/>
              <w:rPr>
                <w:b/>
                <w:sz w:val="20"/>
                <w:szCs w:val="20"/>
              </w:rPr>
            </w:pPr>
            <w:r w:rsidRPr="00AF214E">
              <w:rPr>
                <w:b/>
                <w:sz w:val="20"/>
                <w:szCs w:val="20"/>
              </w:rPr>
              <w:t>5</w:t>
            </w:r>
          </w:p>
        </w:tc>
        <w:tc>
          <w:tcPr>
            <w:tcW w:w="790" w:type="dxa"/>
            <w:tcBorders>
              <w:bottom w:val="single" w:sz="4" w:space="0" w:color="auto"/>
            </w:tcBorders>
            <w:shd w:val="clear" w:color="auto" w:fill="auto"/>
            <w:noWrap/>
            <w:vAlign w:val="center"/>
            <w:hideMark/>
          </w:tcPr>
          <w:p w14:paraId="660D9215" w14:textId="77777777" w:rsidR="001B79A6" w:rsidRPr="00AF214E" w:rsidRDefault="001B79A6" w:rsidP="003E077B">
            <w:pPr>
              <w:jc w:val="right"/>
              <w:rPr>
                <w:b/>
                <w:sz w:val="20"/>
                <w:szCs w:val="20"/>
              </w:rPr>
            </w:pPr>
            <w:r w:rsidRPr="00AF214E">
              <w:rPr>
                <w:b/>
                <w:sz w:val="20"/>
                <w:szCs w:val="20"/>
              </w:rPr>
              <w:t>16</w:t>
            </w:r>
          </w:p>
        </w:tc>
        <w:tc>
          <w:tcPr>
            <w:tcW w:w="434" w:type="dxa"/>
            <w:tcBorders>
              <w:bottom w:val="single" w:sz="4" w:space="0" w:color="auto"/>
            </w:tcBorders>
            <w:shd w:val="clear" w:color="auto" w:fill="auto"/>
            <w:noWrap/>
            <w:vAlign w:val="center"/>
            <w:hideMark/>
          </w:tcPr>
          <w:p w14:paraId="31AA2471" w14:textId="77777777" w:rsidR="001B79A6" w:rsidRPr="00AF214E" w:rsidRDefault="001B79A6" w:rsidP="003E077B">
            <w:pPr>
              <w:jc w:val="right"/>
              <w:rPr>
                <w:b/>
                <w:sz w:val="20"/>
                <w:szCs w:val="20"/>
              </w:rPr>
            </w:pPr>
            <w:r w:rsidRPr="00AF214E">
              <w:rPr>
                <w:b/>
                <w:sz w:val="20"/>
                <w:szCs w:val="20"/>
              </w:rPr>
              <w:t>11</w:t>
            </w:r>
          </w:p>
        </w:tc>
        <w:tc>
          <w:tcPr>
            <w:tcW w:w="754" w:type="dxa"/>
            <w:tcBorders>
              <w:bottom w:val="single" w:sz="4" w:space="0" w:color="auto"/>
            </w:tcBorders>
            <w:shd w:val="clear" w:color="auto" w:fill="auto"/>
            <w:noWrap/>
            <w:vAlign w:val="center"/>
            <w:hideMark/>
          </w:tcPr>
          <w:p w14:paraId="6744E3B5" w14:textId="77777777" w:rsidR="001B79A6" w:rsidRPr="00AF214E" w:rsidRDefault="001B79A6" w:rsidP="003E077B">
            <w:pPr>
              <w:jc w:val="right"/>
              <w:rPr>
                <w:b/>
                <w:sz w:val="20"/>
                <w:szCs w:val="20"/>
              </w:rPr>
            </w:pPr>
            <w:r w:rsidRPr="00AF214E">
              <w:rPr>
                <w:b/>
                <w:sz w:val="20"/>
                <w:szCs w:val="20"/>
              </w:rPr>
              <w:t>5.2</w:t>
            </w:r>
          </w:p>
        </w:tc>
        <w:tc>
          <w:tcPr>
            <w:tcW w:w="543" w:type="dxa"/>
            <w:tcBorders>
              <w:bottom w:val="single" w:sz="4" w:space="0" w:color="auto"/>
            </w:tcBorders>
            <w:shd w:val="clear" w:color="auto" w:fill="auto"/>
            <w:noWrap/>
            <w:vAlign w:val="center"/>
            <w:hideMark/>
          </w:tcPr>
          <w:p w14:paraId="58E07CBB" w14:textId="77777777" w:rsidR="001B79A6" w:rsidRPr="00AF214E" w:rsidRDefault="001B79A6" w:rsidP="003E077B">
            <w:pPr>
              <w:jc w:val="right"/>
              <w:rPr>
                <w:b/>
                <w:sz w:val="20"/>
                <w:szCs w:val="20"/>
              </w:rPr>
            </w:pPr>
            <w:r w:rsidRPr="00AF214E">
              <w:rPr>
                <w:b/>
                <w:sz w:val="20"/>
                <w:szCs w:val="20"/>
              </w:rPr>
              <w:t>3.6</w:t>
            </w:r>
          </w:p>
        </w:tc>
        <w:tc>
          <w:tcPr>
            <w:tcW w:w="1043" w:type="dxa"/>
            <w:tcBorders>
              <w:bottom w:val="single" w:sz="4" w:space="0" w:color="auto"/>
            </w:tcBorders>
            <w:shd w:val="clear" w:color="auto" w:fill="auto"/>
            <w:noWrap/>
            <w:vAlign w:val="center"/>
            <w:hideMark/>
          </w:tcPr>
          <w:p w14:paraId="371DF3F1" w14:textId="77777777" w:rsidR="001B79A6" w:rsidRPr="00AF214E" w:rsidRDefault="001B79A6" w:rsidP="003E077B">
            <w:pPr>
              <w:jc w:val="right"/>
              <w:rPr>
                <w:b/>
                <w:sz w:val="20"/>
                <w:szCs w:val="20"/>
              </w:rPr>
            </w:pPr>
            <w:r w:rsidRPr="00AF214E">
              <w:rPr>
                <w:b/>
                <w:sz w:val="20"/>
                <w:szCs w:val="20"/>
              </w:rPr>
              <w:t>40</w:t>
            </w:r>
          </w:p>
        </w:tc>
        <w:tc>
          <w:tcPr>
            <w:tcW w:w="1062" w:type="dxa"/>
            <w:tcBorders>
              <w:bottom w:val="single" w:sz="4" w:space="0" w:color="auto"/>
            </w:tcBorders>
            <w:shd w:val="clear" w:color="auto" w:fill="auto"/>
            <w:noWrap/>
            <w:vAlign w:val="center"/>
            <w:hideMark/>
          </w:tcPr>
          <w:p w14:paraId="13242E82" w14:textId="77777777" w:rsidR="001B79A6" w:rsidRPr="00AF214E" w:rsidRDefault="001B79A6" w:rsidP="003E077B">
            <w:pPr>
              <w:jc w:val="right"/>
              <w:rPr>
                <w:b/>
                <w:sz w:val="20"/>
                <w:szCs w:val="20"/>
              </w:rPr>
            </w:pPr>
            <w:r w:rsidRPr="00AF214E">
              <w:rPr>
                <w:b/>
                <w:sz w:val="20"/>
                <w:szCs w:val="20"/>
              </w:rPr>
              <w:t>45</w:t>
            </w:r>
          </w:p>
        </w:tc>
      </w:tr>
    </w:tbl>
    <w:p w14:paraId="4DA5AC92" w14:textId="77777777" w:rsidR="001B79A6" w:rsidRPr="00491D4A" w:rsidRDefault="001B79A6" w:rsidP="001B79A6">
      <w:pPr>
        <w:spacing w:before="120"/>
        <w:jc w:val="center"/>
        <w:rPr>
          <w:rFonts w:cs="Arial"/>
          <w:sz w:val="18"/>
          <w:szCs w:val="18"/>
        </w:rPr>
      </w:pPr>
      <w:r w:rsidRPr="00491D4A">
        <w:rPr>
          <w:rFonts w:cs="Arial"/>
          <w:i/>
          <w:sz w:val="18"/>
          <w:szCs w:val="18"/>
        </w:rPr>
        <w:t>Kantar Worldpanel: 52 weeks to Jan 2005.</w:t>
      </w:r>
      <w:r>
        <w:rPr>
          <w:rFonts w:cs="Arial"/>
          <w:i/>
          <w:sz w:val="18"/>
          <w:szCs w:val="18"/>
        </w:rPr>
        <w:t xml:space="preserve"> </w:t>
      </w:r>
      <w:r>
        <w:rPr>
          <w:rFonts w:cs="Arial"/>
          <w:sz w:val="18"/>
          <w:szCs w:val="18"/>
        </w:rPr>
        <w:t>Percentage deviations:</w:t>
      </w:r>
      <w:r w:rsidRPr="00491D4A">
        <w:rPr>
          <w:rFonts w:cs="Arial"/>
          <w:i/>
          <w:sz w:val="18"/>
          <w:szCs w:val="18"/>
        </w:rPr>
        <w:t xml:space="preserve"> </w:t>
      </w:r>
      <w:r w:rsidRPr="00491D4A">
        <w:rPr>
          <w:rFonts w:cs="Arial"/>
          <w:sz w:val="18"/>
          <w:szCs w:val="18"/>
        </w:rPr>
        <w:t>(O-</w:t>
      </w:r>
      <w:r w:rsidRPr="00491D4A">
        <w:rPr>
          <w:rFonts w:cs="Arial"/>
          <w:b/>
          <w:sz w:val="18"/>
          <w:szCs w:val="18"/>
        </w:rPr>
        <w:t>T</w:t>
      </w:r>
      <w:r w:rsidRPr="00491D4A">
        <w:rPr>
          <w:rFonts w:cs="Arial"/>
          <w:sz w:val="18"/>
          <w:szCs w:val="18"/>
        </w:rPr>
        <w:t>)/</w:t>
      </w:r>
      <w:r w:rsidRPr="00491D4A">
        <w:rPr>
          <w:rFonts w:cs="Arial"/>
          <w:b/>
          <w:sz w:val="18"/>
          <w:szCs w:val="18"/>
        </w:rPr>
        <w:t>T</w:t>
      </w:r>
    </w:p>
    <w:p w14:paraId="67DA28A4" w14:textId="77777777" w:rsidR="001B79A6" w:rsidRDefault="001B79A6" w:rsidP="001B79A6">
      <w:pPr>
        <w:jc w:val="center"/>
        <w:rPr>
          <w:rFonts w:cs="Arial"/>
        </w:rPr>
      </w:pPr>
    </w:p>
    <w:p w14:paraId="089E6E65" w14:textId="77777777" w:rsidR="00722E5C" w:rsidRDefault="00722E5C" w:rsidP="00722E5C">
      <w:pPr>
        <w:rPr>
          <w:rFonts w:cs="Arial"/>
        </w:rPr>
        <w:sectPr w:rsidR="00722E5C">
          <w:footerReference w:type="even" r:id="rId19"/>
          <w:footerReference w:type="default" r:id="rId20"/>
          <w:pgSz w:w="11906" w:h="16838"/>
          <w:pgMar w:top="1440" w:right="1440" w:bottom="1440" w:left="1440" w:header="708" w:footer="708" w:gutter="0"/>
          <w:cols w:space="708"/>
          <w:docGrid w:linePitch="360"/>
        </w:sectPr>
      </w:pPr>
    </w:p>
    <w:p w14:paraId="40FDD456" w14:textId="77777777" w:rsidR="00722E5C" w:rsidRDefault="00722E5C" w:rsidP="00722E5C">
      <w:pPr>
        <w:rPr>
          <w:rFonts w:cs="Arial"/>
        </w:rPr>
      </w:pPr>
    </w:p>
    <w:p w14:paraId="64C7B132" w14:textId="77777777" w:rsidR="00722E5C" w:rsidRDefault="00722E5C" w:rsidP="00722E5C">
      <w:pPr>
        <w:rPr>
          <w:rFonts w:cs="Arial"/>
        </w:rPr>
      </w:pPr>
    </w:p>
    <w:p w14:paraId="5BE5AFB7" w14:textId="77777777" w:rsidR="00722E5C" w:rsidRDefault="00722E5C" w:rsidP="00722E5C">
      <w:pPr>
        <w:rPr>
          <w:rFonts w:cs="Arial"/>
        </w:rPr>
      </w:pPr>
    </w:p>
    <w:p w14:paraId="1592F68B" w14:textId="77777777" w:rsidR="00722E5C" w:rsidRDefault="00722E5C" w:rsidP="00722E5C">
      <w:pPr>
        <w:jc w:val="center"/>
        <w:rPr>
          <w:rFonts w:cs="Arial"/>
        </w:rPr>
      </w:pPr>
    </w:p>
    <w:p w14:paraId="4208FE06" w14:textId="5DB77894" w:rsidR="00722E5C" w:rsidRPr="00033F64" w:rsidRDefault="00722E5C" w:rsidP="00722E5C">
      <w:pPr>
        <w:jc w:val="center"/>
        <w:rPr>
          <w:b/>
        </w:rPr>
      </w:pPr>
      <w:r w:rsidRPr="00033F64">
        <w:rPr>
          <w:b/>
        </w:rPr>
        <w:t xml:space="preserve">Table </w:t>
      </w:r>
      <w:r w:rsidR="001B79A6">
        <w:rPr>
          <w:b/>
        </w:rPr>
        <w:t>3</w:t>
      </w:r>
      <w:r>
        <w:rPr>
          <w:b/>
        </w:rPr>
        <w:t>.</w:t>
      </w:r>
      <w:r w:rsidRPr="00033F64">
        <w:rPr>
          <w:b/>
        </w:rPr>
        <w:t xml:space="preserve"> Six Year Erosion of Repeat-Purchase Loyalty</w:t>
      </w:r>
    </w:p>
    <w:p w14:paraId="6E06099D" w14:textId="77777777" w:rsidR="00722E5C" w:rsidRPr="00033F64" w:rsidRDefault="00722E5C" w:rsidP="00722E5C">
      <w:pPr>
        <w:jc w:val="center"/>
      </w:pPr>
      <w:r w:rsidRPr="00033F64">
        <w:rPr>
          <w:b/>
        </w:rPr>
        <w:t xml:space="preserve">for 90 Brands in  18 Frequently Purchased UK Categories </w:t>
      </w:r>
    </w:p>
    <w:p w14:paraId="78ABB947" w14:textId="77777777" w:rsidR="00722E5C" w:rsidRPr="00033F64" w:rsidRDefault="00722E5C" w:rsidP="00722E5C"/>
    <w:p w14:paraId="6EEFD2B3" w14:textId="77777777" w:rsidR="00722E5C" w:rsidRDefault="00722E5C" w:rsidP="00722E5C">
      <w:pPr>
        <w:jc w:val="center"/>
        <w:rPr>
          <w:rFonts w:cs="Arial"/>
        </w:rPr>
      </w:pPr>
    </w:p>
    <w:tbl>
      <w:tblPr>
        <w:tblStyle w:val="TableGrid"/>
        <w:tblW w:w="0" w:type="auto"/>
        <w:tblInd w:w="26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874"/>
        <w:gridCol w:w="874"/>
        <w:gridCol w:w="874"/>
        <w:gridCol w:w="874"/>
        <w:gridCol w:w="874"/>
        <w:gridCol w:w="1442"/>
      </w:tblGrid>
      <w:tr w:rsidR="00722E5C" w14:paraId="4D090162" w14:textId="77777777" w:rsidTr="00440578">
        <w:trPr>
          <w:trHeight w:val="612"/>
        </w:trPr>
        <w:tc>
          <w:tcPr>
            <w:tcW w:w="3260" w:type="dxa"/>
            <w:tcBorders>
              <w:top w:val="single" w:sz="4" w:space="0" w:color="auto"/>
              <w:bottom w:val="single" w:sz="4" w:space="0" w:color="auto"/>
            </w:tcBorders>
            <w:vAlign w:val="center"/>
          </w:tcPr>
          <w:p w14:paraId="01730B40" w14:textId="77777777" w:rsidR="00722E5C" w:rsidRPr="00CB1248" w:rsidRDefault="00722E5C" w:rsidP="00722E5C">
            <w:pPr>
              <w:jc w:val="center"/>
              <w:rPr>
                <w:rFonts w:cs="Arial"/>
                <w:sz w:val="20"/>
                <w:szCs w:val="20"/>
              </w:rPr>
            </w:pPr>
          </w:p>
        </w:tc>
        <w:tc>
          <w:tcPr>
            <w:tcW w:w="874" w:type="dxa"/>
            <w:tcBorders>
              <w:top w:val="single" w:sz="4" w:space="0" w:color="auto"/>
              <w:bottom w:val="single" w:sz="4" w:space="0" w:color="auto"/>
            </w:tcBorders>
            <w:vAlign w:val="center"/>
          </w:tcPr>
          <w:p w14:paraId="35835138" w14:textId="77777777" w:rsidR="00722E5C" w:rsidRDefault="00722E5C" w:rsidP="00722E5C">
            <w:pPr>
              <w:jc w:val="center"/>
              <w:rPr>
                <w:rFonts w:cs="Arial"/>
                <w:sz w:val="20"/>
                <w:szCs w:val="20"/>
              </w:rPr>
            </w:pPr>
            <w:r>
              <w:rPr>
                <w:rFonts w:cs="Arial"/>
                <w:sz w:val="20"/>
                <w:szCs w:val="20"/>
              </w:rPr>
              <w:t>Year 2</w:t>
            </w:r>
          </w:p>
          <w:p w14:paraId="09CFA950" w14:textId="77777777" w:rsidR="00722E5C" w:rsidRPr="00CB1248" w:rsidRDefault="00722E5C" w:rsidP="00722E5C">
            <w:pPr>
              <w:jc w:val="center"/>
              <w:rPr>
                <w:rFonts w:cs="Arial"/>
                <w:sz w:val="20"/>
                <w:szCs w:val="20"/>
              </w:rPr>
            </w:pPr>
            <w:r>
              <w:rPr>
                <w:rFonts w:cs="Arial"/>
                <w:sz w:val="20"/>
                <w:szCs w:val="20"/>
              </w:rPr>
              <w:t>%</w:t>
            </w:r>
          </w:p>
        </w:tc>
        <w:tc>
          <w:tcPr>
            <w:tcW w:w="874" w:type="dxa"/>
            <w:tcBorders>
              <w:top w:val="single" w:sz="4" w:space="0" w:color="auto"/>
              <w:bottom w:val="single" w:sz="4" w:space="0" w:color="auto"/>
            </w:tcBorders>
            <w:vAlign w:val="center"/>
          </w:tcPr>
          <w:p w14:paraId="7E9F2A71" w14:textId="77777777" w:rsidR="00722E5C" w:rsidRDefault="00722E5C" w:rsidP="00722E5C">
            <w:pPr>
              <w:jc w:val="center"/>
              <w:rPr>
                <w:rFonts w:cs="Arial"/>
                <w:sz w:val="20"/>
                <w:szCs w:val="20"/>
              </w:rPr>
            </w:pPr>
            <w:r>
              <w:rPr>
                <w:rFonts w:cs="Arial"/>
                <w:sz w:val="20"/>
                <w:szCs w:val="20"/>
              </w:rPr>
              <w:t>Year 3</w:t>
            </w:r>
          </w:p>
          <w:p w14:paraId="3B2C1CB9" w14:textId="77777777" w:rsidR="00722E5C" w:rsidRPr="00CB1248" w:rsidRDefault="00722E5C" w:rsidP="00722E5C">
            <w:pPr>
              <w:jc w:val="center"/>
              <w:rPr>
                <w:rFonts w:cs="Arial"/>
                <w:sz w:val="20"/>
                <w:szCs w:val="20"/>
              </w:rPr>
            </w:pPr>
            <w:r>
              <w:rPr>
                <w:rFonts w:cs="Arial"/>
                <w:sz w:val="20"/>
                <w:szCs w:val="20"/>
              </w:rPr>
              <w:t>%</w:t>
            </w:r>
          </w:p>
        </w:tc>
        <w:tc>
          <w:tcPr>
            <w:tcW w:w="874" w:type="dxa"/>
            <w:tcBorders>
              <w:top w:val="single" w:sz="4" w:space="0" w:color="auto"/>
              <w:bottom w:val="single" w:sz="4" w:space="0" w:color="auto"/>
            </w:tcBorders>
            <w:vAlign w:val="center"/>
          </w:tcPr>
          <w:p w14:paraId="2656BFCC" w14:textId="77777777" w:rsidR="00722E5C" w:rsidRDefault="00722E5C" w:rsidP="00722E5C">
            <w:pPr>
              <w:jc w:val="center"/>
              <w:rPr>
                <w:rFonts w:cs="Arial"/>
                <w:sz w:val="20"/>
                <w:szCs w:val="20"/>
              </w:rPr>
            </w:pPr>
            <w:r>
              <w:rPr>
                <w:rFonts w:cs="Arial"/>
                <w:sz w:val="20"/>
                <w:szCs w:val="20"/>
              </w:rPr>
              <w:t>Year 4</w:t>
            </w:r>
          </w:p>
          <w:p w14:paraId="6908BFBC" w14:textId="77777777" w:rsidR="00722E5C" w:rsidRPr="00CB1248" w:rsidRDefault="00722E5C" w:rsidP="00722E5C">
            <w:pPr>
              <w:jc w:val="center"/>
              <w:rPr>
                <w:rFonts w:cs="Arial"/>
                <w:sz w:val="20"/>
                <w:szCs w:val="20"/>
              </w:rPr>
            </w:pPr>
            <w:r>
              <w:rPr>
                <w:rFonts w:cs="Arial"/>
                <w:sz w:val="20"/>
                <w:szCs w:val="20"/>
              </w:rPr>
              <w:t>%</w:t>
            </w:r>
          </w:p>
        </w:tc>
        <w:tc>
          <w:tcPr>
            <w:tcW w:w="874" w:type="dxa"/>
            <w:tcBorders>
              <w:top w:val="single" w:sz="4" w:space="0" w:color="auto"/>
              <w:bottom w:val="single" w:sz="4" w:space="0" w:color="auto"/>
            </w:tcBorders>
            <w:vAlign w:val="center"/>
          </w:tcPr>
          <w:p w14:paraId="0FB08C35" w14:textId="77777777" w:rsidR="00722E5C" w:rsidRDefault="00722E5C" w:rsidP="00722E5C">
            <w:pPr>
              <w:jc w:val="center"/>
              <w:rPr>
                <w:rFonts w:cs="Arial"/>
                <w:sz w:val="20"/>
                <w:szCs w:val="20"/>
              </w:rPr>
            </w:pPr>
            <w:r>
              <w:rPr>
                <w:rFonts w:cs="Arial"/>
                <w:sz w:val="20"/>
                <w:szCs w:val="20"/>
              </w:rPr>
              <w:t>Year 5</w:t>
            </w:r>
          </w:p>
          <w:p w14:paraId="02FF78DE" w14:textId="77777777" w:rsidR="00722E5C" w:rsidRPr="00CB1248" w:rsidRDefault="00722E5C" w:rsidP="00722E5C">
            <w:pPr>
              <w:jc w:val="center"/>
              <w:rPr>
                <w:rFonts w:cs="Arial"/>
                <w:sz w:val="20"/>
                <w:szCs w:val="20"/>
              </w:rPr>
            </w:pPr>
            <w:r>
              <w:rPr>
                <w:rFonts w:cs="Arial"/>
                <w:sz w:val="20"/>
                <w:szCs w:val="20"/>
              </w:rPr>
              <w:t>%</w:t>
            </w:r>
          </w:p>
        </w:tc>
        <w:tc>
          <w:tcPr>
            <w:tcW w:w="874" w:type="dxa"/>
            <w:tcBorders>
              <w:top w:val="single" w:sz="4" w:space="0" w:color="auto"/>
              <w:bottom w:val="single" w:sz="4" w:space="0" w:color="auto"/>
            </w:tcBorders>
            <w:vAlign w:val="center"/>
          </w:tcPr>
          <w:p w14:paraId="1DCC8530" w14:textId="77777777" w:rsidR="00722E5C" w:rsidRDefault="00722E5C" w:rsidP="00722E5C">
            <w:pPr>
              <w:jc w:val="center"/>
              <w:rPr>
                <w:rFonts w:cs="Arial"/>
                <w:sz w:val="20"/>
                <w:szCs w:val="20"/>
              </w:rPr>
            </w:pPr>
            <w:r>
              <w:rPr>
                <w:rFonts w:cs="Arial"/>
                <w:sz w:val="20"/>
                <w:szCs w:val="20"/>
              </w:rPr>
              <w:t>Year 6</w:t>
            </w:r>
          </w:p>
          <w:p w14:paraId="4A1E402E" w14:textId="77777777" w:rsidR="00722E5C" w:rsidRPr="00CB1248" w:rsidRDefault="00722E5C" w:rsidP="00722E5C">
            <w:pPr>
              <w:jc w:val="center"/>
              <w:rPr>
                <w:rFonts w:cs="Arial"/>
                <w:sz w:val="20"/>
                <w:szCs w:val="20"/>
              </w:rPr>
            </w:pPr>
            <w:r>
              <w:rPr>
                <w:rFonts w:cs="Arial"/>
                <w:sz w:val="20"/>
                <w:szCs w:val="20"/>
              </w:rPr>
              <w:t>%</w:t>
            </w:r>
          </w:p>
        </w:tc>
        <w:tc>
          <w:tcPr>
            <w:tcW w:w="1442" w:type="dxa"/>
            <w:tcBorders>
              <w:top w:val="single" w:sz="4" w:space="0" w:color="auto"/>
              <w:bottom w:val="single" w:sz="4" w:space="0" w:color="auto"/>
            </w:tcBorders>
            <w:vAlign w:val="center"/>
          </w:tcPr>
          <w:p w14:paraId="059108F8" w14:textId="77777777" w:rsidR="00722E5C" w:rsidRDefault="00722E5C" w:rsidP="00722E5C">
            <w:pPr>
              <w:jc w:val="center"/>
              <w:rPr>
                <w:rFonts w:cs="Arial"/>
                <w:sz w:val="20"/>
                <w:szCs w:val="20"/>
              </w:rPr>
            </w:pPr>
            <w:r>
              <w:rPr>
                <w:rFonts w:cs="Arial"/>
                <w:sz w:val="20"/>
                <w:szCs w:val="20"/>
              </w:rPr>
              <w:t>Erosion %</w:t>
            </w:r>
          </w:p>
          <w:p w14:paraId="2811C6EC" w14:textId="77777777" w:rsidR="00722E5C" w:rsidRPr="00CB1248" w:rsidRDefault="00722E5C" w:rsidP="00722E5C">
            <w:pPr>
              <w:jc w:val="center"/>
              <w:rPr>
                <w:rFonts w:cs="Arial"/>
                <w:sz w:val="20"/>
                <w:szCs w:val="20"/>
              </w:rPr>
            </w:pPr>
            <w:r>
              <w:rPr>
                <w:rFonts w:cs="Arial"/>
                <w:sz w:val="20"/>
                <w:szCs w:val="20"/>
              </w:rPr>
              <w:t>(Y2-Y6)/Y2</w:t>
            </w:r>
          </w:p>
        </w:tc>
      </w:tr>
      <w:tr w:rsidR="00722E5C" w14:paraId="724F0E7C" w14:textId="77777777" w:rsidTr="00440578">
        <w:tc>
          <w:tcPr>
            <w:tcW w:w="3260" w:type="dxa"/>
            <w:tcBorders>
              <w:top w:val="single" w:sz="4" w:space="0" w:color="auto"/>
            </w:tcBorders>
          </w:tcPr>
          <w:p w14:paraId="6D86E889" w14:textId="77777777" w:rsidR="00722E5C" w:rsidRPr="00CB1248" w:rsidRDefault="00722E5C" w:rsidP="00722E5C">
            <w:pPr>
              <w:rPr>
                <w:rFonts w:cs="Arial"/>
                <w:sz w:val="20"/>
                <w:szCs w:val="20"/>
              </w:rPr>
            </w:pPr>
          </w:p>
        </w:tc>
        <w:tc>
          <w:tcPr>
            <w:tcW w:w="874" w:type="dxa"/>
            <w:tcBorders>
              <w:top w:val="single" w:sz="4" w:space="0" w:color="auto"/>
            </w:tcBorders>
          </w:tcPr>
          <w:p w14:paraId="6B93CB19" w14:textId="77777777" w:rsidR="00722E5C" w:rsidRPr="00CB1248" w:rsidRDefault="00722E5C" w:rsidP="00722E5C">
            <w:pPr>
              <w:jc w:val="center"/>
              <w:rPr>
                <w:rFonts w:cs="Arial"/>
                <w:sz w:val="20"/>
                <w:szCs w:val="20"/>
              </w:rPr>
            </w:pPr>
          </w:p>
        </w:tc>
        <w:tc>
          <w:tcPr>
            <w:tcW w:w="874" w:type="dxa"/>
            <w:tcBorders>
              <w:top w:val="single" w:sz="4" w:space="0" w:color="auto"/>
            </w:tcBorders>
          </w:tcPr>
          <w:p w14:paraId="1FE37DB0" w14:textId="77777777" w:rsidR="00722E5C" w:rsidRPr="00CB1248" w:rsidRDefault="00722E5C" w:rsidP="00722E5C">
            <w:pPr>
              <w:jc w:val="center"/>
              <w:rPr>
                <w:rFonts w:cs="Arial"/>
                <w:sz w:val="20"/>
                <w:szCs w:val="20"/>
              </w:rPr>
            </w:pPr>
          </w:p>
        </w:tc>
        <w:tc>
          <w:tcPr>
            <w:tcW w:w="874" w:type="dxa"/>
            <w:tcBorders>
              <w:top w:val="single" w:sz="4" w:space="0" w:color="auto"/>
            </w:tcBorders>
          </w:tcPr>
          <w:p w14:paraId="7559894C" w14:textId="77777777" w:rsidR="00722E5C" w:rsidRPr="00CB1248" w:rsidRDefault="00722E5C" w:rsidP="00722E5C">
            <w:pPr>
              <w:jc w:val="center"/>
              <w:rPr>
                <w:rFonts w:cs="Arial"/>
                <w:sz w:val="20"/>
                <w:szCs w:val="20"/>
              </w:rPr>
            </w:pPr>
          </w:p>
        </w:tc>
        <w:tc>
          <w:tcPr>
            <w:tcW w:w="874" w:type="dxa"/>
            <w:tcBorders>
              <w:top w:val="single" w:sz="4" w:space="0" w:color="auto"/>
            </w:tcBorders>
          </w:tcPr>
          <w:p w14:paraId="06F529F0" w14:textId="77777777" w:rsidR="00722E5C" w:rsidRPr="00CB1248" w:rsidRDefault="00722E5C" w:rsidP="00722E5C">
            <w:pPr>
              <w:jc w:val="center"/>
              <w:rPr>
                <w:rFonts w:cs="Arial"/>
                <w:sz w:val="20"/>
                <w:szCs w:val="20"/>
              </w:rPr>
            </w:pPr>
          </w:p>
        </w:tc>
        <w:tc>
          <w:tcPr>
            <w:tcW w:w="874" w:type="dxa"/>
            <w:tcBorders>
              <w:top w:val="single" w:sz="4" w:space="0" w:color="auto"/>
            </w:tcBorders>
          </w:tcPr>
          <w:p w14:paraId="0656A373" w14:textId="77777777" w:rsidR="00722E5C" w:rsidRPr="00CB1248" w:rsidRDefault="00722E5C" w:rsidP="00722E5C">
            <w:pPr>
              <w:jc w:val="center"/>
              <w:rPr>
                <w:rFonts w:cs="Arial"/>
                <w:sz w:val="20"/>
                <w:szCs w:val="20"/>
              </w:rPr>
            </w:pPr>
          </w:p>
        </w:tc>
        <w:tc>
          <w:tcPr>
            <w:tcW w:w="1442" w:type="dxa"/>
            <w:tcBorders>
              <w:top w:val="single" w:sz="4" w:space="0" w:color="auto"/>
            </w:tcBorders>
          </w:tcPr>
          <w:p w14:paraId="44C91C4A" w14:textId="77777777" w:rsidR="00722E5C" w:rsidRPr="00CB1248" w:rsidRDefault="00722E5C" w:rsidP="00722E5C">
            <w:pPr>
              <w:jc w:val="center"/>
              <w:rPr>
                <w:rFonts w:cs="Arial"/>
                <w:sz w:val="20"/>
                <w:szCs w:val="20"/>
              </w:rPr>
            </w:pPr>
          </w:p>
        </w:tc>
      </w:tr>
      <w:tr w:rsidR="00722E5C" w14:paraId="60665F2F" w14:textId="77777777" w:rsidTr="00440578">
        <w:tc>
          <w:tcPr>
            <w:tcW w:w="3260" w:type="dxa"/>
          </w:tcPr>
          <w:p w14:paraId="5DEB8F73" w14:textId="77777777" w:rsidR="00722E5C" w:rsidRPr="00CB1248" w:rsidRDefault="00722E5C" w:rsidP="00722E5C">
            <w:pPr>
              <w:rPr>
                <w:rFonts w:cs="Arial"/>
                <w:sz w:val="20"/>
                <w:szCs w:val="20"/>
              </w:rPr>
            </w:pPr>
            <w:r w:rsidRPr="00CB1248">
              <w:rPr>
                <w:rFonts w:cs="Arial"/>
                <w:sz w:val="20"/>
                <w:szCs w:val="20"/>
              </w:rPr>
              <w:t>Mean Quarterly Repeat %</w:t>
            </w:r>
          </w:p>
        </w:tc>
        <w:tc>
          <w:tcPr>
            <w:tcW w:w="874" w:type="dxa"/>
          </w:tcPr>
          <w:p w14:paraId="30EB17E7" w14:textId="77777777" w:rsidR="00722E5C" w:rsidRPr="00CB1248" w:rsidRDefault="00722E5C" w:rsidP="00722E5C">
            <w:pPr>
              <w:jc w:val="center"/>
              <w:rPr>
                <w:rFonts w:cs="Arial"/>
                <w:sz w:val="20"/>
                <w:szCs w:val="20"/>
              </w:rPr>
            </w:pPr>
            <w:r w:rsidRPr="00CB1248">
              <w:rPr>
                <w:rFonts w:cs="Arial"/>
                <w:sz w:val="20"/>
                <w:szCs w:val="20"/>
              </w:rPr>
              <w:t>36</w:t>
            </w:r>
          </w:p>
        </w:tc>
        <w:tc>
          <w:tcPr>
            <w:tcW w:w="874" w:type="dxa"/>
          </w:tcPr>
          <w:p w14:paraId="4600CCB0" w14:textId="77777777" w:rsidR="00722E5C" w:rsidRPr="00CB1248" w:rsidRDefault="00722E5C" w:rsidP="00722E5C">
            <w:pPr>
              <w:jc w:val="center"/>
              <w:rPr>
                <w:rFonts w:cs="Arial"/>
                <w:sz w:val="20"/>
                <w:szCs w:val="20"/>
              </w:rPr>
            </w:pPr>
            <w:r w:rsidRPr="00CB1248">
              <w:rPr>
                <w:rFonts w:cs="Arial"/>
                <w:sz w:val="20"/>
                <w:szCs w:val="20"/>
              </w:rPr>
              <w:t>37</w:t>
            </w:r>
          </w:p>
        </w:tc>
        <w:tc>
          <w:tcPr>
            <w:tcW w:w="874" w:type="dxa"/>
          </w:tcPr>
          <w:p w14:paraId="27B958A0" w14:textId="77777777" w:rsidR="00722E5C" w:rsidRPr="00CB1248" w:rsidRDefault="00722E5C" w:rsidP="00722E5C">
            <w:pPr>
              <w:jc w:val="center"/>
              <w:rPr>
                <w:rFonts w:cs="Arial"/>
                <w:sz w:val="20"/>
                <w:szCs w:val="20"/>
              </w:rPr>
            </w:pPr>
            <w:r w:rsidRPr="00CB1248">
              <w:rPr>
                <w:rFonts w:cs="Arial"/>
                <w:sz w:val="20"/>
                <w:szCs w:val="20"/>
              </w:rPr>
              <w:t>35</w:t>
            </w:r>
          </w:p>
        </w:tc>
        <w:tc>
          <w:tcPr>
            <w:tcW w:w="874" w:type="dxa"/>
          </w:tcPr>
          <w:p w14:paraId="0C89C00E" w14:textId="77777777" w:rsidR="00722E5C" w:rsidRPr="00CB1248" w:rsidRDefault="00722E5C" w:rsidP="00722E5C">
            <w:pPr>
              <w:jc w:val="center"/>
              <w:rPr>
                <w:rFonts w:cs="Arial"/>
                <w:sz w:val="20"/>
                <w:szCs w:val="20"/>
              </w:rPr>
            </w:pPr>
            <w:r w:rsidRPr="00CB1248">
              <w:rPr>
                <w:rFonts w:cs="Arial"/>
                <w:sz w:val="20"/>
                <w:szCs w:val="20"/>
              </w:rPr>
              <w:t>37</w:t>
            </w:r>
          </w:p>
        </w:tc>
        <w:tc>
          <w:tcPr>
            <w:tcW w:w="874" w:type="dxa"/>
          </w:tcPr>
          <w:p w14:paraId="1B9988F8" w14:textId="77777777" w:rsidR="00722E5C" w:rsidRPr="00CB1248" w:rsidRDefault="00722E5C" w:rsidP="00722E5C">
            <w:pPr>
              <w:jc w:val="center"/>
              <w:rPr>
                <w:rFonts w:cs="Arial"/>
                <w:sz w:val="20"/>
                <w:szCs w:val="20"/>
              </w:rPr>
            </w:pPr>
            <w:r w:rsidRPr="00CB1248">
              <w:rPr>
                <w:rFonts w:cs="Arial"/>
                <w:sz w:val="20"/>
                <w:szCs w:val="20"/>
              </w:rPr>
              <w:t>37</w:t>
            </w:r>
          </w:p>
        </w:tc>
        <w:tc>
          <w:tcPr>
            <w:tcW w:w="1442" w:type="dxa"/>
          </w:tcPr>
          <w:p w14:paraId="6C284831" w14:textId="77777777" w:rsidR="00722E5C" w:rsidRPr="00CB1248" w:rsidRDefault="00722E5C" w:rsidP="00722E5C">
            <w:pPr>
              <w:jc w:val="center"/>
              <w:rPr>
                <w:rFonts w:cs="Arial"/>
                <w:sz w:val="20"/>
                <w:szCs w:val="20"/>
              </w:rPr>
            </w:pPr>
          </w:p>
        </w:tc>
      </w:tr>
      <w:tr w:rsidR="00722E5C" w14:paraId="45F99E87" w14:textId="77777777" w:rsidTr="00440578">
        <w:tc>
          <w:tcPr>
            <w:tcW w:w="3260" w:type="dxa"/>
          </w:tcPr>
          <w:p w14:paraId="525E70C1" w14:textId="77777777" w:rsidR="00722E5C" w:rsidRPr="00CB1248" w:rsidRDefault="00722E5C" w:rsidP="00722E5C">
            <w:pPr>
              <w:rPr>
                <w:rFonts w:cs="Arial"/>
                <w:sz w:val="20"/>
                <w:szCs w:val="20"/>
              </w:rPr>
            </w:pPr>
            <w:r w:rsidRPr="00CB1248">
              <w:rPr>
                <w:rFonts w:cs="Arial"/>
                <w:sz w:val="20"/>
                <w:szCs w:val="20"/>
              </w:rPr>
              <w:t>Mean Quarterly Repeat % from Y1</w:t>
            </w:r>
          </w:p>
        </w:tc>
        <w:tc>
          <w:tcPr>
            <w:tcW w:w="874" w:type="dxa"/>
          </w:tcPr>
          <w:p w14:paraId="0C187E6C" w14:textId="77777777" w:rsidR="00722E5C" w:rsidRPr="00CB1248" w:rsidRDefault="00722E5C" w:rsidP="00722E5C">
            <w:pPr>
              <w:jc w:val="center"/>
              <w:rPr>
                <w:rFonts w:cs="Arial"/>
                <w:sz w:val="20"/>
                <w:szCs w:val="20"/>
              </w:rPr>
            </w:pPr>
            <w:r w:rsidRPr="00CB1248">
              <w:rPr>
                <w:rFonts w:cs="Arial"/>
                <w:sz w:val="20"/>
                <w:szCs w:val="20"/>
              </w:rPr>
              <w:t>36</w:t>
            </w:r>
          </w:p>
        </w:tc>
        <w:tc>
          <w:tcPr>
            <w:tcW w:w="874" w:type="dxa"/>
          </w:tcPr>
          <w:p w14:paraId="22B6B4B3" w14:textId="77777777" w:rsidR="00722E5C" w:rsidRPr="00CB1248" w:rsidRDefault="00722E5C" w:rsidP="00722E5C">
            <w:pPr>
              <w:jc w:val="center"/>
              <w:rPr>
                <w:rFonts w:cs="Arial"/>
                <w:sz w:val="20"/>
                <w:szCs w:val="20"/>
              </w:rPr>
            </w:pPr>
            <w:r w:rsidRPr="00CB1248">
              <w:rPr>
                <w:rFonts w:cs="Arial"/>
                <w:sz w:val="20"/>
                <w:szCs w:val="20"/>
              </w:rPr>
              <w:t>32</w:t>
            </w:r>
          </w:p>
        </w:tc>
        <w:tc>
          <w:tcPr>
            <w:tcW w:w="874" w:type="dxa"/>
          </w:tcPr>
          <w:p w14:paraId="563F0B19" w14:textId="77777777" w:rsidR="00722E5C" w:rsidRPr="00CB1248" w:rsidRDefault="00722E5C" w:rsidP="00722E5C">
            <w:pPr>
              <w:jc w:val="center"/>
              <w:rPr>
                <w:rFonts w:cs="Arial"/>
                <w:sz w:val="20"/>
                <w:szCs w:val="20"/>
              </w:rPr>
            </w:pPr>
            <w:r w:rsidRPr="00CB1248">
              <w:rPr>
                <w:rFonts w:cs="Arial"/>
                <w:sz w:val="20"/>
                <w:szCs w:val="20"/>
              </w:rPr>
              <w:t>28</w:t>
            </w:r>
          </w:p>
        </w:tc>
        <w:tc>
          <w:tcPr>
            <w:tcW w:w="874" w:type="dxa"/>
          </w:tcPr>
          <w:p w14:paraId="4B999047" w14:textId="77777777" w:rsidR="00722E5C" w:rsidRPr="00CB1248" w:rsidRDefault="00722E5C" w:rsidP="00722E5C">
            <w:pPr>
              <w:jc w:val="center"/>
              <w:rPr>
                <w:rFonts w:cs="Arial"/>
                <w:sz w:val="20"/>
                <w:szCs w:val="20"/>
              </w:rPr>
            </w:pPr>
            <w:r w:rsidRPr="00CB1248">
              <w:rPr>
                <w:rFonts w:cs="Arial"/>
                <w:sz w:val="20"/>
                <w:szCs w:val="20"/>
              </w:rPr>
              <w:t>26</w:t>
            </w:r>
          </w:p>
        </w:tc>
        <w:tc>
          <w:tcPr>
            <w:tcW w:w="874" w:type="dxa"/>
          </w:tcPr>
          <w:p w14:paraId="5D40D799" w14:textId="77777777" w:rsidR="00722E5C" w:rsidRPr="00CB1248" w:rsidRDefault="00722E5C" w:rsidP="00722E5C">
            <w:pPr>
              <w:jc w:val="center"/>
              <w:rPr>
                <w:rFonts w:cs="Arial"/>
                <w:sz w:val="20"/>
                <w:szCs w:val="20"/>
              </w:rPr>
            </w:pPr>
            <w:r w:rsidRPr="00CB1248">
              <w:rPr>
                <w:rFonts w:cs="Arial"/>
                <w:sz w:val="20"/>
                <w:szCs w:val="20"/>
              </w:rPr>
              <w:t>23</w:t>
            </w:r>
          </w:p>
        </w:tc>
        <w:tc>
          <w:tcPr>
            <w:tcW w:w="1442" w:type="dxa"/>
          </w:tcPr>
          <w:p w14:paraId="1B9BE053" w14:textId="77777777" w:rsidR="00722E5C" w:rsidRPr="00CB1248" w:rsidRDefault="00722E5C" w:rsidP="00722E5C">
            <w:pPr>
              <w:jc w:val="center"/>
              <w:rPr>
                <w:rFonts w:cs="Arial"/>
                <w:sz w:val="20"/>
                <w:szCs w:val="20"/>
              </w:rPr>
            </w:pPr>
            <w:r w:rsidRPr="00CB1248">
              <w:rPr>
                <w:rFonts w:cs="Arial"/>
                <w:sz w:val="20"/>
                <w:szCs w:val="20"/>
              </w:rPr>
              <w:t>35</w:t>
            </w:r>
          </w:p>
        </w:tc>
      </w:tr>
      <w:tr w:rsidR="00722E5C" w14:paraId="69E67D77" w14:textId="77777777" w:rsidTr="00440578">
        <w:tc>
          <w:tcPr>
            <w:tcW w:w="3260" w:type="dxa"/>
          </w:tcPr>
          <w:p w14:paraId="14437ABC" w14:textId="77777777" w:rsidR="00722E5C" w:rsidRPr="00CB1248" w:rsidRDefault="00722E5C" w:rsidP="00722E5C">
            <w:pPr>
              <w:jc w:val="center"/>
              <w:rPr>
                <w:rFonts w:cs="Arial"/>
                <w:sz w:val="20"/>
                <w:szCs w:val="20"/>
              </w:rPr>
            </w:pPr>
          </w:p>
        </w:tc>
        <w:tc>
          <w:tcPr>
            <w:tcW w:w="874" w:type="dxa"/>
          </w:tcPr>
          <w:p w14:paraId="7BC84207" w14:textId="77777777" w:rsidR="00722E5C" w:rsidRPr="00CB1248" w:rsidRDefault="00722E5C" w:rsidP="00722E5C">
            <w:pPr>
              <w:jc w:val="center"/>
              <w:rPr>
                <w:rFonts w:cs="Arial"/>
                <w:sz w:val="20"/>
                <w:szCs w:val="20"/>
              </w:rPr>
            </w:pPr>
          </w:p>
        </w:tc>
        <w:tc>
          <w:tcPr>
            <w:tcW w:w="874" w:type="dxa"/>
          </w:tcPr>
          <w:p w14:paraId="4C9A0E8A" w14:textId="77777777" w:rsidR="00722E5C" w:rsidRPr="00CB1248" w:rsidRDefault="00722E5C" w:rsidP="00722E5C">
            <w:pPr>
              <w:jc w:val="center"/>
              <w:rPr>
                <w:rFonts w:cs="Arial"/>
                <w:sz w:val="20"/>
                <w:szCs w:val="20"/>
              </w:rPr>
            </w:pPr>
          </w:p>
        </w:tc>
        <w:tc>
          <w:tcPr>
            <w:tcW w:w="874" w:type="dxa"/>
          </w:tcPr>
          <w:p w14:paraId="4D2C91AF" w14:textId="77777777" w:rsidR="00722E5C" w:rsidRPr="00CB1248" w:rsidRDefault="00722E5C" w:rsidP="00722E5C">
            <w:pPr>
              <w:jc w:val="center"/>
              <w:rPr>
                <w:rFonts w:cs="Arial"/>
                <w:sz w:val="20"/>
                <w:szCs w:val="20"/>
              </w:rPr>
            </w:pPr>
          </w:p>
        </w:tc>
        <w:tc>
          <w:tcPr>
            <w:tcW w:w="874" w:type="dxa"/>
          </w:tcPr>
          <w:p w14:paraId="41DDC057" w14:textId="77777777" w:rsidR="00722E5C" w:rsidRPr="00CB1248" w:rsidRDefault="00722E5C" w:rsidP="00722E5C">
            <w:pPr>
              <w:jc w:val="center"/>
              <w:rPr>
                <w:rFonts w:cs="Arial"/>
                <w:sz w:val="20"/>
                <w:szCs w:val="20"/>
              </w:rPr>
            </w:pPr>
          </w:p>
        </w:tc>
        <w:tc>
          <w:tcPr>
            <w:tcW w:w="874" w:type="dxa"/>
          </w:tcPr>
          <w:p w14:paraId="7328944E" w14:textId="77777777" w:rsidR="00722E5C" w:rsidRPr="00CB1248" w:rsidRDefault="00722E5C" w:rsidP="00722E5C">
            <w:pPr>
              <w:jc w:val="center"/>
              <w:rPr>
                <w:rFonts w:cs="Arial"/>
                <w:sz w:val="20"/>
                <w:szCs w:val="20"/>
              </w:rPr>
            </w:pPr>
          </w:p>
        </w:tc>
        <w:tc>
          <w:tcPr>
            <w:tcW w:w="1442" w:type="dxa"/>
          </w:tcPr>
          <w:p w14:paraId="76CE7835" w14:textId="77777777" w:rsidR="00722E5C" w:rsidRPr="00CB1248" w:rsidRDefault="00722E5C" w:rsidP="00722E5C">
            <w:pPr>
              <w:jc w:val="center"/>
              <w:rPr>
                <w:rFonts w:cs="Arial"/>
                <w:sz w:val="20"/>
                <w:szCs w:val="20"/>
              </w:rPr>
            </w:pPr>
          </w:p>
        </w:tc>
      </w:tr>
      <w:tr w:rsidR="00722E5C" w14:paraId="11AEFC48" w14:textId="77777777" w:rsidTr="00440578">
        <w:trPr>
          <w:trHeight w:val="347"/>
        </w:trPr>
        <w:tc>
          <w:tcPr>
            <w:tcW w:w="3260" w:type="dxa"/>
          </w:tcPr>
          <w:p w14:paraId="4A6833F1" w14:textId="77777777" w:rsidR="00722E5C" w:rsidRPr="005166FA" w:rsidRDefault="00722E5C" w:rsidP="00722E5C">
            <w:pPr>
              <w:rPr>
                <w:rFonts w:cs="Arial"/>
                <w:b/>
                <w:sz w:val="20"/>
                <w:szCs w:val="20"/>
              </w:rPr>
            </w:pPr>
            <w:r w:rsidRPr="005166FA">
              <w:rPr>
                <w:rFonts w:cs="Arial"/>
                <w:b/>
                <w:sz w:val="20"/>
                <w:szCs w:val="20"/>
              </w:rPr>
              <w:t>Annual Acquisition</w:t>
            </w:r>
          </w:p>
        </w:tc>
        <w:tc>
          <w:tcPr>
            <w:tcW w:w="874" w:type="dxa"/>
          </w:tcPr>
          <w:p w14:paraId="1A9D8C1B" w14:textId="77777777" w:rsidR="00722E5C" w:rsidRPr="005166FA" w:rsidRDefault="00722E5C" w:rsidP="00722E5C">
            <w:pPr>
              <w:jc w:val="center"/>
              <w:rPr>
                <w:rFonts w:cs="Arial"/>
                <w:b/>
                <w:sz w:val="20"/>
                <w:szCs w:val="20"/>
              </w:rPr>
            </w:pPr>
            <w:r w:rsidRPr="005166FA">
              <w:rPr>
                <w:rFonts w:cs="Arial"/>
                <w:b/>
                <w:sz w:val="20"/>
                <w:szCs w:val="20"/>
              </w:rPr>
              <w:t>0</w:t>
            </w:r>
          </w:p>
        </w:tc>
        <w:tc>
          <w:tcPr>
            <w:tcW w:w="874" w:type="dxa"/>
          </w:tcPr>
          <w:p w14:paraId="29149C56" w14:textId="77777777" w:rsidR="00722E5C" w:rsidRPr="005166FA" w:rsidRDefault="00722E5C" w:rsidP="00722E5C">
            <w:pPr>
              <w:jc w:val="center"/>
              <w:rPr>
                <w:rFonts w:cs="Arial"/>
                <w:b/>
                <w:sz w:val="20"/>
                <w:szCs w:val="20"/>
              </w:rPr>
            </w:pPr>
            <w:r w:rsidRPr="005166FA">
              <w:rPr>
                <w:rFonts w:cs="Arial"/>
                <w:b/>
                <w:sz w:val="20"/>
                <w:szCs w:val="20"/>
              </w:rPr>
              <w:t>6</w:t>
            </w:r>
          </w:p>
        </w:tc>
        <w:tc>
          <w:tcPr>
            <w:tcW w:w="874" w:type="dxa"/>
          </w:tcPr>
          <w:p w14:paraId="16BE4F62" w14:textId="77777777" w:rsidR="00722E5C" w:rsidRPr="005166FA" w:rsidRDefault="00722E5C" w:rsidP="00722E5C">
            <w:pPr>
              <w:jc w:val="center"/>
              <w:rPr>
                <w:rFonts w:cs="Arial"/>
                <w:b/>
                <w:sz w:val="20"/>
                <w:szCs w:val="20"/>
              </w:rPr>
            </w:pPr>
            <w:r w:rsidRPr="005166FA">
              <w:rPr>
                <w:rFonts w:cs="Arial"/>
                <w:b/>
                <w:sz w:val="20"/>
                <w:szCs w:val="20"/>
              </w:rPr>
              <w:t>8</w:t>
            </w:r>
          </w:p>
        </w:tc>
        <w:tc>
          <w:tcPr>
            <w:tcW w:w="874" w:type="dxa"/>
          </w:tcPr>
          <w:p w14:paraId="1DF828A9" w14:textId="77777777" w:rsidR="00722E5C" w:rsidRPr="005166FA" w:rsidRDefault="00722E5C" w:rsidP="00722E5C">
            <w:pPr>
              <w:jc w:val="center"/>
              <w:rPr>
                <w:rFonts w:cs="Arial"/>
                <w:b/>
                <w:sz w:val="20"/>
                <w:szCs w:val="20"/>
              </w:rPr>
            </w:pPr>
            <w:r w:rsidRPr="005166FA">
              <w:rPr>
                <w:rFonts w:cs="Arial"/>
                <w:b/>
                <w:sz w:val="20"/>
                <w:szCs w:val="20"/>
              </w:rPr>
              <w:t>11</w:t>
            </w:r>
          </w:p>
        </w:tc>
        <w:tc>
          <w:tcPr>
            <w:tcW w:w="874" w:type="dxa"/>
          </w:tcPr>
          <w:p w14:paraId="543CAEDD" w14:textId="77777777" w:rsidR="00722E5C" w:rsidRPr="005166FA" w:rsidRDefault="00722E5C" w:rsidP="00722E5C">
            <w:pPr>
              <w:jc w:val="center"/>
              <w:rPr>
                <w:rFonts w:cs="Arial"/>
                <w:b/>
                <w:sz w:val="20"/>
                <w:szCs w:val="20"/>
              </w:rPr>
            </w:pPr>
            <w:r w:rsidRPr="005166FA">
              <w:rPr>
                <w:rFonts w:cs="Arial"/>
                <w:b/>
                <w:sz w:val="20"/>
                <w:szCs w:val="20"/>
              </w:rPr>
              <w:t>13</w:t>
            </w:r>
          </w:p>
        </w:tc>
        <w:tc>
          <w:tcPr>
            <w:tcW w:w="1442" w:type="dxa"/>
          </w:tcPr>
          <w:p w14:paraId="370D3B76" w14:textId="77777777" w:rsidR="00722E5C" w:rsidRPr="00CB1248" w:rsidRDefault="00722E5C" w:rsidP="00722E5C">
            <w:pPr>
              <w:jc w:val="center"/>
              <w:rPr>
                <w:rFonts w:cs="Arial"/>
                <w:sz w:val="20"/>
                <w:szCs w:val="20"/>
              </w:rPr>
            </w:pPr>
          </w:p>
        </w:tc>
      </w:tr>
    </w:tbl>
    <w:p w14:paraId="0111048B" w14:textId="77777777" w:rsidR="00722E5C" w:rsidRPr="00033F64" w:rsidRDefault="00722E5C" w:rsidP="00722E5C">
      <w:pPr>
        <w:spacing w:before="120" w:after="120"/>
        <w:jc w:val="center"/>
        <w:rPr>
          <w:rFonts w:cs="Arial"/>
          <w:i/>
          <w:sz w:val="18"/>
          <w:szCs w:val="18"/>
        </w:rPr>
      </w:pPr>
      <w:r w:rsidRPr="00033F64">
        <w:rPr>
          <w:rFonts w:cs="Arial"/>
          <w:i/>
          <w:sz w:val="18"/>
          <w:szCs w:val="18"/>
        </w:rPr>
        <w:t>Kantar Worldpanel, 199</w:t>
      </w:r>
      <w:r>
        <w:rPr>
          <w:rFonts w:cs="Arial"/>
          <w:i/>
          <w:sz w:val="18"/>
          <w:szCs w:val="18"/>
        </w:rPr>
        <w:t>8</w:t>
      </w:r>
      <w:r w:rsidRPr="00033F64">
        <w:rPr>
          <w:rFonts w:cs="Arial"/>
          <w:i/>
          <w:sz w:val="18"/>
          <w:szCs w:val="18"/>
        </w:rPr>
        <w:t>-2005. Subset of c. 4,000 continuous buyers</w:t>
      </w:r>
    </w:p>
    <w:p w14:paraId="04E7E652" w14:textId="77777777" w:rsidR="00722E5C" w:rsidRDefault="00722E5C" w:rsidP="00722E5C">
      <w:pPr>
        <w:jc w:val="center"/>
        <w:rPr>
          <w:rFonts w:cs="Arial"/>
        </w:rPr>
      </w:pPr>
    </w:p>
    <w:p w14:paraId="4F7B9681" w14:textId="77777777" w:rsidR="00722E5C" w:rsidRDefault="00722E5C" w:rsidP="00722E5C">
      <w:pPr>
        <w:jc w:val="center"/>
        <w:rPr>
          <w:rFonts w:cs="Arial"/>
        </w:rPr>
      </w:pPr>
    </w:p>
    <w:p w14:paraId="5349B979" w14:textId="77777777" w:rsidR="00722E5C" w:rsidRDefault="00722E5C" w:rsidP="00722E5C">
      <w:pPr>
        <w:jc w:val="center"/>
        <w:rPr>
          <w:rFonts w:cs="Arial"/>
        </w:rPr>
      </w:pPr>
    </w:p>
    <w:p w14:paraId="4E5D330B" w14:textId="77777777" w:rsidR="00722E5C" w:rsidRDefault="00722E5C" w:rsidP="00722E5C">
      <w:pPr>
        <w:jc w:val="center"/>
        <w:rPr>
          <w:rFonts w:cs="Arial"/>
        </w:rPr>
      </w:pPr>
    </w:p>
    <w:p w14:paraId="687C0FE6" w14:textId="77777777" w:rsidR="00722E5C" w:rsidRDefault="00722E5C" w:rsidP="00722E5C">
      <w:pPr>
        <w:jc w:val="center"/>
        <w:rPr>
          <w:rFonts w:cs="Arial"/>
        </w:rPr>
      </w:pPr>
    </w:p>
    <w:p w14:paraId="7A7AE1C3" w14:textId="77777777" w:rsidR="00722E5C" w:rsidRDefault="00722E5C" w:rsidP="00722E5C">
      <w:pPr>
        <w:jc w:val="center"/>
        <w:rPr>
          <w:rFonts w:cs="Arial"/>
        </w:rPr>
      </w:pPr>
    </w:p>
    <w:p w14:paraId="5733F5AB" w14:textId="77777777" w:rsidR="00722E5C" w:rsidRDefault="00722E5C" w:rsidP="00722E5C">
      <w:pPr>
        <w:jc w:val="center"/>
        <w:rPr>
          <w:rFonts w:cs="Arial"/>
        </w:rPr>
      </w:pPr>
    </w:p>
    <w:p w14:paraId="7F647676" w14:textId="77777777" w:rsidR="00722E5C" w:rsidRDefault="00722E5C" w:rsidP="00722E5C">
      <w:pPr>
        <w:jc w:val="center"/>
        <w:rPr>
          <w:rFonts w:cs="Arial"/>
        </w:rPr>
      </w:pPr>
    </w:p>
    <w:p w14:paraId="4C2188CC" w14:textId="77777777" w:rsidR="00722E5C" w:rsidRDefault="00722E5C" w:rsidP="00722E5C">
      <w:pPr>
        <w:jc w:val="center"/>
        <w:rPr>
          <w:rFonts w:cs="Arial"/>
        </w:rPr>
      </w:pPr>
    </w:p>
    <w:p w14:paraId="3D89E4BC" w14:textId="77777777" w:rsidR="00722E5C" w:rsidRDefault="00722E5C" w:rsidP="00722E5C">
      <w:pPr>
        <w:jc w:val="center"/>
        <w:rPr>
          <w:rFonts w:cs="Arial"/>
        </w:rPr>
      </w:pPr>
    </w:p>
    <w:p w14:paraId="6E18C5FA" w14:textId="77777777" w:rsidR="00722E5C" w:rsidRDefault="00722E5C" w:rsidP="00722E5C">
      <w:pPr>
        <w:jc w:val="center"/>
        <w:rPr>
          <w:rFonts w:cs="Arial"/>
        </w:rPr>
      </w:pPr>
    </w:p>
    <w:p w14:paraId="4770052D" w14:textId="77777777" w:rsidR="00722E5C" w:rsidRDefault="00722E5C" w:rsidP="00722E5C">
      <w:pPr>
        <w:jc w:val="center"/>
        <w:rPr>
          <w:rFonts w:cs="Arial"/>
        </w:rPr>
      </w:pPr>
    </w:p>
    <w:p w14:paraId="2F8364D8" w14:textId="77777777" w:rsidR="00722E5C" w:rsidRDefault="00722E5C" w:rsidP="00722E5C">
      <w:pPr>
        <w:jc w:val="center"/>
        <w:rPr>
          <w:rFonts w:cs="Arial"/>
        </w:rPr>
      </w:pPr>
    </w:p>
    <w:p w14:paraId="5EC06F9C" w14:textId="77777777" w:rsidR="00722E5C" w:rsidRDefault="00722E5C" w:rsidP="00722E5C">
      <w:pPr>
        <w:jc w:val="center"/>
        <w:rPr>
          <w:rFonts w:cs="Arial"/>
        </w:rPr>
      </w:pPr>
    </w:p>
    <w:p w14:paraId="178695E8" w14:textId="77777777" w:rsidR="00722E5C" w:rsidRDefault="00722E5C" w:rsidP="00722E5C">
      <w:pPr>
        <w:jc w:val="center"/>
        <w:rPr>
          <w:rFonts w:cs="Arial"/>
        </w:rPr>
      </w:pPr>
    </w:p>
    <w:p w14:paraId="21319DC8" w14:textId="77777777" w:rsidR="00722E5C" w:rsidRDefault="00722E5C" w:rsidP="00722E5C">
      <w:pPr>
        <w:rPr>
          <w:rFonts w:cs="Arial"/>
        </w:rPr>
      </w:pPr>
    </w:p>
    <w:p w14:paraId="077EB37D" w14:textId="77777777" w:rsidR="00722E5C" w:rsidRDefault="00722E5C" w:rsidP="00722E5C">
      <w:pPr>
        <w:rPr>
          <w:rFonts w:cs="Arial"/>
        </w:rPr>
      </w:pPr>
    </w:p>
    <w:p w14:paraId="22B86DDF" w14:textId="6299BF39" w:rsidR="00722E5C" w:rsidRPr="00D43EAC" w:rsidRDefault="00722E5C" w:rsidP="00722E5C">
      <w:pPr>
        <w:spacing w:after="120" w:line="480" w:lineRule="auto"/>
        <w:jc w:val="center"/>
        <w:rPr>
          <w:b/>
        </w:rPr>
      </w:pPr>
      <w:r w:rsidRPr="00D43EAC">
        <w:rPr>
          <w:b/>
        </w:rPr>
        <w:t xml:space="preserve">Table </w:t>
      </w:r>
      <w:r w:rsidR="001B79A6">
        <w:rPr>
          <w:b/>
        </w:rPr>
        <w:t>4</w:t>
      </w:r>
      <w:r>
        <w:rPr>
          <w:b/>
        </w:rPr>
        <w:t>.  Distributions of deviations on various metrics by brand size</w:t>
      </w:r>
    </w:p>
    <w:tbl>
      <w:tblPr>
        <w:tblW w:w="8032" w:type="dxa"/>
        <w:jc w:val="center"/>
        <w:tblLook w:val="00A0" w:firstRow="1" w:lastRow="0" w:firstColumn="1" w:lastColumn="0" w:noHBand="0" w:noVBand="0"/>
      </w:tblPr>
      <w:tblGrid>
        <w:gridCol w:w="1418"/>
        <w:gridCol w:w="1299"/>
        <w:gridCol w:w="1127"/>
        <w:gridCol w:w="1069"/>
        <w:gridCol w:w="1134"/>
        <w:gridCol w:w="1134"/>
        <w:gridCol w:w="851"/>
      </w:tblGrid>
      <w:tr w:rsidR="00722E5C" w:rsidRPr="00D81BEB" w14:paraId="31A12390" w14:textId="77777777" w:rsidTr="00440578">
        <w:trPr>
          <w:trHeight w:val="240"/>
          <w:jc w:val="center"/>
        </w:trPr>
        <w:tc>
          <w:tcPr>
            <w:tcW w:w="1418" w:type="dxa"/>
            <w:tcBorders>
              <w:top w:val="single" w:sz="4" w:space="0" w:color="auto"/>
            </w:tcBorders>
            <w:shd w:val="clear" w:color="auto" w:fill="auto"/>
            <w:noWrap/>
            <w:vAlign w:val="bottom"/>
          </w:tcPr>
          <w:p w14:paraId="185BC4FA" w14:textId="77777777" w:rsidR="00722E5C" w:rsidRPr="00D81BEB" w:rsidRDefault="00722E5C" w:rsidP="00722E5C">
            <w:pPr>
              <w:spacing w:before="120"/>
              <w:rPr>
                <w:sz w:val="20"/>
                <w:szCs w:val="20"/>
              </w:rPr>
            </w:pPr>
            <w:r w:rsidRPr="00D81BEB">
              <w:rPr>
                <w:sz w:val="20"/>
                <w:szCs w:val="20"/>
              </w:rPr>
              <w:t>Number of</w:t>
            </w:r>
          </w:p>
        </w:tc>
        <w:tc>
          <w:tcPr>
            <w:tcW w:w="1299" w:type="dxa"/>
            <w:tcBorders>
              <w:top w:val="single" w:sz="4" w:space="0" w:color="auto"/>
            </w:tcBorders>
            <w:shd w:val="clear" w:color="auto" w:fill="auto"/>
            <w:noWrap/>
            <w:vAlign w:val="bottom"/>
          </w:tcPr>
          <w:p w14:paraId="13A070CE" w14:textId="77777777" w:rsidR="00722E5C" w:rsidRPr="00D81BEB" w:rsidRDefault="00722E5C" w:rsidP="00722E5C">
            <w:pPr>
              <w:spacing w:before="120"/>
              <w:jc w:val="center"/>
              <w:rPr>
                <w:sz w:val="20"/>
                <w:szCs w:val="20"/>
              </w:rPr>
            </w:pPr>
            <w:r w:rsidRPr="00D81BEB">
              <w:rPr>
                <w:sz w:val="20"/>
                <w:szCs w:val="20"/>
              </w:rPr>
              <w:t xml:space="preserve">Brand </w:t>
            </w:r>
          </w:p>
        </w:tc>
        <w:tc>
          <w:tcPr>
            <w:tcW w:w="1127" w:type="dxa"/>
            <w:tcBorders>
              <w:top w:val="single" w:sz="4" w:space="0" w:color="auto"/>
            </w:tcBorders>
            <w:vAlign w:val="bottom"/>
          </w:tcPr>
          <w:p w14:paraId="0D145B57" w14:textId="77777777" w:rsidR="00722E5C" w:rsidRPr="00D81BEB" w:rsidRDefault="00722E5C" w:rsidP="00722E5C">
            <w:pPr>
              <w:spacing w:before="120"/>
              <w:jc w:val="center"/>
              <w:rPr>
                <w:sz w:val="20"/>
                <w:szCs w:val="20"/>
              </w:rPr>
            </w:pPr>
            <w:r w:rsidRPr="00D81BEB">
              <w:rPr>
                <w:sz w:val="20"/>
                <w:szCs w:val="20"/>
              </w:rPr>
              <w:t>Penetration</w:t>
            </w:r>
          </w:p>
        </w:tc>
        <w:tc>
          <w:tcPr>
            <w:tcW w:w="1069" w:type="dxa"/>
            <w:tcBorders>
              <w:top w:val="single" w:sz="4" w:space="0" w:color="auto"/>
            </w:tcBorders>
            <w:shd w:val="clear" w:color="auto" w:fill="auto"/>
            <w:noWrap/>
            <w:vAlign w:val="bottom"/>
          </w:tcPr>
          <w:p w14:paraId="6100DD8A" w14:textId="77777777" w:rsidR="00722E5C" w:rsidRPr="00D81BEB" w:rsidRDefault="00722E5C" w:rsidP="00722E5C">
            <w:pPr>
              <w:spacing w:before="120"/>
              <w:jc w:val="center"/>
              <w:rPr>
                <w:sz w:val="20"/>
                <w:szCs w:val="20"/>
              </w:rPr>
            </w:pPr>
            <w:r w:rsidRPr="00D81BEB">
              <w:rPr>
                <w:sz w:val="20"/>
                <w:szCs w:val="20"/>
              </w:rPr>
              <w:t xml:space="preserve"> Purchase</w:t>
            </w:r>
          </w:p>
        </w:tc>
        <w:tc>
          <w:tcPr>
            <w:tcW w:w="1134" w:type="dxa"/>
            <w:tcBorders>
              <w:top w:val="single" w:sz="4" w:space="0" w:color="auto"/>
            </w:tcBorders>
            <w:vAlign w:val="bottom"/>
          </w:tcPr>
          <w:p w14:paraId="793FD52A" w14:textId="77777777" w:rsidR="00722E5C" w:rsidRPr="00D81BEB" w:rsidRDefault="00722E5C" w:rsidP="00722E5C">
            <w:pPr>
              <w:spacing w:before="120"/>
              <w:jc w:val="center"/>
              <w:rPr>
                <w:sz w:val="20"/>
                <w:szCs w:val="20"/>
              </w:rPr>
            </w:pPr>
            <w:r w:rsidRPr="00D81BEB">
              <w:rPr>
                <w:sz w:val="20"/>
                <w:szCs w:val="20"/>
              </w:rPr>
              <w:t>% Buying</w:t>
            </w:r>
          </w:p>
        </w:tc>
        <w:tc>
          <w:tcPr>
            <w:tcW w:w="1134" w:type="dxa"/>
            <w:tcBorders>
              <w:top w:val="single" w:sz="4" w:space="0" w:color="auto"/>
            </w:tcBorders>
            <w:vAlign w:val="bottom"/>
          </w:tcPr>
          <w:p w14:paraId="20E1AAE4" w14:textId="77777777" w:rsidR="00722E5C" w:rsidRPr="00D81BEB" w:rsidRDefault="00722E5C" w:rsidP="00722E5C">
            <w:pPr>
              <w:spacing w:before="120"/>
              <w:jc w:val="center"/>
              <w:rPr>
                <w:sz w:val="20"/>
                <w:szCs w:val="20"/>
              </w:rPr>
            </w:pPr>
            <w:r w:rsidRPr="00D81BEB">
              <w:rPr>
                <w:sz w:val="20"/>
                <w:szCs w:val="20"/>
              </w:rPr>
              <w:t>% Buying</w:t>
            </w:r>
          </w:p>
        </w:tc>
        <w:tc>
          <w:tcPr>
            <w:tcW w:w="851" w:type="dxa"/>
            <w:tcBorders>
              <w:top w:val="single" w:sz="4" w:space="0" w:color="auto"/>
            </w:tcBorders>
            <w:vAlign w:val="bottom"/>
          </w:tcPr>
          <w:p w14:paraId="0C659F68" w14:textId="77777777" w:rsidR="00722E5C" w:rsidRPr="00D81BEB" w:rsidRDefault="00722E5C" w:rsidP="00722E5C">
            <w:pPr>
              <w:spacing w:before="120"/>
              <w:jc w:val="center"/>
              <w:rPr>
                <w:sz w:val="20"/>
                <w:szCs w:val="20"/>
              </w:rPr>
            </w:pPr>
            <w:r w:rsidRPr="00D81BEB">
              <w:rPr>
                <w:sz w:val="20"/>
                <w:szCs w:val="20"/>
              </w:rPr>
              <w:t>SCR</w:t>
            </w:r>
          </w:p>
        </w:tc>
      </w:tr>
      <w:tr w:rsidR="00722E5C" w:rsidRPr="00D81BEB" w14:paraId="6078550E" w14:textId="77777777" w:rsidTr="00440578">
        <w:trPr>
          <w:trHeight w:val="240"/>
          <w:jc w:val="center"/>
        </w:trPr>
        <w:tc>
          <w:tcPr>
            <w:tcW w:w="1418" w:type="dxa"/>
            <w:tcBorders>
              <w:bottom w:val="single" w:sz="4" w:space="0" w:color="auto"/>
            </w:tcBorders>
            <w:shd w:val="clear" w:color="auto" w:fill="auto"/>
            <w:noWrap/>
            <w:vAlign w:val="bottom"/>
          </w:tcPr>
          <w:p w14:paraId="0DDE096E" w14:textId="77777777" w:rsidR="00722E5C" w:rsidRPr="00D81BEB" w:rsidRDefault="00722E5C" w:rsidP="00722E5C">
            <w:pPr>
              <w:spacing w:line="360" w:lineRule="auto"/>
              <w:rPr>
                <w:sz w:val="20"/>
                <w:szCs w:val="20"/>
              </w:rPr>
            </w:pPr>
            <w:r w:rsidRPr="00D81BEB">
              <w:rPr>
                <w:sz w:val="20"/>
                <w:szCs w:val="20"/>
              </w:rPr>
              <w:t>Brands</w:t>
            </w:r>
          </w:p>
        </w:tc>
        <w:tc>
          <w:tcPr>
            <w:tcW w:w="1299" w:type="dxa"/>
            <w:tcBorders>
              <w:bottom w:val="single" w:sz="4" w:space="0" w:color="auto"/>
            </w:tcBorders>
            <w:shd w:val="clear" w:color="auto" w:fill="auto"/>
            <w:noWrap/>
            <w:vAlign w:val="bottom"/>
          </w:tcPr>
          <w:p w14:paraId="1A1C8AB1" w14:textId="77777777" w:rsidR="00722E5C" w:rsidRPr="00D81BEB" w:rsidRDefault="00722E5C" w:rsidP="00722E5C">
            <w:pPr>
              <w:spacing w:line="360" w:lineRule="auto"/>
              <w:jc w:val="center"/>
              <w:rPr>
                <w:sz w:val="20"/>
                <w:szCs w:val="20"/>
              </w:rPr>
            </w:pPr>
            <w:r w:rsidRPr="00D81BEB">
              <w:rPr>
                <w:sz w:val="20"/>
                <w:szCs w:val="20"/>
              </w:rPr>
              <w:t>Share %</w:t>
            </w:r>
          </w:p>
        </w:tc>
        <w:tc>
          <w:tcPr>
            <w:tcW w:w="1127" w:type="dxa"/>
            <w:tcBorders>
              <w:bottom w:val="single" w:sz="4" w:space="0" w:color="auto"/>
            </w:tcBorders>
            <w:vAlign w:val="bottom"/>
          </w:tcPr>
          <w:p w14:paraId="540177F3" w14:textId="77777777" w:rsidR="00722E5C" w:rsidRPr="00D81BEB" w:rsidRDefault="00722E5C" w:rsidP="00722E5C">
            <w:pPr>
              <w:spacing w:line="360" w:lineRule="auto"/>
              <w:jc w:val="center"/>
              <w:rPr>
                <w:sz w:val="20"/>
                <w:szCs w:val="20"/>
              </w:rPr>
            </w:pPr>
            <w:r w:rsidRPr="00D81BEB">
              <w:rPr>
                <w:sz w:val="20"/>
                <w:szCs w:val="20"/>
              </w:rPr>
              <w:t>%</w:t>
            </w:r>
          </w:p>
        </w:tc>
        <w:tc>
          <w:tcPr>
            <w:tcW w:w="1069" w:type="dxa"/>
            <w:tcBorders>
              <w:bottom w:val="single" w:sz="4" w:space="0" w:color="auto"/>
            </w:tcBorders>
            <w:shd w:val="clear" w:color="auto" w:fill="auto"/>
            <w:noWrap/>
            <w:vAlign w:val="bottom"/>
          </w:tcPr>
          <w:p w14:paraId="57638256" w14:textId="77777777" w:rsidR="00722E5C" w:rsidRPr="00D81BEB" w:rsidRDefault="00722E5C" w:rsidP="00722E5C">
            <w:pPr>
              <w:spacing w:line="360" w:lineRule="auto"/>
              <w:jc w:val="center"/>
              <w:rPr>
                <w:sz w:val="20"/>
                <w:szCs w:val="20"/>
              </w:rPr>
            </w:pPr>
            <w:r w:rsidRPr="00D81BEB">
              <w:rPr>
                <w:sz w:val="20"/>
                <w:szCs w:val="20"/>
              </w:rPr>
              <w:t xml:space="preserve"> per Buyer</w:t>
            </w:r>
          </w:p>
        </w:tc>
        <w:tc>
          <w:tcPr>
            <w:tcW w:w="1134" w:type="dxa"/>
            <w:tcBorders>
              <w:bottom w:val="single" w:sz="4" w:space="0" w:color="auto"/>
            </w:tcBorders>
            <w:vAlign w:val="bottom"/>
          </w:tcPr>
          <w:p w14:paraId="1F8C0E03" w14:textId="77777777" w:rsidR="00722E5C" w:rsidRPr="00D81BEB" w:rsidRDefault="00722E5C" w:rsidP="00722E5C">
            <w:pPr>
              <w:spacing w:line="360" w:lineRule="auto"/>
              <w:jc w:val="center"/>
              <w:rPr>
                <w:sz w:val="20"/>
                <w:szCs w:val="20"/>
              </w:rPr>
            </w:pPr>
            <w:r w:rsidRPr="00D81BEB">
              <w:rPr>
                <w:sz w:val="20"/>
                <w:szCs w:val="20"/>
              </w:rPr>
              <w:t>Once</w:t>
            </w:r>
          </w:p>
        </w:tc>
        <w:tc>
          <w:tcPr>
            <w:tcW w:w="1134" w:type="dxa"/>
            <w:tcBorders>
              <w:bottom w:val="single" w:sz="4" w:space="0" w:color="auto"/>
            </w:tcBorders>
            <w:vAlign w:val="bottom"/>
          </w:tcPr>
          <w:p w14:paraId="5B024ABA" w14:textId="77777777" w:rsidR="00722E5C" w:rsidRPr="00D81BEB" w:rsidRDefault="00722E5C" w:rsidP="00722E5C">
            <w:pPr>
              <w:spacing w:line="360" w:lineRule="auto"/>
              <w:jc w:val="center"/>
              <w:rPr>
                <w:sz w:val="20"/>
                <w:szCs w:val="20"/>
              </w:rPr>
            </w:pPr>
            <w:r w:rsidRPr="00D81BEB">
              <w:rPr>
                <w:sz w:val="20"/>
                <w:szCs w:val="20"/>
              </w:rPr>
              <w:t>5+</w:t>
            </w:r>
          </w:p>
        </w:tc>
        <w:tc>
          <w:tcPr>
            <w:tcW w:w="851" w:type="dxa"/>
            <w:tcBorders>
              <w:bottom w:val="single" w:sz="4" w:space="0" w:color="auto"/>
            </w:tcBorders>
            <w:vAlign w:val="bottom"/>
          </w:tcPr>
          <w:p w14:paraId="01F99FE9" w14:textId="77777777" w:rsidR="00722E5C" w:rsidRPr="00D81BEB" w:rsidRDefault="00722E5C" w:rsidP="00722E5C">
            <w:pPr>
              <w:spacing w:line="360" w:lineRule="auto"/>
              <w:jc w:val="center"/>
              <w:rPr>
                <w:sz w:val="20"/>
                <w:szCs w:val="20"/>
              </w:rPr>
            </w:pPr>
            <w:r w:rsidRPr="00D81BEB">
              <w:rPr>
                <w:sz w:val="20"/>
                <w:szCs w:val="20"/>
              </w:rPr>
              <w:t>(%)</w:t>
            </w:r>
          </w:p>
        </w:tc>
      </w:tr>
      <w:tr w:rsidR="00722E5C" w:rsidRPr="00D07677" w14:paraId="7A16D20E" w14:textId="77777777" w:rsidTr="00440578">
        <w:trPr>
          <w:trHeight w:val="367"/>
          <w:jc w:val="center"/>
        </w:trPr>
        <w:tc>
          <w:tcPr>
            <w:tcW w:w="1418" w:type="dxa"/>
            <w:tcBorders>
              <w:top w:val="single" w:sz="4" w:space="0" w:color="auto"/>
            </w:tcBorders>
            <w:shd w:val="clear" w:color="auto" w:fill="auto"/>
            <w:noWrap/>
            <w:vAlign w:val="bottom"/>
          </w:tcPr>
          <w:p w14:paraId="0363E8C3" w14:textId="77777777" w:rsidR="00722E5C" w:rsidRPr="00D43EAC" w:rsidRDefault="00722E5C" w:rsidP="00722E5C">
            <w:pPr>
              <w:tabs>
                <w:tab w:val="decimal" w:pos="636"/>
              </w:tabs>
              <w:spacing w:before="120"/>
              <w:rPr>
                <w:sz w:val="20"/>
                <w:szCs w:val="20"/>
              </w:rPr>
            </w:pPr>
            <w:r w:rsidRPr="00D43EAC">
              <w:rPr>
                <w:sz w:val="20"/>
                <w:szCs w:val="20"/>
              </w:rPr>
              <w:t>48</w:t>
            </w:r>
          </w:p>
        </w:tc>
        <w:tc>
          <w:tcPr>
            <w:tcW w:w="1299" w:type="dxa"/>
            <w:tcBorders>
              <w:top w:val="single" w:sz="4" w:space="0" w:color="auto"/>
            </w:tcBorders>
            <w:shd w:val="clear" w:color="auto" w:fill="auto"/>
            <w:noWrap/>
            <w:vAlign w:val="bottom"/>
          </w:tcPr>
          <w:p w14:paraId="2AE52FD2" w14:textId="77777777" w:rsidR="00722E5C" w:rsidRPr="00D43EAC" w:rsidRDefault="00722E5C" w:rsidP="00722E5C">
            <w:pPr>
              <w:spacing w:before="120"/>
              <w:jc w:val="center"/>
              <w:rPr>
                <w:sz w:val="20"/>
                <w:szCs w:val="20"/>
              </w:rPr>
            </w:pPr>
            <w:r w:rsidRPr="00D43EAC">
              <w:rPr>
                <w:sz w:val="20"/>
                <w:szCs w:val="20"/>
              </w:rPr>
              <w:t>20 or more</w:t>
            </w:r>
          </w:p>
        </w:tc>
        <w:tc>
          <w:tcPr>
            <w:tcW w:w="1127" w:type="dxa"/>
            <w:tcBorders>
              <w:top w:val="single" w:sz="4" w:space="0" w:color="auto"/>
            </w:tcBorders>
            <w:vAlign w:val="bottom"/>
          </w:tcPr>
          <w:p w14:paraId="356860DC" w14:textId="77777777" w:rsidR="00722E5C" w:rsidRPr="00D43EAC" w:rsidRDefault="00722E5C" w:rsidP="00722E5C">
            <w:pPr>
              <w:tabs>
                <w:tab w:val="decimal" w:pos="493"/>
              </w:tabs>
              <w:spacing w:before="120"/>
              <w:rPr>
                <w:sz w:val="20"/>
                <w:szCs w:val="20"/>
              </w:rPr>
            </w:pPr>
            <w:r w:rsidRPr="00D43EAC">
              <w:rPr>
                <w:sz w:val="20"/>
                <w:szCs w:val="20"/>
              </w:rPr>
              <w:t>-8</w:t>
            </w:r>
          </w:p>
        </w:tc>
        <w:tc>
          <w:tcPr>
            <w:tcW w:w="1069" w:type="dxa"/>
            <w:tcBorders>
              <w:top w:val="single" w:sz="4" w:space="0" w:color="auto"/>
            </w:tcBorders>
            <w:shd w:val="clear" w:color="auto" w:fill="auto"/>
            <w:noWrap/>
            <w:vAlign w:val="bottom"/>
          </w:tcPr>
          <w:p w14:paraId="00589C09" w14:textId="77777777" w:rsidR="00722E5C" w:rsidRPr="00D43EAC" w:rsidRDefault="00722E5C" w:rsidP="00722E5C">
            <w:pPr>
              <w:tabs>
                <w:tab w:val="decimal" w:pos="489"/>
              </w:tabs>
              <w:spacing w:before="120"/>
              <w:rPr>
                <w:sz w:val="20"/>
                <w:szCs w:val="20"/>
              </w:rPr>
            </w:pPr>
            <w:r w:rsidRPr="00D43EAC">
              <w:rPr>
                <w:sz w:val="20"/>
                <w:szCs w:val="20"/>
              </w:rPr>
              <w:t>11</w:t>
            </w:r>
          </w:p>
        </w:tc>
        <w:tc>
          <w:tcPr>
            <w:tcW w:w="1134" w:type="dxa"/>
            <w:tcBorders>
              <w:top w:val="single" w:sz="4" w:space="0" w:color="auto"/>
            </w:tcBorders>
            <w:vAlign w:val="bottom"/>
          </w:tcPr>
          <w:p w14:paraId="6266BD04" w14:textId="77777777" w:rsidR="00722E5C" w:rsidRPr="00D43EAC" w:rsidRDefault="00722E5C" w:rsidP="00722E5C">
            <w:pPr>
              <w:tabs>
                <w:tab w:val="decimal" w:pos="489"/>
              </w:tabs>
              <w:spacing w:before="120"/>
              <w:rPr>
                <w:sz w:val="20"/>
                <w:szCs w:val="20"/>
              </w:rPr>
            </w:pPr>
            <w:r w:rsidRPr="00D43EAC">
              <w:rPr>
                <w:sz w:val="20"/>
                <w:szCs w:val="20"/>
              </w:rPr>
              <w:t>6</w:t>
            </w:r>
          </w:p>
        </w:tc>
        <w:tc>
          <w:tcPr>
            <w:tcW w:w="1134" w:type="dxa"/>
            <w:tcBorders>
              <w:top w:val="single" w:sz="4" w:space="0" w:color="auto"/>
            </w:tcBorders>
            <w:vAlign w:val="bottom"/>
          </w:tcPr>
          <w:p w14:paraId="1A6E21B1" w14:textId="77777777" w:rsidR="00722E5C" w:rsidRPr="00D43EAC" w:rsidRDefault="00722E5C" w:rsidP="00722E5C">
            <w:pPr>
              <w:tabs>
                <w:tab w:val="decimal" w:pos="489"/>
              </w:tabs>
              <w:spacing w:before="120"/>
              <w:rPr>
                <w:sz w:val="20"/>
                <w:szCs w:val="20"/>
              </w:rPr>
            </w:pPr>
            <w:r w:rsidRPr="00D43EAC">
              <w:rPr>
                <w:sz w:val="20"/>
                <w:szCs w:val="20"/>
              </w:rPr>
              <w:t>-5</w:t>
            </w:r>
          </w:p>
        </w:tc>
        <w:tc>
          <w:tcPr>
            <w:tcW w:w="851" w:type="dxa"/>
            <w:tcBorders>
              <w:top w:val="single" w:sz="4" w:space="0" w:color="auto"/>
            </w:tcBorders>
            <w:vAlign w:val="bottom"/>
          </w:tcPr>
          <w:p w14:paraId="0E0F3FFF" w14:textId="77777777" w:rsidR="00722E5C" w:rsidRPr="00D43EAC" w:rsidRDefault="00722E5C" w:rsidP="00722E5C">
            <w:pPr>
              <w:tabs>
                <w:tab w:val="decimal" w:pos="489"/>
              </w:tabs>
              <w:spacing w:before="120"/>
              <w:rPr>
                <w:sz w:val="20"/>
                <w:szCs w:val="20"/>
              </w:rPr>
            </w:pPr>
            <w:r w:rsidRPr="00D43EAC">
              <w:rPr>
                <w:sz w:val="20"/>
                <w:szCs w:val="20"/>
              </w:rPr>
              <w:t>11</w:t>
            </w:r>
          </w:p>
        </w:tc>
      </w:tr>
      <w:tr w:rsidR="00722E5C" w:rsidRPr="00D07677" w14:paraId="0D7A7A53" w14:textId="77777777" w:rsidTr="00440578">
        <w:trPr>
          <w:trHeight w:val="240"/>
          <w:jc w:val="center"/>
        </w:trPr>
        <w:tc>
          <w:tcPr>
            <w:tcW w:w="1418" w:type="dxa"/>
            <w:shd w:val="clear" w:color="auto" w:fill="auto"/>
            <w:noWrap/>
            <w:vAlign w:val="bottom"/>
          </w:tcPr>
          <w:p w14:paraId="58855AAC" w14:textId="77777777" w:rsidR="00722E5C" w:rsidRPr="00D43EAC" w:rsidRDefault="00722E5C" w:rsidP="00722E5C">
            <w:pPr>
              <w:tabs>
                <w:tab w:val="decimal" w:pos="636"/>
              </w:tabs>
              <w:rPr>
                <w:sz w:val="20"/>
                <w:szCs w:val="20"/>
              </w:rPr>
            </w:pPr>
            <w:r w:rsidRPr="00D43EAC">
              <w:rPr>
                <w:sz w:val="20"/>
                <w:szCs w:val="20"/>
              </w:rPr>
              <w:t>128</w:t>
            </w:r>
          </w:p>
        </w:tc>
        <w:tc>
          <w:tcPr>
            <w:tcW w:w="1299" w:type="dxa"/>
            <w:shd w:val="clear" w:color="auto" w:fill="auto"/>
            <w:noWrap/>
            <w:vAlign w:val="bottom"/>
          </w:tcPr>
          <w:p w14:paraId="0EF44E6E" w14:textId="77777777" w:rsidR="00722E5C" w:rsidRPr="00D43EAC" w:rsidRDefault="00722E5C" w:rsidP="00722E5C">
            <w:pPr>
              <w:jc w:val="center"/>
              <w:rPr>
                <w:sz w:val="20"/>
                <w:szCs w:val="20"/>
              </w:rPr>
            </w:pPr>
            <w:r w:rsidRPr="00D43EAC">
              <w:rPr>
                <w:sz w:val="20"/>
                <w:szCs w:val="20"/>
              </w:rPr>
              <w:t>10 to 19</w:t>
            </w:r>
          </w:p>
        </w:tc>
        <w:tc>
          <w:tcPr>
            <w:tcW w:w="1127" w:type="dxa"/>
            <w:vAlign w:val="bottom"/>
          </w:tcPr>
          <w:p w14:paraId="4D71928C" w14:textId="77777777" w:rsidR="00722E5C" w:rsidRPr="00D43EAC" w:rsidRDefault="00722E5C" w:rsidP="00722E5C">
            <w:pPr>
              <w:tabs>
                <w:tab w:val="decimal" w:pos="493"/>
              </w:tabs>
              <w:rPr>
                <w:sz w:val="20"/>
                <w:szCs w:val="20"/>
              </w:rPr>
            </w:pPr>
            <w:r w:rsidRPr="00D43EAC">
              <w:rPr>
                <w:sz w:val="20"/>
                <w:szCs w:val="20"/>
              </w:rPr>
              <w:t>-5</w:t>
            </w:r>
          </w:p>
        </w:tc>
        <w:tc>
          <w:tcPr>
            <w:tcW w:w="1069" w:type="dxa"/>
            <w:shd w:val="clear" w:color="auto" w:fill="auto"/>
            <w:noWrap/>
            <w:vAlign w:val="bottom"/>
          </w:tcPr>
          <w:p w14:paraId="190FF4BB" w14:textId="77777777" w:rsidR="00722E5C" w:rsidRPr="00D43EAC" w:rsidRDefault="00722E5C" w:rsidP="00722E5C">
            <w:pPr>
              <w:tabs>
                <w:tab w:val="decimal" w:pos="489"/>
              </w:tabs>
              <w:rPr>
                <w:sz w:val="20"/>
                <w:szCs w:val="20"/>
              </w:rPr>
            </w:pPr>
            <w:r w:rsidRPr="00D43EAC">
              <w:rPr>
                <w:sz w:val="20"/>
                <w:szCs w:val="20"/>
              </w:rPr>
              <w:t>10</w:t>
            </w:r>
          </w:p>
        </w:tc>
        <w:tc>
          <w:tcPr>
            <w:tcW w:w="1134" w:type="dxa"/>
            <w:vAlign w:val="bottom"/>
          </w:tcPr>
          <w:p w14:paraId="142C64AE" w14:textId="77777777" w:rsidR="00722E5C" w:rsidRPr="00D43EAC" w:rsidRDefault="00722E5C" w:rsidP="00722E5C">
            <w:pPr>
              <w:tabs>
                <w:tab w:val="decimal" w:pos="489"/>
              </w:tabs>
              <w:rPr>
                <w:sz w:val="20"/>
                <w:szCs w:val="20"/>
              </w:rPr>
            </w:pPr>
            <w:r w:rsidRPr="00D43EAC">
              <w:rPr>
                <w:sz w:val="20"/>
                <w:szCs w:val="20"/>
              </w:rPr>
              <w:t>8</w:t>
            </w:r>
          </w:p>
        </w:tc>
        <w:tc>
          <w:tcPr>
            <w:tcW w:w="1134" w:type="dxa"/>
            <w:vAlign w:val="bottom"/>
          </w:tcPr>
          <w:p w14:paraId="061F2A47" w14:textId="77777777" w:rsidR="00722E5C" w:rsidRPr="00D43EAC" w:rsidRDefault="00722E5C" w:rsidP="00722E5C">
            <w:pPr>
              <w:tabs>
                <w:tab w:val="decimal" w:pos="489"/>
              </w:tabs>
              <w:rPr>
                <w:sz w:val="20"/>
                <w:szCs w:val="20"/>
              </w:rPr>
            </w:pPr>
            <w:r w:rsidRPr="00D43EAC">
              <w:rPr>
                <w:sz w:val="20"/>
                <w:szCs w:val="20"/>
              </w:rPr>
              <w:t>-7</w:t>
            </w:r>
          </w:p>
        </w:tc>
        <w:tc>
          <w:tcPr>
            <w:tcW w:w="851" w:type="dxa"/>
            <w:vAlign w:val="bottom"/>
          </w:tcPr>
          <w:p w14:paraId="74A588B5" w14:textId="77777777" w:rsidR="00722E5C" w:rsidRPr="00D43EAC" w:rsidRDefault="00722E5C" w:rsidP="00722E5C">
            <w:pPr>
              <w:tabs>
                <w:tab w:val="decimal" w:pos="489"/>
              </w:tabs>
              <w:rPr>
                <w:sz w:val="20"/>
                <w:szCs w:val="20"/>
              </w:rPr>
            </w:pPr>
            <w:r w:rsidRPr="00D43EAC">
              <w:rPr>
                <w:sz w:val="20"/>
                <w:szCs w:val="20"/>
              </w:rPr>
              <w:t>8</w:t>
            </w:r>
          </w:p>
        </w:tc>
      </w:tr>
      <w:tr w:rsidR="00722E5C" w:rsidRPr="00D07677" w14:paraId="39A0AB5F" w14:textId="77777777" w:rsidTr="00440578">
        <w:trPr>
          <w:trHeight w:val="240"/>
          <w:jc w:val="center"/>
        </w:trPr>
        <w:tc>
          <w:tcPr>
            <w:tcW w:w="1418" w:type="dxa"/>
            <w:shd w:val="clear" w:color="auto" w:fill="auto"/>
            <w:noWrap/>
            <w:vAlign w:val="bottom"/>
          </w:tcPr>
          <w:p w14:paraId="2EB36B4A" w14:textId="77777777" w:rsidR="00722E5C" w:rsidRPr="00D43EAC" w:rsidRDefault="00722E5C" w:rsidP="00722E5C">
            <w:pPr>
              <w:tabs>
                <w:tab w:val="decimal" w:pos="636"/>
              </w:tabs>
              <w:rPr>
                <w:sz w:val="20"/>
                <w:szCs w:val="20"/>
              </w:rPr>
            </w:pPr>
            <w:r w:rsidRPr="00D43EAC">
              <w:rPr>
                <w:sz w:val="20"/>
                <w:szCs w:val="20"/>
              </w:rPr>
              <w:t>240</w:t>
            </w:r>
          </w:p>
        </w:tc>
        <w:tc>
          <w:tcPr>
            <w:tcW w:w="1299" w:type="dxa"/>
            <w:shd w:val="clear" w:color="auto" w:fill="auto"/>
            <w:noWrap/>
            <w:vAlign w:val="bottom"/>
          </w:tcPr>
          <w:p w14:paraId="3427C502" w14:textId="77777777" w:rsidR="00722E5C" w:rsidRPr="00D43EAC" w:rsidRDefault="00722E5C" w:rsidP="00722E5C">
            <w:pPr>
              <w:jc w:val="center"/>
              <w:rPr>
                <w:sz w:val="20"/>
                <w:szCs w:val="20"/>
              </w:rPr>
            </w:pPr>
            <w:r w:rsidRPr="00D43EAC">
              <w:rPr>
                <w:sz w:val="20"/>
                <w:szCs w:val="20"/>
              </w:rPr>
              <w:t>5 to 9</w:t>
            </w:r>
          </w:p>
        </w:tc>
        <w:tc>
          <w:tcPr>
            <w:tcW w:w="1127" w:type="dxa"/>
            <w:vAlign w:val="bottom"/>
          </w:tcPr>
          <w:p w14:paraId="74BDB05F" w14:textId="77777777" w:rsidR="00722E5C" w:rsidRPr="00D43EAC" w:rsidRDefault="00722E5C" w:rsidP="00722E5C">
            <w:pPr>
              <w:tabs>
                <w:tab w:val="decimal" w:pos="493"/>
              </w:tabs>
              <w:rPr>
                <w:sz w:val="20"/>
                <w:szCs w:val="20"/>
              </w:rPr>
            </w:pPr>
            <w:r w:rsidRPr="00D43EAC">
              <w:rPr>
                <w:sz w:val="20"/>
                <w:szCs w:val="20"/>
              </w:rPr>
              <w:t>-6</w:t>
            </w:r>
          </w:p>
        </w:tc>
        <w:tc>
          <w:tcPr>
            <w:tcW w:w="1069" w:type="dxa"/>
            <w:shd w:val="clear" w:color="auto" w:fill="auto"/>
            <w:noWrap/>
            <w:vAlign w:val="bottom"/>
          </w:tcPr>
          <w:p w14:paraId="2C2413C4" w14:textId="77777777" w:rsidR="00722E5C" w:rsidRPr="00D43EAC" w:rsidRDefault="00722E5C" w:rsidP="00722E5C">
            <w:pPr>
              <w:tabs>
                <w:tab w:val="decimal" w:pos="489"/>
              </w:tabs>
              <w:rPr>
                <w:sz w:val="20"/>
                <w:szCs w:val="20"/>
              </w:rPr>
            </w:pPr>
            <w:r w:rsidRPr="00D43EAC">
              <w:rPr>
                <w:sz w:val="20"/>
                <w:szCs w:val="20"/>
              </w:rPr>
              <w:t>12</w:t>
            </w:r>
          </w:p>
        </w:tc>
        <w:tc>
          <w:tcPr>
            <w:tcW w:w="1134" w:type="dxa"/>
            <w:vAlign w:val="bottom"/>
          </w:tcPr>
          <w:p w14:paraId="7F17055D" w14:textId="77777777" w:rsidR="00722E5C" w:rsidRPr="00D43EAC" w:rsidRDefault="00722E5C" w:rsidP="00722E5C">
            <w:pPr>
              <w:tabs>
                <w:tab w:val="decimal" w:pos="489"/>
              </w:tabs>
              <w:rPr>
                <w:sz w:val="20"/>
                <w:szCs w:val="20"/>
              </w:rPr>
            </w:pPr>
            <w:r w:rsidRPr="00D43EAC">
              <w:rPr>
                <w:sz w:val="20"/>
                <w:szCs w:val="20"/>
              </w:rPr>
              <w:t>9</w:t>
            </w:r>
          </w:p>
        </w:tc>
        <w:tc>
          <w:tcPr>
            <w:tcW w:w="1134" w:type="dxa"/>
            <w:vAlign w:val="bottom"/>
          </w:tcPr>
          <w:p w14:paraId="3135C5B6" w14:textId="77777777" w:rsidR="00722E5C" w:rsidRPr="00D43EAC" w:rsidRDefault="00722E5C" w:rsidP="00722E5C">
            <w:pPr>
              <w:tabs>
                <w:tab w:val="decimal" w:pos="489"/>
              </w:tabs>
              <w:rPr>
                <w:sz w:val="20"/>
                <w:szCs w:val="20"/>
              </w:rPr>
            </w:pPr>
            <w:r w:rsidRPr="00D43EAC">
              <w:rPr>
                <w:sz w:val="20"/>
                <w:szCs w:val="20"/>
              </w:rPr>
              <w:t>1</w:t>
            </w:r>
          </w:p>
        </w:tc>
        <w:tc>
          <w:tcPr>
            <w:tcW w:w="851" w:type="dxa"/>
            <w:vAlign w:val="bottom"/>
          </w:tcPr>
          <w:p w14:paraId="76EE9395" w14:textId="77777777" w:rsidR="00722E5C" w:rsidRPr="00D43EAC" w:rsidRDefault="00722E5C" w:rsidP="00722E5C">
            <w:pPr>
              <w:tabs>
                <w:tab w:val="decimal" w:pos="489"/>
              </w:tabs>
              <w:rPr>
                <w:sz w:val="20"/>
                <w:szCs w:val="20"/>
              </w:rPr>
            </w:pPr>
            <w:r w:rsidRPr="00D43EAC">
              <w:rPr>
                <w:sz w:val="20"/>
                <w:szCs w:val="20"/>
              </w:rPr>
              <w:t>7</w:t>
            </w:r>
          </w:p>
        </w:tc>
      </w:tr>
      <w:tr w:rsidR="00722E5C" w:rsidRPr="00D07677" w14:paraId="0D352B08" w14:textId="77777777" w:rsidTr="00440578">
        <w:trPr>
          <w:trHeight w:val="240"/>
          <w:jc w:val="center"/>
        </w:trPr>
        <w:tc>
          <w:tcPr>
            <w:tcW w:w="1418" w:type="dxa"/>
            <w:shd w:val="clear" w:color="auto" w:fill="auto"/>
            <w:noWrap/>
            <w:vAlign w:val="bottom"/>
          </w:tcPr>
          <w:p w14:paraId="63DB393F" w14:textId="77777777" w:rsidR="00722E5C" w:rsidRPr="00D43EAC" w:rsidRDefault="00722E5C" w:rsidP="00722E5C">
            <w:pPr>
              <w:tabs>
                <w:tab w:val="decimal" w:pos="636"/>
              </w:tabs>
              <w:rPr>
                <w:sz w:val="20"/>
                <w:szCs w:val="20"/>
              </w:rPr>
            </w:pPr>
            <w:r w:rsidRPr="00D43EAC">
              <w:rPr>
                <w:sz w:val="20"/>
                <w:szCs w:val="20"/>
              </w:rPr>
              <w:t>233</w:t>
            </w:r>
          </w:p>
        </w:tc>
        <w:tc>
          <w:tcPr>
            <w:tcW w:w="1299" w:type="dxa"/>
            <w:shd w:val="clear" w:color="auto" w:fill="auto"/>
            <w:noWrap/>
            <w:vAlign w:val="bottom"/>
          </w:tcPr>
          <w:p w14:paraId="6C3008A4" w14:textId="77777777" w:rsidR="00722E5C" w:rsidRPr="00D43EAC" w:rsidRDefault="00722E5C" w:rsidP="00722E5C">
            <w:pPr>
              <w:jc w:val="center"/>
              <w:rPr>
                <w:sz w:val="20"/>
                <w:szCs w:val="20"/>
              </w:rPr>
            </w:pPr>
            <w:r w:rsidRPr="00D43EAC">
              <w:rPr>
                <w:sz w:val="20"/>
                <w:szCs w:val="20"/>
              </w:rPr>
              <w:t>3 to 4</w:t>
            </w:r>
          </w:p>
        </w:tc>
        <w:tc>
          <w:tcPr>
            <w:tcW w:w="1127" w:type="dxa"/>
            <w:vAlign w:val="bottom"/>
          </w:tcPr>
          <w:p w14:paraId="09C864DB" w14:textId="77777777" w:rsidR="00722E5C" w:rsidRPr="00D43EAC" w:rsidRDefault="00722E5C" w:rsidP="00722E5C">
            <w:pPr>
              <w:tabs>
                <w:tab w:val="decimal" w:pos="493"/>
              </w:tabs>
              <w:rPr>
                <w:sz w:val="20"/>
                <w:szCs w:val="20"/>
              </w:rPr>
            </w:pPr>
            <w:r w:rsidRPr="00D43EAC">
              <w:rPr>
                <w:sz w:val="20"/>
                <w:szCs w:val="20"/>
              </w:rPr>
              <w:t>-1</w:t>
            </w:r>
          </w:p>
        </w:tc>
        <w:tc>
          <w:tcPr>
            <w:tcW w:w="1069" w:type="dxa"/>
            <w:shd w:val="clear" w:color="auto" w:fill="auto"/>
            <w:noWrap/>
            <w:vAlign w:val="bottom"/>
          </w:tcPr>
          <w:p w14:paraId="67D1E0FA" w14:textId="77777777" w:rsidR="00722E5C" w:rsidRPr="00D43EAC" w:rsidRDefault="00722E5C" w:rsidP="00722E5C">
            <w:pPr>
              <w:tabs>
                <w:tab w:val="decimal" w:pos="489"/>
              </w:tabs>
              <w:rPr>
                <w:sz w:val="20"/>
                <w:szCs w:val="20"/>
              </w:rPr>
            </w:pPr>
            <w:r w:rsidRPr="00D43EAC">
              <w:rPr>
                <w:sz w:val="20"/>
                <w:szCs w:val="20"/>
              </w:rPr>
              <w:t>8</w:t>
            </w:r>
          </w:p>
        </w:tc>
        <w:tc>
          <w:tcPr>
            <w:tcW w:w="1134" w:type="dxa"/>
            <w:vAlign w:val="bottom"/>
          </w:tcPr>
          <w:p w14:paraId="79B0B23B" w14:textId="77777777" w:rsidR="00722E5C" w:rsidRPr="00D43EAC" w:rsidRDefault="00722E5C" w:rsidP="00722E5C">
            <w:pPr>
              <w:tabs>
                <w:tab w:val="decimal" w:pos="489"/>
              </w:tabs>
              <w:rPr>
                <w:sz w:val="20"/>
                <w:szCs w:val="20"/>
              </w:rPr>
            </w:pPr>
            <w:r w:rsidRPr="00D43EAC">
              <w:rPr>
                <w:sz w:val="20"/>
                <w:szCs w:val="20"/>
              </w:rPr>
              <w:t>10</w:t>
            </w:r>
          </w:p>
        </w:tc>
        <w:tc>
          <w:tcPr>
            <w:tcW w:w="1134" w:type="dxa"/>
            <w:vAlign w:val="bottom"/>
          </w:tcPr>
          <w:p w14:paraId="0AB2725B" w14:textId="77777777" w:rsidR="00722E5C" w:rsidRPr="00D43EAC" w:rsidRDefault="00722E5C" w:rsidP="00722E5C">
            <w:pPr>
              <w:tabs>
                <w:tab w:val="decimal" w:pos="489"/>
              </w:tabs>
              <w:rPr>
                <w:sz w:val="20"/>
                <w:szCs w:val="20"/>
              </w:rPr>
            </w:pPr>
            <w:r w:rsidRPr="00D43EAC">
              <w:rPr>
                <w:sz w:val="20"/>
                <w:szCs w:val="20"/>
              </w:rPr>
              <w:t>-1</w:t>
            </w:r>
          </w:p>
        </w:tc>
        <w:tc>
          <w:tcPr>
            <w:tcW w:w="851" w:type="dxa"/>
            <w:vAlign w:val="bottom"/>
          </w:tcPr>
          <w:p w14:paraId="7AD9B657" w14:textId="77777777" w:rsidR="00722E5C" w:rsidRPr="00D43EAC" w:rsidRDefault="00722E5C" w:rsidP="00722E5C">
            <w:pPr>
              <w:tabs>
                <w:tab w:val="decimal" w:pos="489"/>
              </w:tabs>
              <w:rPr>
                <w:sz w:val="20"/>
                <w:szCs w:val="20"/>
              </w:rPr>
            </w:pPr>
            <w:r w:rsidRPr="00D43EAC">
              <w:rPr>
                <w:sz w:val="20"/>
                <w:szCs w:val="20"/>
              </w:rPr>
              <w:t>1</w:t>
            </w:r>
          </w:p>
        </w:tc>
      </w:tr>
      <w:tr w:rsidR="00722E5C" w:rsidRPr="00D07677" w14:paraId="2BC62881" w14:textId="77777777" w:rsidTr="00440578">
        <w:trPr>
          <w:trHeight w:val="240"/>
          <w:jc w:val="center"/>
        </w:trPr>
        <w:tc>
          <w:tcPr>
            <w:tcW w:w="1418" w:type="dxa"/>
            <w:shd w:val="clear" w:color="auto" w:fill="auto"/>
            <w:noWrap/>
            <w:vAlign w:val="bottom"/>
          </w:tcPr>
          <w:p w14:paraId="4BC09C76" w14:textId="77777777" w:rsidR="00722E5C" w:rsidRPr="00D43EAC" w:rsidRDefault="00722E5C" w:rsidP="00722E5C">
            <w:pPr>
              <w:tabs>
                <w:tab w:val="decimal" w:pos="636"/>
              </w:tabs>
              <w:rPr>
                <w:sz w:val="20"/>
                <w:szCs w:val="20"/>
              </w:rPr>
            </w:pPr>
            <w:r w:rsidRPr="00D43EAC">
              <w:rPr>
                <w:sz w:val="20"/>
                <w:szCs w:val="20"/>
              </w:rPr>
              <w:t>427</w:t>
            </w:r>
          </w:p>
        </w:tc>
        <w:tc>
          <w:tcPr>
            <w:tcW w:w="1299" w:type="dxa"/>
            <w:shd w:val="clear" w:color="auto" w:fill="auto"/>
            <w:noWrap/>
            <w:vAlign w:val="bottom"/>
          </w:tcPr>
          <w:p w14:paraId="373F2A71" w14:textId="77777777" w:rsidR="00722E5C" w:rsidRPr="00D43EAC" w:rsidRDefault="00722E5C" w:rsidP="00722E5C">
            <w:pPr>
              <w:jc w:val="center"/>
              <w:rPr>
                <w:sz w:val="20"/>
                <w:szCs w:val="20"/>
              </w:rPr>
            </w:pPr>
            <w:r w:rsidRPr="00D43EAC">
              <w:rPr>
                <w:sz w:val="20"/>
                <w:szCs w:val="20"/>
              </w:rPr>
              <w:t>1 to 2</w:t>
            </w:r>
          </w:p>
        </w:tc>
        <w:tc>
          <w:tcPr>
            <w:tcW w:w="1127" w:type="dxa"/>
            <w:vAlign w:val="bottom"/>
          </w:tcPr>
          <w:p w14:paraId="0D4C0726" w14:textId="77777777" w:rsidR="00722E5C" w:rsidRPr="00D43EAC" w:rsidRDefault="00722E5C" w:rsidP="00722E5C">
            <w:pPr>
              <w:tabs>
                <w:tab w:val="decimal" w:pos="493"/>
              </w:tabs>
              <w:rPr>
                <w:sz w:val="20"/>
                <w:szCs w:val="20"/>
              </w:rPr>
            </w:pPr>
            <w:r w:rsidRPr="00D43EAC">
              <w:rPr>
                <w:sz w:val="20"/>
                <w:szCs w:val="20"/>
              </w:rPr>
              <w:t>12</w:t>
            </w:r>
          </w:p>
        </w:tc>
        <w:tc>
          <w:tcPr>
            <w:tcW w:w="1069" w:type="dxa"/>
            <w:shd w:val="clear" w:color="auto" w:fill="auto"/>
            <w:noWrap/>
            <w:vAlign w:val="bottom"/>
          </w:tcPr>
          <w:p w14:paraId="38BAE4F8" w14:textId="77777777" w:rsidR="00722E5C" w:rsidRPr="00D43EAC" w:rsidRDefault="00722E5C" w:rsidP="00722E5C">
            <w:pPr>
              <w:tabs>
                <w:tab w:val="decimal" w:pos="489"/>
              </w:tabs>
              <w:rPr>
                <w:sz w:val="20"/>
                <w:szCs w:val="20"/>
              </w:rPr>
            </w:pPr>
            <w:r w:rsidRPr="00D43EAC">
              <w:rPr>
                <w:sz w:val="20"/>
                <w:szCs w:val="20"/>
              </w:rPr>
              <w:t>-2</w:t>
            </w:r>
          </w:p>
        </w:tc>
        <w:tc>
          <w:tcPr>
            <w:tcW w:w="1134" w:type="dxa"/>
            <w:vAlign w:val="bottom"/>
          </w:tcPr>
          <w:p w14:paraId="74EEBF5A" w14:textId="77777777" w:rsidR="00722E5C" w:rsidRPr="00D43EAC" w:rsidRDefault="00722E5C" w:rsidP="00722E5C">
            <w:pPr>
              <w:tabs>
                <w:tab w:val="decimal" w:pos="489"/>
              </w:tabs>
              <w:rPr>
                <w:sz w:val="20"/>
                <w:szCs w:val="20"/>
              </w:rPr>
            </w:pPr>
            <w:r w:rsidRPr="00D43EAC">
              <w:rPr>
                <w:sz w:val="20"/>
                <w:szCs w:val="20"/>
              </w:rPr>
              <w:t>17</w:t>
            </w:r>
          </w:p>
        </w:tc>
        <w:tc>
          <w:tcPr>
            <w:tcW w:w="1134" w:type="dxa"/>
            <w:vAlign w:val="bottom"/>
          </w:tcPr>
          <w:p w14:paraId="062FE7EB" w14:textId="77777777" w:rsidR="00722E5C" w:rsidRPr="00D43EAC" w:rsidRDefault="00722E5C" w:rsidP="00722E5C">
            <w:pPr>
              <w:tabs>
                <w:tab w:val="decimal" w:pos="489"/>
              </w:tabs>
              <w:rPr>
                <w:sz w:val="20"/>
                <w:szCs w:val="20"/>
              </w:rPr>
            </w:pPr>
            <w:r w:rsidRPr="00D43EAC">
              <w:rPr>
                <w:sz w:val="20"/>
                <w:szCs w:val="20"/>
              </w:rPr>
              <w:t>-21</w:t>
            </w:r>
          </w:p>
        </w:tc>
        <w:tc>
          <w:tcPr>
            <w:tcW w:w="851" w:type="dxa"/>
            <w:vAlign w:val="bottom"/>
          </w:tcPr>
          <w:p w14:paraId="76E0DE89" w14:textId="77777777" w:rsidR="00722E5C" w:rsidRPr="00D43EAC" w:rsidRDefault="00722E5C" w:rsidP="00722E5C">
            <w:pPr>
              <w:tabs>
                <w:tab w:val="decimal" w:pos="489"/>
              </w:tabs>
              <w:rPr>
                <w:sz w:val="20"/>
                <w:szCs w:val="20"/>
              </w:rPr>
            </w:pPr>
            <w:r w:rsidRPr="00D43EAC">
              <w:rPr>
                <w:sz w:val="20"/>
                <w:szCs w:val="20"/>
              </w:rPr>
              <w:t>-6</w:t>
            </w:r>
          </w:p>
        </w:tc>
      </w:tr>
      <w:tr w:rsidR="00722E5C" w:rsidRPr="00D07677" w14:paraId="6B8C67B5" w14:textId="77777777" w:rsidTr="00440578">
        <w:trPr>
          <w:trHeight w:val="240"/>
          <w:jc w:val="center"/>
        </w:trPr>
        <w:tc>
          <w:tcPr>
            <w:tcW w:w="1418" w:type="dxa"/>
            <w:shd w:val="clear" w:color="auto" w:fill="auto"/>
            <w:noWrap/>
            <w:vAlign w:val="bottom"/>
          </w:tcPr>
          <w:p w14:paraId="6C0CA4B8" w14:textId="77777777" w:rsidR="00722E5C" w:rsidRPr="00D43EAC" w:rsidRDefault="00722E5C" w:rsidP="00722E5C">
            <w:pPr>
              <w:tabs>
                <w:tab w:val="decimal" w:pos="636"/>
              </w:tabs>
              <w:spacing w:after="120"/>
              <w:rPr>
                <w:sz w:val="20"/>
                <w:szCs w:val="20"/>
              </w:rPr>
            </w:pPr>
            <w:r w:rsidRPr="00D43EAC">
              <w:rPr>
                <w:sz w:val="20"/>
                <w:szCs w:val="20"/>
              </w:rPr>
              <w:t>162</w:t>
            </w:r>
          </w:p>
        </w:tc>
        <w:tc>
          <w:tcPr>
            <w:tcW w:w="1299" w:type="dxa"/>
            <w:shd w:val="clear" w:color="auto" w:fill="auto"/>
            <w:noWrap/>
            <w:vAlign w:val="bottom"/>
          </w:tcPr>
          <w:p w14:paraId="3C18081A" w14:textId="77777777" w:rsidR="00722E5C" w:rsidRPr="00D43EAC" w:rsidRDefault="00722E5C" w:rsidP="00722E5C">
            <w:pPr>
              <w:spacing w:after="120"/>
              <w:jc w:val="center"/>
              <w:rPr>
                <w:sz w:val="20"/>
                <w:szCs w:val="20"/>
              </w:rPr>
            </w:pPr>
            <w:r w:rsidRPr="00D43EAC">
              <w:rPr>
                <w:sz w:val="20"/>
                <w:szCs w:val="20"/>
              </w:rPr>
              <w:t>less  than 1</w:t>
            </w:r>
          </w:p>
        </w:tc>
        <w:tc>
          <w:tcPr>
            <w:tcW w:w="1127" w:type="dxa"/>
            <w:vAlign w:val="bottom"/>
          </w:tcPr>
          <w:p w14:paraId="00FB9E99" w14:textId="77777777" w:rsidR="00722E5C" w:rsidRPr="00D43EAC" w:rsidRDefault="00722E5C" w:rsidP="00722E5C">
            <w:pPr>
              <w:tabs>
                <w:tab w:val="decimal" w:pos="493"/>
              </w:tabs>
              <w:spacing w:after="120"/>
              <w:rPr>
                <w:sz w:val="20"/>
                <w:szCs w:val="20"/>
              </w:rPr>
            </w:pPr>
            <w:r w:rsidRPr="00D43EAC">
              <w:rPr>
                <w:sz w:val="20"/>
                <w:szCs w:val="20"/>
              </w:rPr>
              <w:t>29</w:t>
            </w:r>
          </w:p>
        </w:tc>
        <w:tc>
          <w:tcPr>
            <w:tcW w:w="1069" w:type="dxa"/>
            <w:shd w:val="clear" w:color="auto" w:fill="auto"/>
            <w:noWrap/>
            <w:vAlign w:val="bottom"/>
          </w:tcPr>
          <w:p w14:paraId="4FFFFC31" w14:textId="77777777" w:rsidR="00722E5C" w:rsidRPr="00D43EAC" w:rsidRDefault="00722E5C" w:rsidP="00722E5C">
            <w:pPr>
              <w:tabs>
                <w:tab w:val="decimal" w:pos="489"/>
              </w:tabs>
              <w:spacing w:after="120"/>
              <w:rPr>
                <w:sz w:val="20"/>
                <w:szCs w:val="20"/>
              </w:rPr>
            </w:pPr>
            <w:r w:rsidRPr="00D43EAC">
              <w:rPr>
                <w:sz w:val="20"/>
                <w:szCs w:val="20"/>
              </w:rPr>
              <w:t>-14</w:t>
            </w:r>
          </w:p>
        </w:tc>
        <w:tc>
          <w:tcPr>
            <w:tcW w:w="1134" w:type="dxa"/>
            <w:vAlign w:val="bottom"/>
          </w:tcPr>
          <w:p w14:paraId="2A7ACEE0" w14:textId="77777777" w:rsidR="00722E5C" w:rsidRPr="00D43EAC" w:rsidRDefault="00722E5C" w:rsidP="00722E5C">
            <w:pPr>
              <w:tabs>
                <w:tab w:val="decimal" w:pos="489"/>
              </w:tabs>
              <w:spacing w:after="120"/>
              <w:rPr>
                <w:sz w:val="20"/>
                <w:szCs w:val="20"/>
              </w:rPr>
            </w:pPr>
            <w:r w:rsidRPr="00D43EAC">
              <w:rPr>
                <w:sz w:val="20"/>
                <w:szCs w:val="20"/>
              </w:rPr>
              <w:t>28</w:t>
            </w:r>
          </w:p>
        </w:tc>
        <w:tc>
          <w:tcPr>
            <w:tcW w:w="1134" w:type="dxa"/>
            <w:vAlign w:val="bottom"/>
          </w:tcPr>
          <w:p w14:paraId="445F3BF8" w14:textId="77777777" w:rsidR="00722E5C" w:rsidRPr="00D43EAC" w:rsidRDefault="00722E5C" w:rsidP="00722E5C">
            <w:pPr>
              <w:tabs>
                <w:tab w:val="decimal" w:pos="489"/>
              </w:tabs>
              <w:spacing w:after="120"/>
              <w:rPr>
                <w:sz w:val="20"/>
                <w:szCs w:val="20"/>
              </w:rPr>
            </w:pPr>
            <w:r w:rsidRPr="00D43EAC">
              <w:rPr>
                <w:sz w:val="20"/>
                <w:szCs w:val="20"/>
              </w:rPr>
              <w:t>-57</w:t>
            </w:r>
          </w:p>
        </w:tc>
        <w:tc>
          <w:tcPr>
            <w:tcW w:w="851" w:type="dxa"/>
            <w:vAlign w:val="bottom"/>
          </w:tcPr>
          <w:p w14:paraId="148C75B5" w14:textId="77777777" w:rsidR="00722E5C" w:rsidRPr="00D43EAC" w:rsidRDefault="00722E5C" w:rsidP="00722E5C">
            <w:pPr>
              <w:tabs>
                <w:tab w:val="decimal" w:pos="489"/>
              </w:tabs>
              <w:spacing w:after="120"/>
              <w:rPr>
                <w:sz w:val="20"/>
                <w:szCs w:val="20"/>
              </w:rPr>
            </w:pPr>
            <w:r w:rsidRPr="00D43EAC">
              <w:rPr>
                <w:sz w:val="20"/>
                <w:szCs w:val="20"/>
              </w:rPr>
              <w:t>-16</w:t>
            </w:r>
          </w:p>
        </w:tc>
      </w:tr>
      <w:tr w:rsidR="00722E5C" w:rsidRPr="00D07677" w14:paraId="1A636947" w14:textId="77777777" w:rsidTr="00440578">
        <w:trPr>
          <w:trHeight w:val="240"/>
          <w:jc w:val="center"/>
        </w:trPr>
        <w:tc>
          <w:tcPr>
            <w:tcW w:w="1418" w:type="dxa"/>
            <w:tcBorders>
              <w:bottom w:val="single" w:sz="4" w:space="0" w:color="auto"/>
            </w:tcBorders>
            <w:shd w:val="clear" w:color="auto" w:fill="auto"/>
            <w:noWrap/>
            <w:vAlign w:val="bottom"/>
          </w:tcPr>
          <w:p w14:paraId="04738B7C" w14:textId="77777777" w:rsidR="00722E5C" w:rsidRPr="00D43EAC" w:rsidRDefault="00722E5C" w:rsidP="00722E5C">
            <w:pPr>
              <w:tabs>
                <w:tab w:val="decimal" w:pos="636"/>
              </w:tabs>
              <w:spacing w:before="120" w:line="360" w:lineRule="auto"/>
              <w:rPr>
                <w:b/>
                <w:sz w:val="20"/>
                <w:szCs w:val="20"/>
              </w:rPr>
            </w:pPr>
            <w:r w:rsidRPr="00D43EAC">
              <w:rPr>
                <w:b/>
                <w:sz w:val="20"/>
                <w:szCs w:val="20"/>
              </w:rPr>
              <w:t>1238</w:t>
            </w:r>
          </w:p>
        </w:tc>
        <w:tc>
          <w:tcPr>
            <w:tcW w:w="1299" w:type="dxa"/>
            <w:tcBorders>
              <w:bottom w:val="single" w:sz="4" w:space="0" w:color="auto"/>
            </w:tcBorders>
            <w:shd w:val="clear" w:color="auto" w:fill="auto"/>
            <w:noWrap/>
            <w:vAlign w:val="bottom"/>
          </w:tcPr>
          <w:p w14:paraId="5FBAC9EB" w14:textId="77777777" w:rsidR="00722E5C" w:rsidRPr="00D43EAC" w:rsidRDefault="00722E5C" w:rsidP="00722E5C">
            <w:pPr>
              <w:spacing w:before="120" w:line="360" w:lineRule="auto"/>
              <w:jc w:val="center"/>
              <w:rPr>
                <w:b/>
                <w:sz w:val="20"/>
                <w:szCs w:val="20"/>
              </w:rPr>
            </w:pPr>
            <w:r w:rsidRPr="00D43EAC">
              <w:rPr>
                <w:b/>
                <w:sz w:val="20"/>
                <w:szCs w:val="20"/>
              </w:rPr>
              <w:t xml:space="preserve">All </w:t>
            </w:r>
            <w:r>
              <w:rPr>
                <w:b/>
                <w:sz w:val="20"/>
                <w:szCs w:val="20"/>
              </w:rPr>
              <w:t>Brands</w:t>
            </w:r>
          </w:p>
        </w:tc>
        <w:tc>
          <w:tcPr>
            <w:tcW w:w="1127" w:type="dxa"/>
            <w:tcBorders>
              <w:bottom w:val="single" w:sz="4" w:space="0" w:color="auto"/>
            </w:tcBorders>
            <w:vAlign w:val="bottom"/>
          </w:tcPr>
          <w:p w14:paraId="1BE12D37" w14:textId="77777777" w:rsidR="00722E5C" w:rsidRPr="00D43EAC" w:rsidRDefault="00722E5C" w:rsidP="00722E5C">
            <w:pPr>
              <w:tabs>
                <w:tab w:val="decimal" w:pos="493"/>
              </w:tabs>
              <w:spacing w:before="120" w:line="360" w:lineRule="auto"/>
              <w:rPr>
                <w:b/>
                <w:sz w:val="20"/>
                <w:szCs w:val="20"/>
              </w:rPr>
            </w:pPr>
            <w:r w:rsidRPr="00D43EAC">
              <w:rPr>
                <w:b/>
                <w:sz w:val="20"/>
                <w:szCs w:val="20"/>
              </w:rPr>
              <w:t>5</w:t>
            </w:r>
          </w:p>
        </w:tc>
        <w:tc>
          <w:tcPr>
            <w:tcW w:w="1069" w:type="dxa"/>
            <w:tcBorders>
              <w:bottom w:val="single" w:sz="4" w:space="0" w:color="auto"/>
            </w:tcBorders>
            <w:shd w:val="clear" w:color="auto" w:fill="auto"/>
            <w:noWrap/>
            <w:vAlign w:val="bottom"/>
          </w:tcPr>
          <w:p w14:paraId="28905F96" w14:textId="77777777" w:rsidR="00722E5C" w:rsidRPr="00D43EAC" w:rsidRDefault="00722E5C" w:rsidP="00722E5C">
            <w:pPr>
              <w:tabs>
                <w:tab w:val="decimal" w:pos="489"/>
              </w:tabs>
              <w:spacing w:before="120" w:line="360" w:lineRule="auto"/>
              <w:rPr>
                <w:b/>
                <w:sz w:val="20"/>
                <w:szCs w:val="20"/>
              </w:rPr>
            </w:pPr>
            <w:r w:rsidRPr="00D43EAC">
              <w:rPr>
                <w:b/>
                <w:sz w:val="20"/>
                <w:szCs w:val="20"/>
              </w:rPr>
              <w:t>3</w:t>
            </w:r>
          </w:p>
        </w:tc>
        <w:tc>
          <w:tcPr>
            <w:tcW w:w="1134" w:type="dxa"/>
            <w:tcBorders>
              <w:bottom w:val="single" w:sz="4" w:space="0" w:color="auto"/>
            </w:tcBorders>
            <w:vAlign w:val="bottom"/>
          </w:tcPr>
          <w:p w14:paraId="45AFD7B5" w14:textId="77777777" w:rsidR="00722E5C" w:rsidRPr="00D43EAC" w:rsidRDefault="00722E5C" w:rsidP="00722E5C">
            <w:pPr>
              <w:tabs>
                <w:tab w:val="decimal" w:pos="489"/>
              </w:tabs>
              <w:spacing w:before="120" w:line="360" w:lineRule="auto"/>
              <w:rPr>
                <w:b/>
                <w:sz w:val="20"/>
                <w:szCs w:val="20"/>
              </w:rPr>
            </w:pPr>
            <w:r w:rsidRPr="00D43EAC">
              <w:rPr>
                <w:b/>
                <w:sz w:val="20"/>
                <w:szCs w:val="20"/>
              </w:rPr>
              <w:t>14</w:t>
            </w:r>
          </w:p>
        </w:tc>
        <w:tc>
          <w:tcPr>
            <w:tcW w:w="1134" w:type="dxa"/>
            <w:tcBorders>
              <w:bottom w:val="single" w:sz="4" w:space="0" w:color="auto"/>
            </w:tcBorders>
            <w:vAlign w:val="bottom"/>
          </w:tcPr>
          <w:p w14:paraId="05F308E8" w14:textId="77777777" w:rsidR="00722E5C" w:rsidRPr="00D43EAC" w:rsidRDefault="00722E5C" w:rsidP="00722E5C">
            <w:pPr>
              <w:tabs>
                <w:tab w:val="decimal" w:pos="489"/>
              </w:tabs>
              <w:spacing w:before="120" w:line="360" w:lineRule="auto"/>
              <w:rPr>
                <w:b/>
                <w:sz w:val="20"/>
                <w:szCs w:val="20"/>
              </w:rPr>
            </w:pPr>
            <w:r w:rsidRPr="00D43EAC">
              <w:rPr>
                <w:b/>
                <w:sz w:val="20"/>
                <w:szCs w:val="20"/>
              </w:rPr>
              <w:t>-14</w:t>
            </w:r>
          </w:p>
        </w:tc>
        <w:tc>
          <w:tcPr>
            <w:tcW w:w="851" w:type="dxa"/>
            <w:tcBorders>
              <w:bottom w:val="single" w:sz="4" w:space="0" w:color="auto"/>
            </w:tcBorders>
            <w:vAlign w:val="bottom"/>
          </w:tcPr>
          <w:p w14:paraId="57A97110" w14:textId="77777777" w:rsidR="00722E5C" w:rsidRPr="00D43EAC" w:rsidRDefault="00722E5C" w:rsidP="00722E5C">
            <w:pPr>
              <w:tabs>
                <w:tab w:val="decimal" w:pos="489"/>
              </w:tabs>
              <w:spacing w:before="120" w:line="360" w:lineRule="auto"/>
              <w:rPr>
                <w:b/>
                <w:sz w:val="20"/>
                <w:szCs w:val="20"/>
              </w:rPr>
            </w:pPr>
            <w:r w:rsidRPr="00D43EAC">
              <w:rPr>
                <w:b/>
                <w:sz w:val="20"/>
                <w:szCs w:val="20"/>
              </w:rPr>
              <w:t>-1</w:t>
            </w:r>
          </w:p>
        </w:tc>
      </w:tr>
    </w:tbl>
    <w:p w14:paraId="72CA82EF" w14:textId="77777777" w:rsidR="00722E5C" w:rsidRPr="00491D4A" w:rsidRDefault="00722E5C" w:rsidP="00722E5C">
      <w:pPr>
        <w:spacing w:before="120"/>
        <w:jc w:val="center"/>
        <w:rPr>
          <w:rFonts w:cs="Arial"/>
          <w:sz w:val="18"/>
          <w:szCs w:val="18"/>
        </w:rPr>
      </w:pPr>
      <w:r w:rsidRPr="00491D4A">
        <w:rPr>
          <w:rFonts w:cs="Arial"/>
          <w:i/>
          <w:sz w:val="18"/>
          <w:szCs w:val="18"/>
        </w:rPr>
        <w:t>Kantar Worldpanel: 52 weeks to Jan 2005.</w:t>
      </w:r>
      <w:r>
        <w:rPr>
          <w:rFonts w:cs="Arial"/>
          <w:i/>
          <w:sz w:val="18"/>
          <w:szCs w:val="18"/>
        </w:rPr>
        <w:t xml:space="preserve"> </w:t>
      </w:r>
      <w:r>
        <w:rPr>
          <w:rFonts w:cs="Arial"/>
          <w:sz w:val="18"/>
          <w:szCs w:val="18"/>
        </w:rPr>
        <w:t xml:space="preserve">Percentage deviations: </w:t>
      </w:r>
      <w:r w:rsidRPr="00491D4A">
        <w:rPr>
          <w:rFonts w:cs="Arial"/>
          <w:i/>
          <w:sz w:val="18"/>
          <w:szCs w:val="18"/>
        </w:rPr>
        <w:t xml:space="preserve"> </w:t>
      </w:r>
      <w:r w:rsidRPr="00491D4A">
        <w:rPr>
          <w:rFonts w:cs="Arial"/>
          <w:sz w:val="18"/>
          <w:szCs w:val="18"/>
        </w:rPr>
        <w:t>(O-</w:t>
      </w:r>
      <w:r w:rsidRPr="00491D4A">
        <w:rPr>
          <w:rFonts w:cs="Arial"/>
          <w:b/>
          <w:sz w:val="18"/>
          <w:szCs w:val="18"/>
        </w:rPr>
        <w:t>T</w:t>
      </w:r>
      <w:r w:rsidRPr="00491D4A">
        <w:rPr>
          <w:rFonts w:cs="Arial"/>
          <w:sz w:val="18"/>
          <w:szCs w:val="18"/>
        </w:rPr>
        <w:t>)/</w:t>
      </w:r>
      <w:r w:rsidRPr="00491D4A">
        <w:rPr>
          <w:rFonts w:cs="Arial"/>
          <w:b/>
          <w:sz w:val="18"/>
          <w:szCs w:val="18"/>
        </w:rPr>
        <w:t>T</w:t>
      </w:r>
    </w:p>
    <w:p w14:paraId="5E0E093A" w14:textId="77777777" w:rsidR="00722E5C" w:rsidRDefault="00722E5C" w:rsidP="00722E5C">
      <w:pPr>
        <w:rPr>
          <w:rFonts w:cs="Arial"/>
        </w:rPr>
      </w:pPr>
    </w:p>
    <w:p w14:paraId="5B84E064" w14:textId="77777777" w:rsidR="00722E5C" w:rsidRDefault="00722E5C" w:rsidP="00722E5C">
      <w:pPr>
        <w:rPr>
          <w:rFonts w:cs="Arial"/>
        </w:rPr>
      </w:pPr>
    </w:p>
    <w:p w14:paraId="13A152DE" w14:textId="77777777" w:rsidR="00722E5C" w:rsidRDefault="00722E5C" w:rsidP="00722E5C">
      <w:pPr>
        <w:rPr>
          <w:rFonts w:cs="Arial"/>
        </w:rPr>
      </w:pPr>
    </w:p>
    <w:p w14:paraId="2EF4CFC3" w14:textId="77777777" w:rsidR="00722E5C" w:rsidRDefault="00722E5C" w:rsidP="00722E5C">
      <w:pPr>
        <w:rPr>
          <w:rFonts w:cs="Arial"/>
        </w:rPr>
      </w:pPr>
    </w:p>
    <w:p w14:paraId="00D33FC4" w14:textId="77777777" w:rsidR="00722E5C" w:rsidRDefault="00722E5C" w:rsidP="00722E5C">
      <w:pPr>
        <w:rPr>
          <w:rFonts w:cs="Arial"/>
        </w:rPr>
      </w:pPr>
    </w:p>
    <w:p w14:paraId="4341E01A" w14:textId="77777777" w:rsidR="00722E5C" w:rsidRDefault="00722E5C" w:rsidP="00722E5C">
      <w:pPr>
        <w:rPr>
          <w:rFonts w:cs="Arial"/>
        </w:rPr>
      </w:pPr>
    </w:p>
    <w:p w14:paraId="513F0B21" w14:textId="77777777" w:rsidR="00722E5C" w:rsidRDefault="00722E5C" w:rsidP="00722E5C">
      <w:pPr>
        <w:rPr>
          <w:rFonts w:cs="Arial"/>
        </w:rPr>
      </w:pPr>
    </w:p>
    <w:p w14:paraId="7A9AD371" w14:textId="77777777" w:rsidR="00722E5C" w:rsidRDefault="00722E5C" w:rsidP="00722E5C">
      <w:pPr>
        <w:rPr>
          <w:rFonts w:cs="Arial"/>
        </w:rPr>
      </w:pPr>
    </w:p>
    <w:p w14:paraId="20AE89D1" w14:textId="77777777" w:rsidR="00722E5C" w:rsidRDefault="00722E5C" w:rsidP="00722E5C">
      <w:pPr>
        <w:rPr>
          <w:rFonts w:cs="Arial"/>
        </w:rPr>
      </w:pPr>
    </w:p>
    <w:p w14:paraId="62E9E2D4" w14:textId="77777777" w:rsidR="00722E5C" w:rsidRDefault="00722E5C" w:rsidP="00722E5C">
      <w:pPr>
        <w:rPr>
          <w:rFonts w:cs="Arial"/>
        </w:rPr>
      </w:pPr>
    </w:p>
    <w:p w14:paraId="41AFB8EE" w14:textId="77777777" w:rsidR="00722E5C" w:rsidRDefault="00722E5C" w:rsidP="00722E5C">
      <w:pPr>
        <w:rPr>
          <w:rFonts w:cs="Arial"/>
        </w:rPr>
      </w:pPr>
    </w:p>
    <w:p w14:paraId="0D565B1B" w14:textId="77777777" w:rsidR="00722E5C" w:rsidRDefault="00722E5C" w:rsidP="00722E5C">
      <w:pPr>
        <w:rPr>
          <w:rFonts w:cs="Arial"/>
        </w:rPr>
      </w:pPr>
    </w:p>
    <w:p w14:paraId="44F1C9B7" w14:textId="77777777" w:rsidR="00722E5C" w:rsidRDefault="00722E5C" w:rsidP="00722E5C">
      <w:pPr>
        <w:rPr>
          <w:rFonts w:cs="Arial"/>
        </w:rPr>
      </w:pPr>
    </w:p>
    <w:p w14:paraId="0AD44015" w14:textId="77777777" w:rsidR="00722E5C" w:rsidRDefault="00722E5C" w:rsidP="00722E5C">
      <w:pPr>
        <w:rPr>
          <w:rFonts w:cs="Arial"/>
        </w:rPr>
      </w:pPr>
    </w:p>
    <w:p w14:paraId="0BAB2DDD" w14:textId="77777777" w:rsidR="00722E5C" w:rsidRDefault="00722E5C" w:rsidP="00722E5C">
      <w:pPr>
        <w:rPr>
          <w:rFonts w:cs="Arial"/>
        </w:rPr>
      </w:pPr>
    </w:p>
    <w:p w14:paraId="410B2EA8" w14:textId="3F49D868" w:rsidR="00722E5C" w:rsidRPr="00995A6B" w:rsidRDefault="00722E5C" w:rsidP="00722E5C">
      <w:pPr>
        <w:spacing w:after="120" w:line="480" w:lineRule="auto"/>
        <w:jc w:val="center"/>
        <w:rPr>
          <w:i/>
        </w:rPr>
      </w:pPr>
      <w:r>
        <w:rPr>
          <w:b/>
        </w:rPr>
        <w:t>Table</w:t>
      </w:r>
      <w:r w:rsidRPr="00995A6B">
        <w:rPr>
          <w:b/>
        </w:rPr>
        <w:t xml:space="preserve"> </w:t>
      </w:r>
      <w:r w:rsidR="001B79A6">
        <w:rPr>
          <w:b/>
        </w:rPr>
        <w:t>5</w:t>
      </w:r>
      <w:r>
        <w:rPr>
          <w:b/>
        </w:rPr>
        <w:t>.</w:t>
      </w:r>
      <w:r w:rsidRPr="00995A6B">
        <w:rPr>
          <w:b/>
        </w:rPr>
        <w:t xml:space="preserve"> Leading brands</w:t>
      </w:r>
      <w:r>
        <w:rPr>
          <w:b/>
        </w:rPr>
        <w:t>:</w:t>
      </w:r>
      <w:r w:rsidRPr="00995A6B">
        <w:rPr>
          <w:b/>
        </w:rPr>
        <w:t xml:space="preserve"> </w:t>
      </w:r>
      <w:r>
        <w:rPr>
          <w:b/>
        </w:rPr>
        <w:t>d</w:t>
      </w:r>
      <w:r w:rsidRPr="00995A6B">
        <w:rPr>
          <w:b/>
        </w:rPr>
        <w:t xml:space="preserve">eviations from </w:t>
      </w:r>
      <w:r>
        <w:rPr>
          <w:b/>
        </w:rPr>
        <w:t>p</w:t>
      </w:r>
      <w:r w:rsidRPr="00995A6B">
        <w:rPr>
          <w:b/>
        </w:rPr>
        <w:t>redicted</w:t>
      </w:r>
      <w:r w:rsidRPr="00554898">
        <w:rPr>
          <w:b/>
        </w:rPr>
        <w:t xml:space="preserve"> </w:t>
      </w:r>
      <w:r>
        <w:rPr>
          <w:b/>
        </w:rPr>
        <w:t>purchase f</w:t>
      </w:r>
      <w:r w:rsidRPr="00995A6B">
        <w:rPr>
          <w:b/>
        </w:rPr>
        <w:t>requency</w:t>
      </w:r>
    </w:p>
    <w:tbl>
      <w:tblPr>
        <w:tblW w:w="8742" w:type="dxa"/>
        <w:jc w:val="center"/>
        <w:tblLook w:val="0000" w:firstRow="0" w:lastRow="0" w:firstColumn="0" w:lastColumn="0" w:noHBand="0" w:noVBand="0"/>
      </w:tblPr>
      <w:tblGrid>
        <w:gridCol w:w="1843"/>
        <w:gridCol w:w="1527"/>
        <w:gridCol w:w="861"/>
        <w:gridCol w:w="845"/>
        <w:gridCol w:w="1173"/>
        <w:gridCol w:w="1134"/>
        <w:gridCol w:w="1359"/>
      </w:tblGrid>
      <w:tr w:rsidR="00722E5C" w:rsidRPr="00D07677" w14:paraId="7DBBFC66" w14:textId="77777777" w:rsidTr="00440578">
        <w:trPr>
          <w:trHeight w:val="240"/>
          <w:jc w:val="center"/>
        </w:trPr>
        <w:tc>
          <w:tcPr>
            <w:tcW w:w="1843" w:type="dxa"/>
            <w:tcBorders>
              <w:top w:val="single" w:sz="4" w:space="0" w:color="auto"/>
            </w:tcBorders>
            <w:shd w:val="clear" w:color="auto" w:fill="auto"/>
            <w:noWrap/>
            <w:vAlign w:val="center"/>
          </w:tcPr>
          <w:p w14:paraId="6509C5C9" w14:textId="77777777" w:rsidR="00722E5C" w:rsidRPr="00995A6B" w:rsidRDefault="00722E5C" w:rsidP="00722E5C">
            <w:pPr>
              <w:rPr>
                <w:sz w:val="20"/>
                <w:szCs w:val="20"/>
              </w:rPr>
            </w:pPr>
            <w:r w:rsidRPr="00995A6B">
              <w:rPr>
                <w:sz w:val="20"/>
                <w:szCs w:val="20"/>
              </w:rPr>
              <w:t>Category</w:t>
            </w:r>
          </w:p>
        </w:tc>
        <w:tc>
          <w:tcPr>
            <w:tcW w:w="1527" w:type="dxa"/>
            <w:tcBorders>
              <w:top w:val="single" w:sz="4" w:space="0" w:color="auto"/>
            </w:tcBorders>
            <w:shd w:val="clear" w:color="auto" w:fill="auto"/>
            <w:noWrap/>
            <w:vAlign w:val="center"/>
          </w:tcPr>
          <w:p w14:paraId="42F5994B" w14:textId="77777777" w:rsidR="00722E5C" w:rsidRPr="00995A6B" w:rsidRDefault="00722E5C" w:rsidP="00722E5C">
            <w:pPr>
              <w:rPr>
                <w:sz w:val="20"/>
                <w:szCs w:val="20"/>
              </w:rPr>
            </w:pPr>
            <w:r w:rsidRPr="00995A6B">
              <w:rPr>
                <w:sz w:val="20"/>
                <w:szCs w:val="20"/>
              </w:rPr>
              <w:t>Brand</w:t>
            </w:r>
          </w:p>
        </w:tc>
        <w:tc>
          <w:tcPr>
            <w:tcW w:w="861" w:type="dxa"/>
            <w:tcBorders>
              <w:top w:val="single" w:sz="4" w:space="0" w:color="auto"/>
            </w:tcBorders>
            <w:shd w:val="clear" w:color="auto" w:fill="auto"/>
            <w:noWrap/>
            <w:vAlign w:val="center"/>
          </w:tcPr>
          <w:p w14:paraId="6306B3F3" w14:textId="77777777" w:rsidR="00722E5C" w:rsidRPr="00995A6B" w:rsidRDefault="00722E5C" w:rsidP="00722E5C">
            <w:pPr>
              <w:jc w:val="right"/>
              <w:rPr>
                <w:sz w:val="20"/>
                <w:szCs w:val="20"/>
              </w:rPr>
            </w:pPr>
            <w:r w:rsidRPr="00995A6B">
              <w:rPr>
                <w:sz w:val="20"/>
                <w:szCs w:val="20"/>
              </w:rPr>
              <w:t>Market</w:t>
            </w:r>
          </w:p>
        </w:tc>
        <w:tc>
          <w:tcPr>
            <w:tcW w:w="845" w:type="dxa"/>
            <w:tcBorders>
              <w:top w:val="single" w:sz="4" w:space="0" w:color="auto"/>
            </w:tcBorders>
            <w:shd w:val="clear" w:color="auto" w:fill="auto"/>
            <w:noWrap/>
            <w:vAlign w:val="center"/>
          </w:tcPr>
          <w:p w14:paraId="13326C16" w14:textId="77777777" w:rsidR="00722E5C" w:rsidRPr="00995A6B" w:rsidRDefault="00722E5C" w:rsidP="00722E5C">
            <w:pPr>
              <w:jc w:val="right"/>
              <w:rPr>
                <w:sz w:val="20"/>
                <w:szCs w:val="20"/>
              </w:rPr>
            </w:pPr>
            <w:r w:rsidRPr="00995A6B">
              <w:rPr>
                <w:sz w:val="20"/>
                <w:szCs w:val="20"/>
              </w:rPr>
              <w:t>Pen.</w:t>
            </w:r>
          </w:p>
        </w:tc>
        <w:tc>
          <w:tcPr>
            <w:tcW w:w="2307" w:type="dxa"/>
            <w:gridSpan w:val="2"/>
            <w:tcBorders>
              <w:top w:val="single" w:sz="4" w:space="0" w:color="auto"/>
            </w:tcBorders>
            <w:shd w:val="clear" w:color="auto" w:fill="auto"/>
            <w:noWrap/>
            <w:vAlign w:val="center"/>
          </w:tcPr>
          <w:p w14:paraId="106956AC" w14:textId="77777777" w:rsidR="00722E5C" w:rsidRPr="00995A6B" w:rsidRDefault="00722E5C" w:rsidP="00722E5C">
            <w:pPr>
              <w:jc w:val="right"/>
              <w:rPr>
                <w:sz w:val="20"/>
                <w:szCs w:val="20"/>
                <w:u w:val="single"/>
              </w:rPr>
            </w:pPr>
            <w:r w:rsidRPr="00995A6B">
              <w:rPr>
                <w:sz w:val="20"/>
                <w:szCs w:val="20"/>
                <w:u w:val="single"/>
              </w:rPr>
              <w:t>Purchase per buyer</w:t>
            </w:r>
          </w:p>
        </w:tc>
        <w:tc>
          <w:tcPr>
            <w:tcW w:w="1359" w:type="dxa"/>
            <w:tcBorders>
              <w:top w:val="single" w:sz="4" w:space="0" w:color="auto"/>
            </w:tcBorders>
            <w:shd w:val="clear" w:color="auto" w:fill="auto"/>
            <w:noWrap/>
            <w:vAlign w:val="center"/>
          </w:tcPr>
          <w:p w14:paraId="342EAD52" w14:textId="77777777" w:rsidR="00722E5C" w:rsidRPr="00995A6B" w:rsidRDefault="00722E5C" w:rsidP="00722E5C">
            <w:pPr>
              <w:jc w:val="right"/>
              <w:rPr>
                <w:sz w:val="20"/>
                <w:szCs w:val="20"/>
              </w:rPr>
            </w:pPr>
            <w:r w:rsidRPr="00995A6B">
              <w:rPr>
                <w:sz w:val="20"/>
                <w:szCs w:val="20"/>
              </w:rPr>
              <w:t>% Deviation</w:t>
            </w:r>
          </w:p>
        </w:tc>
      </w:tr>
      <w:tr w:rsidR="00722E5C" w:rsidRPr="00D07677" w14:paraId="3D0F8EC9" w14:textId="77777777" w:rsidTr="00440578">
        <w:trPr>
          <w:trHeight w:val="507"/>
          <w:jc w:val="center"/>
        </w:trPr>
        <w:tc>
          <w:tcPr>
            <w:tcW w:w="1843" w:type="dxa"/>
            <w:tcBorders>
              <w:bottom w:val="single" w:sz="4" w:space="0" w:color="auto"/>
            </w:tcBorders>
            <w:shd w:val="clear" w:color="auto" w:fill="auto"/>
            <w:noWrap/>
            <w:vAlign w:val="center"/>
          </w:tcPr>
          <w:p w14:paraId="2FCEDE8D" w14:textId="77777777" w:rsidR="00722E5C" w:rsidRPr="00995A6B" w:rsidRDefault="00722E5C" w:rsidP="00722E5C">
            <w:pPr>
              <w:rPr>
                <w:sz w:val="20"/>
                <w:szCs w:val="20"/>
              </w:rPr>
            </w:pPr>
          </w:p>
        </w:tc>
        <w:tc>
          <w:tcPr>
            <w:tcW w:w="1527" w:type="dxa"/>
            <w:tcBorders>
              <w:bottom w:val="single" w:sz="4" w:space="0" w:color="auto"/>
            </w:tcBorders>
            <w:shd w:val="clear" w:color="auto" w:fill="auto"/>
            <w:noWrap/>
            <w:vAlign w:val="center"/>
          </w:tcPr>
          <w:p w14:paraId="2E3C86B0" w14:textId="77777777" w:rsidR="00722E5C" w:rsidRPr="00995A6B" w:rsidRDefault="00722E5C" w:rsidP="00722E5C">
            <w:pPr>
              <w:rPr>
                <w:sz w:val="20"/>
                <w:szCs w:val="20"/>
              </w:rPr>
            </w:pPr>
          </w:p>
        </w:tc>
        <w:tc>
          <w:tcPr>
            <w:tcW w:w="861" w:type="dxa"/>
            <w:tcBorders>
              <w:bottom w:val="single" w:sz="4" w:space="0" w:color="auto"/>
            </w:tcBorders>
            <w:shd w:val="clear" w:color="auto" w:fill="auto"/>
            <w:noWrap/>
            <w:vAlign w:val="center"/>
          </w:tcPr>
          <w:p w14:paraId="6307E201" w14:textId="77777777" w:rsidR="00722E5C" w:rsidRPr="00995A6B" w:rsidRDefault="00722E5C" w:rsidP="00722E5C">
            <w:pPr>
              <w:jc w:val="right"/>
              <w:rPr>
                <w:sz w:val="20"/>
                <w:szCs w:val="20"/>
              </w:rPr>
            </w:pPr>
            <w:r w:rsidRPr="00995A6B">
              <w:rPr>
                <w:sz w:val="20"/>
                <w:szCs w:val="20"/>
              </w:rPr>
              <w:t>Share</w:t>
            </w:r>
          </w:p>
          <w:p w14:paraId="407638EC" w14:textId="77777777" w:rsidR="00722E5C" w:rsidRPr="00995A6B" w:rsidRDefault="00722E5C" w:rsidP="00722E5C">
            <w:pPr>
              <w:jc w:val="right"/>
              <w:rPr>
                <w:sz w:val="20"/>
                <w:szCs w:val="20"/>
              </w:rPr>
            </w:pPr>
            <w:r w:rsidRPr="00995A6B">
              <w:rPr>
                <w:sz w:val="20"/>
                <w:szCs w:val="20"/>
              </w:rPr>
              <w:t>%</w:t>
            </w:r>
          </w:p>
        </w:tc>
        <w:tc>
          <w:tcPr>
            <w:tcW w:w="845" w:type="dxa"/>
            <w:tcBorders>
              <w:bottom w:val="single" w:sz="4" w:space="0" w:color="auto"/>
            </w:tcBorders>
            <w:shd w:val="clear" w:color="auto" w:fill="auto"/>
            <w:noWrap/>
            <w:vAlign w:val="bottom"/>
          </w:tcPr>
          <w:p w14:paraId="1272998B" w14:textId="77777777" w:rsidR="00722E5C" w:rsidRPr="00995A6B" w:rsidRDefault="00722E5C" w:rsidP="00722E5C">
            <w:pPr>
              <w:jc w:val="right"/>
              <w:rPr>
                <w:sz w:val="20"/>
                <w:szCs w:val="20"/>
              </w:rPr>
            </w:pPr>
            <w:r w:rsidRPr="00995A6B">
              <w:rPr>
                <w:sz w:val="20"/>
                <w:szCs w:val="20"/>
              </w:rPr>
              <w:t>%</w:t>
            </w:r>
          </w:p>
        </w:tc>
        <w:tc>
          <w:tcPr>
            <w:tcW w:w="1173" w:type="dxa"/>
            <w:tcBorders>
              <w:bottom w:val="single" w:sz="4" w:space="0" w:color="auto"/>
            </w:tcBorders>
            <w:shd w:val="clear" w:color="auto" w:fill="auto"/>
            <w:noWrap/>
            <w:vAlign w:val="center"/>
          </w:tcPr>
          <w:p w14:paraId="51791AE0" w14:textId="77777777" w:rsidR="00722E5C" w:rsidRPr="00995A6B" w:rsidRDefault="00722E5C" w:rsidP="00722E5C">
            <w:pPr>
              <w:jc w:val="center"/>
              <w:rPr>
                <w:sz w:val="20"/>
                <w:szCs w:val="20"/>
              </w:rPr>
            </w:pPr>
          </w:p>
        </w:tc>
        <w:tc>
          <w:tcPr>
            <w:tcW w:w="1134" w:type="dxa"/>
            <w:tcBorders>
              <w:bottom w:val="single" w:sz="4" w:space="0" w:color="auto"/>
            </w:tcBorders>
            <w:shd w:val="clear" w:color="auto" w:fill="auto"/>
            <w:noWrap/>
            <w:vAlign w:val="center"/>
          </w:tcPr>
          <w:p w14:paraId="2E08D1C0" w14:textId="77777777" w:rsidR="00722E5C" w:rsidRPr="00995A6B" w:rsidRDefault="00722E5C" w:rsidP="00722E5C">
            <w:pPr>
              <w:jc w:val="center"/>
              <w:rPr>
                <w:sz w:val="20"/>
                <w:szCs w:val="20"/>
              </w:rPr>
            </w:pPr>
          </w:p>
        </w:tc>
        <w:tc>
          <w:tcPr>
            <w:tcW w:w="1359" w:type="dxa"/>
            <w:tcBorders>
              <w:bottom w:val="single" w:sz="4" w:space="0" w:color="auto"/>
            </w:tcBorders>
            <w:shd w:val="clear" w:color="auto" w:fill="auto"/>
            <w:noWrap/>
            <w:vAlign w:val="center"/>
          </w:tcPr>
          <w:p w14:paraId="23638C71" w14:textId="77777777" w:rsidR="00722E5C" w:rsidRPr="00995A6B" w:rsidRDefault="00722E5C" w:rsidP="00722E5C">
            <w:pPr>
              <w:jc w:val="right"/>
              <w:rPr>
                <w:sz w:val="20"/>
                <w:szCs w:val="20"/>
              </w:rPr>
            </w:pPr>
            <w:r>
              <w:rPr>
                <w:sz w:val="20"/>
                <w:szCs w:val="20"/>
              </w:rPr>
              <w:t>(</w:t>
            </w:r>
            <w:r w:rsidRPr="00995A6B">
              <w:rPr>
                <w:sz w:val="20"/>
                <w:szCs w:val="20"/>
              </w:rPr>
              <w:t xml:space="preserve">O </w:t>
            </w:r>
            <w:r>
              <w:rPr>
                <w:sz w:val="20"/>
                <w:szCs w:val="20"/>
              </w:rPr>
              <w:t>–</w:t>
            </w:r>
            <w:r w:rsidRPr="00995A6B">
              <w:rPr>
                <w:sz w:val="20"/>
                <w:szCs w:val="20"/>
              </w:rPr>
              <w:t xml:space="preserve"> </w:t>
            </w:r>
            <w:r w:rsidRPr="00491D4A">
              <w:rPr>
                <w:b/>
                <w:sz w:val="20"/>
                <w:szCs w:val="20"/>
              </w:rPr>
              <w:t>T</w:t>
            </w:r>
            <w:r>
              <w:rPr>
                <w:b/>
                <w:sz w:val="20"/>
                <w:szCs w:val="20"/>
              </w:rPr>
              <w:t>)/T</w:t>
            </w:r>
          </w:p>
        </w:tc>
      </w:tr>
      <w:tr w:rsidR="00722E5C" w:rsidRPr="00D07677" w14:paraId="643EC932" w14:textId="77777777" w:rsidTr="00440578">
        <w:trPr>
          <w:trHeight w:val="240"/>
          <w:jc w:val="center"/>
        </w:trPr>
        <w:tc>
          <w:tcPr>
            <w:tcW w:w="1843" w:type="dxa"/>
            <w:tcBorders>
              <w:top w:val="single" w:sz="4" w:space="0" w:color="auto"/>
            </w:tcBorders>
            <w:shd w:val="clear" w:color="auto" w:fill="auto"/>
            <w:noWrap/>
            <w:vAlign w:val="center"/>
          </w:tcPr>
          <w:p w14:paraId="18E596A7" w14:textId="77777777" w:rsidR="00722E5C" w:rsidRPr="00995A6B" w:rsidRDefault="00722E5C" w:rsidP="00722E5C">
            <w:pPr>
              <w:rPr>
                <w:sz w:val="20"/>
                <w:szCs w:val="20"/>
              </w:rPr>
            </w:pPr>
          </w:p>
        </w:tc>
        <w:tc>
          <w:tcPr>
            <w:tcW w:w="1527" w:type="dxa"/>
            <w:tcBorders>
              <w:top w:val="single" w:sz="4" w:space="0" w:color="auto"/>
            </w:tcBorders>
            <w:shd w:val="clear" w:color="auto" w:fill="auto"/>
            <w:noWrap/>
            <w:vAlign w:val="center"/>
          </w:tcPr>
          <w:p w14:paraId="3AD15225" w14:textId="77777777" w:rsidR="00722E5C" w:rsidRPr="00995A6B" w:rsidRDefault="00722E5C" w:rsidP="00722E5C">
            <w:pPr>
              <w:rPr>
                <w:sz w:val="20"/>
                <w:szCs w:val="20"/>
              </w:rPr>
            </w:pPr>
          </w:p>
        </w:tc>
        <w:tc>
          <w:tcPr>
            <w:tcW w:w="861" w:type="dxa"/>
            <w:tcBorders>
              <w:top w:val="single" w:sz="4" w:space="0" w:color="auto"/>
            </w:tcBorders>
            <w:shd w:val="clear" w:color="auto" w:fill="auto"/>
            <w:noWrap/>
            <w:vAlign w:val="center"/>
          </w:tcPr>
          <w:p w14:paraId="0B49283E" w14:textId="77777777" w:rsidR="00722E5C" w:rsidRPr="00995A6B" w:rsidRDefault="00722E5C" w:rsidP="00722E5C">
            <w:pPr>
              <w:jc w:val="right"/>
              <w:rPr>
                <w:b/>
                <w:sz w:val="20"/>
                <w:szCs w:val="20"/>
              </w:rPr>
            </w:pPr>
          </w:p>
        </w:tc>
        <w:tc>
          <w:tcPr>
            <w:tcW w:w="845" w:type="dxa"/>
            <w:tcBorders>
              <w:top w:val="single" w:sz="4" w:space="0" w:color="auto"/>
            </w:tcBorders>
            <w:shd w:val="clear" w:color="auto" w:fill="auto"/>
            <w:noWrap/>
            <w:vAlign w:val="center"/>
          </w:tcPr>
          <w:p w14:paraId="10997AFD" w14:textId="77777777" w:rsidR="00722E5C" w:rsidRPr="00995A6B" w:rsidRDefault="00722E5C" w:rsidP="00722E5C">
            <w:pPr>
              <w:jc w:val="right"/>
              <w:rPr>
                <w:sz w:val="20"/>
                <w:szCs w:val="20"/>
              </w:rPr>
            </w:pPr>
            <w:r w:rsidRPr="00995A6B">
              <w:rPr>
                <w:sz w:val="20"/>
                <w:szCs w:val="20"/>
              </w:rPr>
              <w:t>O</w:t>
            </w:r>
          </w:p>
        </w:tc>
        <w:tc>
          <w:tcPr>
            <w:tcW w:w="1173" w:type="dxa"/>
            <w:tcBorders>
              <w:top w:val="single" w:sz="4" w:space="0" w:color="auto"/>
            </w:tcBorders>
            <w:shd w:val="clear" w:color="auto" w:fill="auto"/>
            <w:noWrap/>
            <w:vAlign w:val="center"/>
          </w:tcPr>
          <w:p w14:paraId="6B0FF2AE" w14:textId="77777777" w:rsidR="00722E5C" w:rsidRPr="00995A6B" w:rsidRDefault="00722E5C" w:rsidP="00722E5C">
            <w:pPr>
              <w:jc w:val="right"/>
              <w:rPr>
                <w:sz w:val="20"/>
                <w:szCs w:val="20"/>
              </w:rPr>
            </w:pPr>
            <w:r w:rsidRPr="00995A6B">
              <w:rPr>
                <w:sz w:val="20"/>
                <w:szCs w:val="20"/>
              </w:rPr>
              <w:t>O</w:t>
            </w:r>
          </w:p>
        </w:tc>
        <w:tc>
          <w:tcPr>
            <w:tcW w:w="1134" w:type="dxa"/>
            <w:tcBorders>
              <w:top w:val="single" w:sz="4" w:space="0" w:color="auto"/>
            </w:tcBorders>
            <w:shd w:val="clear" w:color="auto" w:fill="auto"/>
            <w:noWrap/>
            <w:vAlign w:val="center"/>
          </w:tcPr>
          <w:p w14:paraId="5DDDF4F2" w14:textId="77777777" w:rsidR="00722E5C" w:rsidRPr="00995A6B" w:rsidRDefault="00722E5C" w:rsidP="00722E5C">
            <w:pPr>
              <w:jc w:val="right"/>
              <w:rPr>
                <w:b/>
                <w:sz w:val="20"/>
                <w:szCs w:val="20"/>
              </w:rPr>
            </w:pPr>
            <w:r w:rsidRPr="00995A6B">
              <w:rPr>
                <w:b/>
                <w:sz w:val="20"/>
                <w:szCs w:val="20"/>
              </w:rPr>
              <w:t>T</w:t>
            </w:r>
          </w:p>
        </w:tc>
        <w:tc>
          <w:tcPr>
            <w:tcW w:w="1359" w:type="dxa"/>
            <w:tcBorders>
              <w:top w:val="single" w:sz="4" w:space="0" w:color="auto"/>
            </w:tcBorders>
            <w:shd w:val="clear" w:color="auto" w:fill="auto"/>
            <w:noWrap/>
            <w:vAlign w:val="center"/>
          </w:tcPr>
          <w:p w14:paraId="270ACBF2" w14:textId="77777777" w:rsidR="00722E5C" w:rsidRPr="00995A6B" w:rsidRDefault="00722E5C" w:rsidP="00722E5C">
            <w:pPr>
              <w:jc w:val="right"/>
              <w:rPr>
                <w:sz w:val="20"/>
                <w:szCs w:val="20"/>
              </w:rPr>
            </w:pPr>
          </w:p>
        </w:tc>
      </w:tr>
      <w:tr w:rsidR="00722E5C" w:rsidRPr="00D07677" w14:paraId="51D9FFF0" w14:textId="77777777" w:rsidTr="00440578">
        <w:trPr>
          <w:trHeight w:val="240"/>
          <w:jc w:val="center"/>
        </w:trPr>
        <w:tc>
          <w:tcPr>
            <w:tcW w:w="1843" w:type="dxa"/>
            <w:shd w:val="clear" w:color="auto" w:fill="auto"/>
            <w:noWrap/>
            <w:vAlign w:val="center"/>
          </w:tcPr>
          <w:p w14:paraId="57B96B8A" w14:textId="77777777" w:rsidR="00722E5C" w:rsidRPr="00995A6B" w:rsidRDefault="00722E5C" w:rsidP="00722E5C">
            <w:pPr>
              <w:rPr>
                <w:sz w:val="20"/>
                <w:szCs w:val="20"/>
              </w:rPr>
            </w:pPr>
          </w:p>
        </w:tc>
        <w:tc>
          <w:tcPr>
            <w:tcW w:w="1527" w:type="dxa"/>
            <w:shd w:val="clear" w:color="auto" w:fill="auto"/>
            <w:noWrap/>
            <w:vAlign w:val="center"/>
          </w:tcPr>
          <w:p w14:paraId="7F5F67F1" w14:textId="77777777" w:rsidR="00722E5C" w:rsidRPr="00995A6B" w:rsidRDefault="00722E5C" w:rsidP="00722E5C">
            <w:pPr>
              <w:rPr>
                <w:sz w:val="20"/>
                <w:szCs w:val="20"/>
              </w:rPr>
            </w:pPr>
          </w:p>
        </w:tc>
        <w:tc>
          <w:tcPr>
            <w:tcW w:w="861" w:type="dxa"/>
            <w:shd w:val="clear" w:color="auto" w:fill="auto"/>
            <w:noWrap/>
            <w:vAlign w:val="center"/>
          </w:tcPr>
          <w:p w14:paraId="0A238E74" w14:textId="77777777" w:rsidR="00722E5C" w:rsidRPr="00995A6B" w:rsidRDefault="00722E5C" w:rsidP="00722E5C">
            <w:pPr>
              <w:jc w:val="right"/>
              <w:rPr>
                <w:b/>
                <w:sz w:val="20"/>
                <w:szCs w:val="20"/>
              </w:rPr>
            </w:pPr>
          </w:p>
        </w:tc>
        <w:tc>
          <w:tcPr>
            <w:tcW w:w="845" w:type="dxa"/>
            <w:shd w:val="clear" w:color="auto" w:fill="auto"/>
            <w:noWrap/>
            <w:vAlign w:val="center"/>
          </w:tcPr>
          <w:p w14:paraId="111C9C09" w14:textId="77777777" w:rsidR="00722E5C" w:rsidRPr="00995A6B" w:rsidRDefault="00722E5C" w:rsidP="00722E5C">
            <w:pPr>
              <w:jc w:val="right"/>
              <w:rPr>
                <w:sz w:val="20"/>
                <w:szCs w:val="20"/>
              </w:rPr>
            </w:pPr>
          </w:p>
        </w:tc>
        <w:tc>
          <w:tcPr>
            <w:tcW w:w="1173" w:type="dxa"/>
            <w:shd w:val="clear" w:color="auto" w:fill="auto"/>
            <w:noWrap/>
            <w:vAlign w:val="center"/>
          </w:tcPr>
          <w:p w14:paraId="119AB8F9" w14:textId="77777777" w:rsidR="00722E5C" w:rsidRPr="00995A6B" w:rsidRDefault="00722E5C" w:rsidP="00722E5C">
            <w:pPr>
              <w:jc w:val="right"/>
              <w:rPr>
                <w:sz w:val="20"/>
                <w:szCs w:val="20"/>
              </w:rPr>
            </w:pPr>
          </w:p>
        </w:tc>
        <w:tc>
          <w:tcPr>
            <w:tcW w:w="1134" w:type="dxa"/>
            <w:shd w:val="clear" w:color="auto" w:fill="auto"/>
            <w:noWrap/>
            <w:vAlign w:val="center"/>
          </w:tcPr>
          <w:p w14:paraId="77B6E8AB" w14:textId="77777777" w:rsidR="00722E5C" w:rsidRPr="00995A6B" w:rsidRDefault="00722E5C" w:rsidP="00722E5C">
            <w:pPr>
              <w:jc w:val="right"/>
              <w:rPr>
                <w:b/>
                <w:sz w:val="20"/>
                <w:szCs w:val="20"/>
              </w:rPr>
            </w:pPr>
          </w:p>
        </w:tc>
        <w:tc>
          <w:tcPr>
            <w:tcW w:w="1359" w:type="dxa"/>
            <w:shd w:val="clear" w:color="auto" w:fill="auto"/>
            <w:noWrap/>
            <w:vAlign w:val="center"/>
          </w:tcPr>
          <w:p w14:paraId="3F08DB83" w14:textId="77777777" w:rsidR="00722E5C" w:rsidRPr="00995A6B" w:rsidRDefault="00722E5C" w:rsidP="00722E5C">
            <w:pPr>
              <w:jc w:val="right"/>
              <w:rPr>
                <w:sz w:val="20"/>
                <w:szCs w:val="20"/>
              </w:rPr>
            </w:pPr>
          </w:p>
        </w:tc>
      </w:tr>
      <w:tr w:rsidR="00722E5C" w:rsidRPr="00D07677" w14:paraId="006877EA" w14:textId="77777777" w:rsidTr="00440578">
        <w:trPr>
          <w:trHeight w:val="240"/>
          <w:jc w:val="center"/>
        </w:trPr>
        <w:tc>
          <w:tcPr>
            <w:tcW w:w="1843" w:type="dxa"/>
            <w:shd w:val="clear" w:color="auto" w:fill="auto"/>
            <w:noWrap/>
            <w:vAlign w:val="center"/>
          </w:tcPr>
          <w:p w14:paraId="333C81BD" w14:textId="77777777" w:rsidR="00722E5C" w:rsidRPr="00995A6B" w:rsidRDefault="00722E5C" w:rsidP="00722E5C">
            <w:pPr>
              <w:rPr>
                <w:sz w:val="20"/>
                <w:szCs w:val="20"/>
              </w:rPr>
            </w:pPr>
            <w:r w:rsidRPr="00995A6B">
              <w:rPr>
                <w:sz w:val="20"/>
                <w:szCs w:val="20"/>
              </w:rPr>
              <w:t>Crisps</w:t>
            </w:r>
          </w:p>
        </w:tc>
        <w:tc>
          <w:tcPr>
            <w:tcW w:w="1527" w:type="dxa"/>
            <w:shd w:val="clear" w:color="auto" w:fill="auto"/>
            <w:noWrap/>
            <w:vAlign w:val="center"/>
          </w:tcPr>
          <w:p w14:paraId="334A0A8D" w14:textId="77777777" w:rsidR="00722E5C" w:rsidRPr="00995A6B" w:rsidRDefault="00722E5C" w:rsidP="00722E5C">
            <w:pPr>
              <w:rPr>
                <w:sz w:val="20"/>
                <w:szCs w:val="20"/>
              </w:rPr>
            </w:pPr>
            <w:r w:rsidRPr="00995A6B">
              <w:rPr>
                <w:sz w:val="20"/>
                <w:szCs w:val="20"/>
              </w:rPr>
              <w:t>Walkers</w:t>
            </w:r>
          </w:p>
        </w:tc>
        <w:tc>
          <w:tcPr>
            <w:tcW w:w="861" w:type="dxa"/>
            <w:shd w:val="clear" w:color="auto" w:fill="auto"/>
            <w:noWrap/>
            <w:vAlign w:val="center"/>
          </w:tcPr>
          <w:p w14:paraId="3A83835D" w14:textId="77777777" w:rsidR="00722E5C" w:rsidRPr="00995A6B" w:rsidRDefault="00722E5C" w:rsidP="00722E5C">
            <w:pPr>
              <w:tabs>
                <w:tab w:val="decimal" w:pos="459"/>
              </w:tabs>
              <w:jc w:val="right"/>
              <w:rPr>
                <w:sz w:val="20"/>
                <w:szCs w:val="20"/>
              </w:rPr>
            </w:pPr>
            <w:r w:rsidRPr="00995A6B">
              <w:rPr>
                <w:sz w:val="20"/>
                <w:szCs w:val="20"/>
              </w:rPr>
              <w:t>68</w:t>
            </w:r>
          </w:p>
        </w:tc>
        <w:tc>
          <w:tcPr>
            <w:tcW w:w="845" w:type="dxa"/>
            <w:shd w:val="clear" w:color="auto" w:fill="auto"/>
            <w:noWrap/>
            <w:vAlign w:val="center"/>
          </w:tcPr>
          <w:p w14:paraId="62534CD7" w14:textId="77777777" w:rsidR="00722E5C" w:rsidRPr="00995A6B" w:rsidRDefault="00722E5C" w:rsidP="00722E5C">
            <w:pPr>
              <w:jc w:val="right"/>
              <w:rPr>
                <w:sz w:val="20"/>
                <w:szCs w:val="20"/>
              </w:rPr>
            </w:pPr>
            <w:r w:rsidRPr="00995A6B">
              <w:rPr>
                <w:sz w:val="20"/>
                <w:szCs w:val="20"/>
              </w:rPr>
              <w:t>67</w:t>
            </w:r>
          </w:p>
        </w:tc>
        <w:tc>
          <w:tcPr>
            <w:tcW w:w="1173" w:type="dxa"/>
            <w:shd w:val="clear" w:color="auto" w:fill="auto"/>
            <w:noWrap/>
            <w:vAlign w:val="center"/>
          </w:tcPr>
          <w:p w14:paraId="30B7CDF1" w14:textId="77777777" w:rsidR="00722E5C" w:rsidRPr="00995A6B" w:rsidRDefault="00722E5C" w:rsidP="00722E5C">
            <w:pPr>
              <w:jc w:val="right"/>
              <w:rPr>
                <w:sz w:val="20"/>
                <w:szCs w:val="20"/>
              </w:rPr>
            </w:pPr>
            <w:r w:rsidRPr="00995A6B">
              <w:rPr>
                <w:sz w:val="20"/>
                <w:szCs w:val="20"/>
              </w:rPr>
              <w:t>13.3</w:t>
            </w:r>
          </w:p>
        </w:tc>
        <w:tc>
          <w:tcPr>
            <w:tcW w:w="1134" w:type="dxa"/>
            <w:shd w:val="clear" w:color="auto" w:fill="auto"/>
            <w:noWrap/>
            <w:vAlign w:val="center"/>
          </w:tcPr>
          <w:p w14:paraId="1664575E" w14:textId="77777777" w:rsidR="00722E5C" w:rsidRPr="00995A6B" w:rsidRDefault="00722E5C" w:rsidP="00722E5C">
            <w:pPr>
              <w:jc w:val="right"/>
              <w:rPr>
                <w:b/>
                <w:sz w:val="20"/>
                <w:szCs w:val="20"/>
              </w:rPr>
            </w:pPr>
            <w:r w:rsidRPr="00995A6B">
              <w:rPr>
                <w:b/>
                <w:sz w:val="20"/>
                <w:szCs w:val="20"/>
              </w:rPr>
              <w:t>13.1</w:t>
            </w:r>
          </w:p>
        </w:tc>
        <w:tc>
          <w:tcPr>
            <w:tcW w:w="1359" w:type="dxa"/>
            <w:shd w:val="clear" w:color="auto" w:fill="auto"/>
            <w:noWrap/>
            <w:vAlign w:val="center"/>
          </w:tcPr>
          <w:p w14:paraId="22786932" w14:textId="77777777" w:rsidR="00722E5C" w:rsidRPr="00995A6B" w:rsidRDefault="00722E5C" w:rsidP="00722E5C">
            <w:pPr>
              <w:jc w:val="right"/>
              <w:rPr>
                <w:sz w:val="20"/>
                <w:szCs w:val="20"/>
              </w:rPr>
            </w:pPr>
            <w:r w:rsidRPr="00995A6B">
              <w:rPr>
                <w:sz w:val="20"/>
                <w:szCs w:val="20"/>
              </w:rPr>
              <w:t>2.0</w:t>
            </w:r>
          </w:p>
        </w:tc>
      </w:tr>
      <w:tr w:rsidR="00722E5C" w:rsidRPr="00D07677" w14:paraId="1E25319F" w14:textId="77777777" w:rsidTr="00440578">
        <w:trPr>
          <w:trHeight w:val="240"/>
          <w:jc w:val="center"/>
        </w:trPr>
        <w:tc>
          <w:tcPr>
            <w:tcW w:w="1843" w:type="dxa"/>
            <w:shd w:val="clear" w:color="auto" w:fill="auto"/>
            <w:noWrap/>
            <w:vAlign w:val="center"/>
          </w:tcPr>
          <w:p w14:paraId="42CCE9D4" w14:textId="77777777" w:rsidR="00722E5C" w:rsidRPr="00995A6B" w:rsidRDefault="00722E5C" w:rsidP="00722E5C">
            <w:pPr>
              <w:rPr>
                <w:sz w:val="20"/>
                <w:szCs w:val="20"/>
              </w:rPr>
            </w:pPr>
            <w:r w:rsidRPr="00995A6B">
              <w:rPr>
                <w:sz w:val="20"/>
                <w:szCs w:val="20"/>
              </w:rPr>
              <w:t>Wrapped Bread</w:t>
            </w:r>
          </w:p>
        </w:tc>
        <w:tc>
          <w:tcPr>
            <w:tcW w:w="1527" w:type="dxa"/>
            <w:shd w:val="clear" w:color="auto" w:fill="auto"/>
            <w:noWrap/>
            <w:vAlign w:val="center"/>
          </w:tcPr>
          <w:p w14:paraId="4A334F18" w14:textId="77777777" w:rsidR="00722E5C" w:rsidRPr="00995A6B" w:rsidRDefault="00722E5C" w:rsidP="00722E5C">
            <w:pPr>
              <w:rPr>
                <w:sz w:val="20"/>
                <w:szCs w:val="20"/>
              </w:rPr>
            </w:pPr>
            <w:r w:rsidRPr="00995A6B">
              <w:rPr>
                <w:sz w:val="20"/>
                <w:szCs w:val="20"/>
              </w:rPr>
              <w:t>Hovis</w:t>
            </w:r>
          </w:p>
        </w:tc>
        <w:tc>
          <w:tcPr>
            <w:tcW w:w="861" w:type="dxa"/>
            <w:shd w:val="clear" w:color="auto" w:fill="auto"/>
            <w:noWrap/>
            <w:vAlign w:val="center"/>
          </w:tcPr>
          <w:p w14:paraId="2D6E3538" w14:textId="77777777" w:rsidR="00722E5C" w:rsidRPr="00995A6B" w:rsidRDefault="00722E5C" w:rsidP="00722E5C">
            <w:pPr>
              <w:tabs>
                <w:tab w:val="decimal" w:pos="459"/>
              </w:tabs>
              <w:jc w:val="right"/>
              <w:rPr>
                <w:sz w:val="20"/>
                <w:szCs w:val="20"/>
              </w:rPr>
            </w:pPr>
            <w:r w:rsidRPr="00995A6B">
              <w:rPr>
                <w:sz w:val="20"/>
                <w:szCs w:val="20"/>
              </w:rPr>
              <w:t>15</w:t>
            </w:r>
          </w:p>
        </w:tc>
        <w:tc>
          <w:tcPr>
            <w:tcW w:w="845" w:type="dxa"/>
            <w:shd w:val="clear" w:color="auto" w:fill="auto"/>
            <w:noWrap/>
            <w:vAlign w:val="center"/>
          </w:tcPr>
          <w:p w14:paraId="77FC7597" w14:textId="77777777" w:rsidR="00722E5C" w:rsidRPr="00995A6B" w:rsidRDefault="00722E5C" w:rsidP="00722E5C">
            <w:pPr>
              <w:jc w:val="right"/>
              <w:rPr>
                <w:sz w:val="20"/>
                <w:szCs w:val="20"/>
              </w:rPr>
            </w:pPr>
            <w:r w:rsidRPr="00995A6B">
              <w:rPr>
                <w:sz w:val="20"/>
                <w:szCs w:val="20"/>
              </w:rPr>
              <w:t>66</w:t>
            </w:r>
          </w:p>
        </w:tc>
        <w:tc>
          <w:tcPr>
            <w:tcW w:w="1173" w:type="dxa"/>
            <w:shd w:val="clear" w:color="auto" w:fill="auto"/>
            <w:noWrap/>
            <w:vAlign w:val="center"/>
          </w:tcPr>
          <w:p w14:paraId="2B38104D" w14:textId="77777777" w:rsidR="00722E5C" w:rsidRPr="00995A6B" w:rsidRDefault="00722E5C" w:rsidP="00722E5C">
            <w:pPr>
              <w:jc w:val="right"/>
              <w:rPr>
                <w:sz w:val="20"/>
                <w:szCs w:val="20"/>
              </w:rPr>
            </w:pPr>
            <w:r w:rsidRPr="00995A6B">
              <w:rPr>
                <w:sz w:val="20"/>
                <w:szCs w:val="20"/>
              </w:rPr>
              <w:t>9.7</w:t>
            </w:r>
          </w:p>
        </w:tc>
        <w:tc>
          <w:tcPr>
            <w:tcW w:w="1134" w:type="dxa"/>
            <w:shd w:val="clear" w:color="auto" w:fill="auto"/>
            <w:noWrap/>
            <w:vAlign w:val="center"/>
          </w:tcPr>
          <w:p w14:paraId="20D629EC" w14:textId="77777777" w:rsidR="00722E5C" w:rsidRPr="00995A6B" w:rsidRDefault="00722E5C" w:rsidP="00722E5C">
            <w:pPr>
              <w:jc w:val="right"/>
              <w:rPr>
                <w:b/>
                <w:sz w:val="20"/>
                <w:szCs w:val="20"/>
              </w:rPr>
            </w:pPr>
            <w:r w:rsidRPr="00995A6B">
              <w:rPr>
                <w:b/>
                <w:sz w:val="20"/>
                <w:szCs w:val="20"/>
              </w:rPr>
              <w:t>9.6</w:t>
            </w:r>
          </w:p>
        </w:tc>
        <w:tc>
          <w:tcPr>
            <w:tcW w:w="1359" w:type="dxa"/>
            <w:shd w:val="clear" w:color="auto" w:fill="auto"/>
            <w:noWrap/>
            <w:vAlign w:val="center"/>
          </w:tcPr>
          <w:p w14:paraId="5313154E" w14:textId="77777777" w:rsidR="00722E5C" w:rsidRPr="00995A6B" w:rsidRDefault="00722E5C" w:rsidP="00722E5C">
            <w:pPr>
              <w:jc w:val="right"/>
              <w:rPr>
                <w:sz w:val="20"/>
                <w:szCs w:val="20"/>
              </w:rPr>
            </w:pPr>
            <w:r w:rsidRPr="00995A6B">
              <w:rPr>
                <w:sz w:val="20"/>
                <w:szCs w:val="20"/>
              </w:rPr>
              <w:t>2.0</w:t>
            </w:r>
          </w:p>
        </w:tc>
      </w:tr>
      <w:tr w:rsidR="00722E5C" w:rsidRPr="00D07677" w14:paraId="64B3167C" w14:textId="77777777" w:rsidTr="00440578">
        <w:trPr>
          <w:trHeight w:val="240"/>
          <w:jc w:val="center"/>
        </w:trPr>
        <w:tc>
          <w:tcPr>
            <w:tcW w:w="1843" w:type="dxa"/>
            <w:shd w:val="clear" w:color="auto" w:fill="auto"/>
            <w:noWrap/>
            <w:vAlign w:val="center"/>
          </w:tcPr>
          <w:p w14:paraId="13ED63E7" w14:textId="77777777" w:rsidR="00722E5C" w:rsidRPr="00995A6B" w:rsidRDefault="00722E5C" w:rsidP="00722E5C">
            <w:pPr>
              <w:rPr>
                <w:sz w:val="20"/>
                <w:szCs w:val="20"/>
              </w:rPr>
            </w:pPr>
            <w:r w:rsidRPr="00995A6B">
              <w:rPr>
                <w:sz w:val="20"/>
                <w:szCs w:val="20"/>
              </w:rPr>
              <w:t>Ambient Soup</w:t>
            </w:r>
          </w:p>
        </w:tc>
        <w:tc>
          <w:tcPr>
            <w:tcW w:w="1527" w:type="dxa"/>
            <w:shd w:val="clear" w:color="auto" w:fill="auto"/>
            <w:noWrap/>
            <w:vAlign w:val="center"/>
          </w:tcPr>
          <w:p w14:paraId="151E3ECE" w14:textId="77777777" w:rsidR="00722E5C" w:rsidRPr="00995A6B" w:rsidRDefault="00722E5C" w:rsidP="00722E5C">
            <w:pPr>
              <w:rPr>
                <w:sz w:val="20"/>
                <w:szCs w:val="20"/>
              </w:rPr>
            </w:pPr>
            <w:r w:rsidRPr="00995A6B">
              <w:rPr>
                <w:sz w:val="20"/>
                <w:szCs w:val="20"/>
              </w:rPr>
              <w:t>Heinz</w:t>
            </w:r>
          </w:p>
        </w:tc>
        <w:tc>
          <w:tcPr>
            <w:tcW w:w="861" w:type="dxa"/>
            <w:shd w:val="clear" w:color="auto" w:fill="auto"/>
            <w:noWrap/>
            <w:vAlign w:val="center"/>
          </w:tcPr>
          <w:p w14:paraId="445C2CEB" w14:textId="77777777" w:rsidR="00722E5C" w:rsidRPr="00995A6B" w:rsidRDefault="00722E5C" w:rsidP="00722E5C">
            <w:pPr>
              <w:jc w:val="right"/>
              <w:rPr>
                <w:sz w:val="20"/>
                <w:szCs w:val="20"/>
              </w:rPr>
            </w:pPr>
            <w:r w:rsidRPr="00995A6B">
              <w:rPr>
                <w:sz w:val="20"/>
                <w:szCs w:val="20"/>
              </w:rPr>
              <w:t>41</w:t>
            </w:r>
          </w:p>
        </w:tc>
        <w:tc>
          <w:tcPr>
            <w:tcW w:w="845" w:type="dxa"/>
            <w:shd w:val="clear" w:color="auto" w:fill="auto"/>
            <w:noWrap/>
            <w:vAlign w:val="center"/>
          </w:tcPr>
          <w:p w14:paraId="1F34032C" w14:textId="77777777" w:rsidR="00722E5C" w:rsidRPr="00995A6B" w:rsidRDefault="00722E5C" w:rsidP="00722E5C">
            <w:pPr>
              <w:jc w:val="right"/>
              <w:rPr>
                <w:sz w:val="20"/>
                <w:szCs w:val="20"/>
              </w:rPr>
            </w:pPr>
            <w:r w:rsidRPr="00995A6B">
              <w:rPr>
                <w:sz w:val="20"/>
                <w:szCs w:val="20"/>
              </w:rPr>
              <w:t>56</w:t>
            </w:r>
          </w:p>
        </w:tc>
        <w:tc>
          <w:tcPr>
            <w:tcW w:w="1173" w:type="dxa"/>
            <w:shd w:val="clear" w:color="auto" w:fill="auto"/>
            <w:noWrap/>
            <w:vAlign w:val="center"/>
          </w:tcPr>
          <w:p w14:paraId="296A739F" w14:textId="77777777" w:rsidR="00722E5C" w:rsidRPr="00995A6B" w:rsidRDefault="00722E5C" w:rsidP="00722E5C">
            <w:pPr>
              <w:jc w:val="right"/>
              <w:rPr>
                <w:sz w:val="20"/>
                <w:szCs w:val="20"/>
              </w:rPr>
            </w:pPr>
            <w:r w:rsidRPr="00995A6B">
              <w:rPr>
                <w:sz w:val="20"/>
                <w:szCs w:val="20"/>
              </w:rPr>
              <w:t>7.4</w:t>
            </w:r>
          </w:p>
        </w:tc>
        <w:tc>
          <w:tcPr>
            <w:tcW w:w="1134" w:type="dxa"/>
            <w:shd w:val="clear" w:color="auto" w:fill="auto"/>
            <w:noWrap/>
            <w:vAlign w:val="center"/>
          </w:tcPr>
          <w:p w14:paraId="73E25CEC" w14:textId="77777777" w:rsidR="00722E5C" w:rsidRPr="00995A6B" w:rsidRDefault="00722E5C" w:rsidP="00722E5C">
            <w:pPr>
              <w:jc w:val="right"/>
              <w:rPr>
                <w:b/>
                <w:sz w:val="20"/>
                <w:szCs w:val="20"/>
              </w:rPr>
            </w:pPr>
            <w:r w:rsidRPr="00995A6B">
              <w:rPr>
                <w:b/>
                <w:sz w:val="20"/>
                <w:szCs w:val="20"/>
              </w:rPr>
              <w:t>7.0</w:t>
            </w:r>
          </w:p>
        </w:tc>
        <w:tc>
          <w:tcPr>
            <w:tcW w:w="1359" w:type="dxa"/>
            <w:shd w:val="clear" w:color="auto" w:fill="auto"/>
            <w:noWrap/>
            <w:vAlign w:val="center"/>
          </w:tcPr>
          <w:p w14:paraId="4E13B27C" w14:textId="77777777" w:rsidR="00722E5C" w:rsidRPr="00995A6B" w:rsidRDefault="00722E5C" w:rsidP="00722E5C">
            <w:pPr>
              <w:jc w:val="right"/>
              <w:rPr>
                <w:sz w:val="20"/>
                <w:szCs w:val="20"/>
              </w:rPr>
            </w:pPr>
            <w:r w:rsidRPr="00995A6B">
              <w:rPr>
                <w:sz w:val="20"/>
                <w:szCs w:val="20"/>
              </w:rPr>
              <w:t>5.1</w:t>
            </w:r>
          </w:p>
        </w:tc>
      </w:tr>
      <w:tr w:rsidR="00722E5C" w:rsidRPr="005941C0" w14:paraId="7B4789EE" w14:textId="77777777" w:rsidTr="00440578">
        <w:trPr>
          <w:trHeight w:val="240"/>
          <w:jc w:val="center"/>
        </w:trPr>
        <w:tc>
          <w:tcPr>
            <w:tcW w:w="1843" w:type="dxa"/>
            <w:shd w:val="clear" w:color="auto" w:fill="auto"/>
            <w:noWrap/>
            <w:vAlign w:val="center"/>
          </w:tcPr>
          <w:p w14:paraId="45729246" w14:textId="77777777" w:rsidR="00722E5C" w:rsidRPr="00995A6B" w:rsidRDefault="00722E5C" w:rsidP="00722E5C">
            <w:pPr>
              <w:rPr>
                <w:sz w:val="20"/>
                <w:szCs w:val="20"/>
              </w:rPr>
            </w:pPr>
            <w:r w:rsidRPr="00995A6B">
              <w:rPr>
                <w:sz w:val="20"/>
                <w:szCs w:val="20"/>
              </w:rPr>
              <w:t>Yoghurt</w:t>
            </w:r>
          </w:p>
        </w:tc>
        <w:tc>
          <w:tcPr>
            <w:tcW w:w="1527" w:type="dxa"/>
            <w:shd w:val="clear" w:color="auto" w:fill="auto"/>
            <w:noWrap/>
            <w:vAlign w:val="center"/>
          </w:tcPr>
          <w:p w14:paraId="5762719A" w14:textId="77777777" w:rsidR="00722E5C" w:rsidRPr="00995A6B" w:rsidRDefault="00722E5C" w:rsidP="00722E5C">
            <w:pPr>
              <w:rPr>
                <w:sz w:val="20"/>
                <w:szCs w:val="20"/>
              </w:rPr>
            </w:pPr>
            <w:r w:rsidRPr="00995A6B">
              <w:rPr>
                <w:sz w:val="20"/>
                <w:szCs w:val="20"/>
              </w:rPr>
              <w:t>Muller</w:t>
            </w:r>
          </w:p>
        </w:tc>
        <w:tc>
          <w:tcPr>
            <w:tcW w:w="861" w:type="dxa"/>
            <w:shd w:val="clear" w:color="auto" w:fill="auto"/>
            <w:noWrap/>
            <w:vAlign w:val="center"/>
          </w:tcPr>
          <w:p w14:paraId="76AD098B" w14:textId="77777777" w:rsidR="00722E5C" w:rsidRPr="00995A6B" w:rsidRDefault="00722E5C" w:rsidP="00722E5C">
            <w:pPr>
              <w:jc w:val="right"/>
              <w:rPr>
                <w:sz w:val="20"/>
                <w:szCs w:val="20"/>
              </w:rPr>
            </w:pPr>
            <w:r w:rsidRPr="00995A6B">
              <w:rPr>
                <w:sz w:val="20"/>
                <w:szCs w:val="20"/>
              </w:rPr>
              <w:t>24</w:t>
            </w:r>
          </w:p>
        </w:tc>
        <w:tc>
          <w:tcPr>
            <w:tcW w:w="845" w:type="dxa"/>
            <w:shd w:val="clear" w:color="auto" w:fill="auto"/>
            <w:noWrap/>
            <w:vAlign w:val="center"/>
          </w:tcPr>
          <w:p w14:paraId="67540936" w14:textId="77777777" w:rsidR="00722E5C" w:rsidRPr="00995A6B" w:rsidRDefault="00722E5C" w:rsidP="00722E5C">
            <w:pPr>
              <w:jc w:val="right"/>
              <w:rPr>
                <w:sz w:val="20"/>
                <w:szCs w:val="20"/>
              </w:rPr>
            </w:pPr>
            <w:r w:rsidRPr="00995A6B">
              <w:rPr>
                <w:sz w:val="20"/>
                <w:szCs w:val="20"/>
              </w:rPr>
              <w:t>52</w:t>
            </w:r>
          </w:p>
        </w:tc>
        <w:tc>
          <w:tcPr>
            <w:tcW w:w="1173" w:type="dxa"/>
            <w:shd w:val="clear" w:color="auto" w:fill="auto"/>
            <w:noWrap/>
            <w:vAlign w:val="center"/>
          </w:tcPr>
          <w:p w14:paraId="1DF2563A" w14:textId="77777777" w:rsidR="00722E5C" w:rsidRPr="00995A6B" w:rsidRDefault="00722E5C" w:rsidP="00722E5C">
            <w:pPr>
              <w:jc w:val="right"/>
              <w:rPr>
                <w:sz w:val="20"/>
                <w:szCs w:val="20"/>
              </w:rPr>
            </w:pPr>
            <w:r w:rsidRPr="00995A6B">
              <w:rPr>
                <w:sz w:val="20"/>
                <w:szCs w:val="20"/>
              </w:rPr>
              <w:t>11.8</w:t>
            </w:r>
          </w:p>
        </w:tc>
        <w:tc>
          <w:tcPr>
            <w:tcW w:w="1134" w:type="dxa"/>
            <w:shd w:val="clear" w:color="auto" w:fill="auto"/>
            <w:noWrap/>
            <w:vAlign w:val="center"/>
          </w:tcPr>
          <w:p w14:paraId="74E2C157" w14:textId="77777777" w:rsidR="00722E5C" w:rsidRPr="00995A6B" w:rsidRDefault="00722E5C" w:rsidP="00722E5C">
            <w:pPr>
              <w:jc w:val="right"/>
              <w:rPr>
                <w:b/>
                <w:sz w:val="20"/>
                <w:szCs w:val="20"/>
              </w:rPr>
            </w:pPr>
            <w:r w:rsidRPr="00995A6B">
              <w:rPr>
                <w:b/>
                <w:sz w:val="20"/>
                <w:szCs w:val="20"/>
              </w:rPr>
              <w:t>10.0</w:t>
            </w:r>
          </w:p>
        </w:tc>
        <w:tc>
          <w:tcPr>
            <w:tcW w:w="1359" w:type="dxa"/>
            <w:shd w:val="clear" w:color="auto" w:fill="auto"/>
            <w:noWrap/>
            <w:vAlign w:val="center"/>
          </w:tcPr>
          <w:p w14:paraId="3A201161" w14:textId="77777777" w:rsidR="00722E5C" w:rsidRPr="00995A6B" w:rsidRDefault="00722E5C" w:rsidP="00722E5C">
            <w:pPr>
              <w:jc w:val="right"/>
              <w:rPr>
                <w:sz w:val="20"/>
                <w:szCs w:val="20"/>
              </w:rPr>
            </w:pPr>
            <w:r w:rsidRPr="00995A6B">
              <w:rPr>
                <w:sz w:val="20"/>
                <w:szCs w:val="20"/>
              </w:rPr>
              <w:t>18.8</w:t>
            </w:r>
          </w:p>
        </w:tc>
      </w:tr>
      <w:tr w:rsidR="00722E5C" w:rsidRPr="00D07677" w14:paraId="2DA132DE" w14:textId="77777777" w:rsidTr="00440578">
        <w:trPr>
          <w:trHeight w:val="240"/>
          <w:jc w:val="center"/>
        </w:trPr>
        <w:tc>
          <w:tcPr>
            <w:tcW w:w="1843" w:type="dxa"/>
            <w:shd w:val="clear" w:color="auto" w:fill="auto"/>
            <w:noWrap/>
            <w:vAlign w:val="center"/>
          </w:tcPr>
          <w:p w14:paraId="02836B8C" w14:textId="77777777" w:rsidR="00722E5C" w:rsidRPr="00995A6B" w:rsidRDefault="00722E5C" w:rsidP="00722E5C">
            <w:pPr>
              <w:rPr>
                <w:sz w:val="20"/>
                <w:szCs w:val="20"/>
              </w:rPr>
            </w:pPr>
            <w:r w:rsidRPr="00995A6B">
              <w:rPr>
                <w:sz w:val="20"/>
                <w:szCs w:val="20"/>
              </w:rPr>
              <w:t>Crackers</w:t>
            </w:r>
          </w:p>
        </w:tc>
        <w:tc>
          <w:tcPr>
            <w:tcW w:w="1527" w:type="dxa"/>
            <w:shd w:val="clear" w:color="auto" w:fill="auto"/>
            <w:noWrap/>
            <w:vAlign w:val="center"/>
          </w:tcPr>
          <w:p w14:paraId="06C1858C" w14:textId="77777777" w:rsidR="00722E5C" w:rsidRPr="00995A6B" w:rsidRDefault="00722E5C" w:rsidP="00722E5C">
            <w:pPr>
              <w:rPr>
                <w:sz w:val="20"/>
                <w:szCs w:val="20"/>
              </w:rPr>
            </w:pPr>
            <w:r w:rsidRPr="00995A6B">
              <w:rPr>
                <w:sz w:val="20"/>
                <w:szCs w:val="20"/>
              </w:rPr>
              <w:t>Jacobs</w:t>
            </w:r>
          </w:p>
        </w:tc>
        <w:tc>
          <w:tcPr>
            <w:tcW w:w="861" w:type="dxa"/>
            <w:shd w:val="clear" w:color="auto" w:fill="auto"/>
            <w:noWrap/>
            <w:vAlign w:val="center"/>
          </w:tcPr>
          <w:p w14:paraId="492CFB5E" w14:textId="77777777" w:rsidR="00722E5C" w:rsidRPr="00995A6B" w:rsidRDefault="00722E5C" w:rsidP="00722E5C">
            <w:pPr>
              <w:tabs>
                <w:tab w:val="decimal" w:pos="459"/>
              </w:tabs>
              <w:jc w:val="right"/>
              <w:rPr>
                <w:sz w:val="20"/>
                <w:szCs w:val="20"/>
              </w:rPr>
            </w:pPr>
            <w:r w:rsidRPr="00995A6B">
              <w:rPr>
                <w:sz w:val="20"/>
                <w:szCs w:val="20"/>
              </w:rPr>
              <w:t>18</w:t>
            </w:r>
          </w:p>
        </w:tc>
        <w:tc>
          <w:tcPr>
            <w:tcW w:w="845" w:type="dxa"/>
            <w:shd w:val="clear" w:color="auto" w:fill="auto"/>
            <w:noWrap/>
            <w:vAlign w:val="center"/>
          </w:tcPr>
          <w:p w14:paraId="5DB415C3" w14:textId="77777777" w:rsidR="00722E5C" w:rsidRPr="00995A6B" w:rsidRDefault="00722E5C" w:rsidP="00722E5C">
            <w:pPr>
              <w:jc w:val="right"/>
              <w:rPr>
                <w:sz w:val="20"/>
                <w:szCs w:val="20"/>
              </w:rPr>
            </w:pPr>
            <w:r w:rsidRPr="00995A6B">
              <w:rPr>
                <w:sz w:val="20"/>
                <w:szCs w:val="20"/>
              </w:rPr>
              <w:t>46</w:t>
            </w:r>
          </w:p>
        </w:tc>
        <w:tc>
          <w:tcPr>
            <w:tcW w:w="1173" w:type="dxa"/>
            <w:shd w:val="clear" w:color="auto" w:fill="auto"/>
            <w:noWrap/>
            <w:vAlign w:val="center"/>
          </w:tcPr>
          <w:p w14:paraId="60B3B57A" w14:textId="77777777" w:rsidR="00722E5C" w:rsidRPr="00995A6B" w:rsidRDefault="00722E5C" w:rsidP="00722E5C">
            <w:pPr>
              <w:jc w:val="right"/>
              <w:rPr>
                <w:sz w:val="20"/>
                <w:szCs w:val="20"/>
              </w:rPr>
            </w:pPr>
            <w:r w:rsidRPr="00995A6B">
              <w:rPr>
                <w:sz w:val="20"/>
                <w:szCs w:val="20"/>
              </w:rPr>
              <w:t>3.1</w:t>
            </w:r>
          </w:p>
        </w:tc>
        <w:tc>
          <w:tcPr>
            <w:tcW w:w="1134" w:type="dxa"/>
            <w:shd w:val="clear" w:color="auto" w:fill="auto"/>
            <w:noWrap/>
            <w:vAlign w:val="center"/>
          </w:tcPr>
          <w:p w14:paraId="6945E8C7" w14:textId="77777777" w:rsidR="00722E5C" w:rsidRPr="00995A6B" w:rsidRDefault="00722E5C" w:rsidP="00722E5C">
            <w:pPr>
              <w:jc w:val="right"/>
              <w:rPr>
                <w:b/>
                <w:sz w:val="20"/>
                <w:szCs w:val="20"/>
              </w:rPr>
            </w:pPr>
            <w:r w:rsidRPr="00995A6B">
              <w:rPr>
                <w:b/>
                <w:sz w:val="20"/>
                <w:szCs w:val="20"/>
              </w:rPr>
              <w:t>3.5</w:t>
            </w:r>
          </w:p>
        </w:tc>
        <w:tc>
          <w:tcPr>
            <w:tcW w:w="1359" w:type="dxa"/>
            <w:shd w:val="clear" w:color="auto" w:fill="auto"/>
            <w:noWrap/>
            <w:vAlign w:val="center"/>
          </w:tcPr>
          <w:p w14:paraId="3A0003DE" w14:textId="77777777" w:rsidR="00722E5C" w:rsidRPr="00995A6B" w:rsidRDefault="00722E5C" w:rsidP="00722E5C">
            <w:pPr>
              <w:jc w:val="right"/>
              <w:rPr>
                <w:sz w:val="20"/>
                <w:szCs w:val="20"/>
              </w:rPr>
            </w:pPr>
            <w:r w:rsidRPr="00995A6B">
              <w:rPr>
                <w:sz w:val="20"/>
                <w:szCs w:val="20"/>
              </w:rPr>
              <w:t>-9.3</w:t>
            </w:r>
          </w:p>
        </w:tc>
      </w:tr>
      <w:tr w:rsidR="00722E5C" w:rsidRPr="00D07677" w14:paraId="12F14C7C" w14:textId="77777777" w:rsidTr="00440578">
        <w:trPr>
          <w:trHeight w:val="240"/>
          <w:jc w:val="center"/>
        </w:trPr>
        <w:tc>
          <w:tcPr>
            <w:tcW w:w="1843" w:type="dxa"/>
            <w:shd w:val="clear" w:color="auto" w:fill="auto"/>
            <w:noWrap/>
            <w:vAlign w:val="center"/>
          </w:tcPr>
          <w:p w14:paraId="1C29329C" w14:textId="77777777" w:rsidR="00722E5C" w:rsidRPr="00995A6B" w:rsidRDefault="00722E5C" w:rsidP="00722E5C">
            <w:pPr>
              <w:rPr>
                <w:sz w:val="20"/>
                <w:szCs w:val="20"/>
              </w:rPr>
            </w:pPr>
            <w:r w:rsidRPr="00995A6B">
              <w:rPr>
                <w:sz w:val="20"/>
                <w:szCs w:val="20"/>
              </w:rPr>
              <w:t>Carbonated drink</w:t>
            </w:r>
          </w:p>
        </w:tc>
        <w:tc>
          <w:tcPr>
            <w:tcW w:w="1527" w:type="dxa"/>
            <w:shd w:val="clear" w:color="auto" w:fill="auto"/>
            <w:noWrap/>
            <w:vAlign w:val="center"/>
          </w:tcPr>
          <w:p w14:paraId="73875AD8" w14:textId="77777777" w:rsidR="00722E5C" w:rsidRPr="00995A6B" w:rsidRDefault="00722E5C" w:rsidP="00722E5C">
            <w:pPr>
              <w:rPr>
                <w:sz w:val="20"/>
                <w:szCs w:val="20"/>
              </w:rPr>
            </w:pPr>
            <w:r w:rsidRPr="00995A6B">
              <w:rPr>
                <w:sz w:val="20"/>
                <w:szCs w:val="20"/>
              </w:rPr>
              <w:t>Coca Cola</w:t>
            </w:r>
          </w:p>
        </w:tc>
        <w:tc>
          <w:tcPr>
            <w:tcW w:w="861" w:type="dxa"/>
            <w:shd w:val="clear" w:color="auto" w:fill="auto"/>
            <w:noWrap/>
            <w:vAlign w:val="center"/>
          </w:tcPr>
          <w:p w14:paraId="2AB4F7F2" w14:textId="77777777" w:rsidR="00722E5C" w:rsidRPr="00995A6B" w:rsidRDefault="00722E5C" w:rsidP="00722E5C">
            <w:pPr>
              <w:jc w:val="right"/>
              <w:rPr>
                <w:sz w:val="20"/>
                <w:szCs w:val="20"/>
              </w:rPr>
            </w:pPr>
            <w:r w:rsidRPr="00995A6B">
              <w:rPr>
                <w:sz w:val="20"/>
                <w:szCs w:val="20"/>
              </w:rPr>
              <w:t>21</w:t>
            </w:r>
          </w:p>
        </w:tc>
        <w:tc>
          <w:tcPr>
            <w:tcW w:w="845" w:type="dxa"/>
            <w:shd w:val="clear" w:color="auto" w:fill="auto"/>
            <w:noWrap/>
            <w:vAlign w:val="center"/>
          </w:tcPr>
          <w:p w14:paraId="7B98D2E8" w14:textId="77777777" w:rsidR="00722E5C" w:rsidRPr="00995A6B" w:rsidRDefault="00722E5C" w:rsidP="00722E5C">
            <w:pPr>
              <w:jc w:val="right"/>
              <w:rPr>
                <w:sz w:val="20"/>
                <w:szCs w:val="20"/>
              </w:rPr>
            </w:pPr>
            <w:r w:rsidRPr="00995A6B">
              <w:rPr>
                <w:sz w:val="20"/>
                <w:szCs w:val="20"/>
              </w:rPr>
              <w:t>45</w:t>
            </w:r>
          </w:p>
        </w:tc>
        <w:tc>
          <w:tcPr>
            <w:tcW w:w="1173" w:type="dxa"/>
            <w:shd w:val="clear" w:color="auto" w:fill="auto"/>
            <w:noWrap/>
            <w:vAlign w:val="center"/>
          </w:tcPr>
          <w:p w14:paraId="30DFFFE0" w14:textId="77777777" w:rsidR="00722E5C" w:rsidRPr="00995A6B" w:rsidRDefault="00722E5C" w:rsidP="00722E5C">
            <w:pPr>
              <w:jc w:val="right"/>
              <w:rPr>
                <w:sz w:val="20"/>
                <w:szCs w:val="20"/>
              </w:rPr>
            </w:pPr>
            <w:r w:rsidRPr="00995A6B">
              <w:rPr>
                <w:sz w:val="20"/>
                <w:szCs w:val="20"/>
              </w:rPr>
              <w:t>11.1</w:t>
            </w:r>
          </w:p>
        </w:tc>
        <w:tc>
          <w:tcPr>
            <w:tcW w:w="1134" w:type="dxa"/>
            <w:shd w:val="clear" w:color="auto" w:fill="auto"/>
            <w:noWrap/>
            <w:vAlign w:val="center"/>
          </w:tcPr>
          <w:p w14:paraId="1C67F5F1" w14:textId="77777777" w:rsidR="00722E5C" w:rsidRPr="00995A6B" w:rsidRDefault="00722E5C" w:rsidP="00722E5C">
            <w:pPr>
              <w:jc w:val="right"/>
              <w:rPr>
                <w:b/>
                <w:sz w:val="20"/>
                <w:szCs w:val="20"/>
              </w:rPr>
            </w:pPr>
            <w:r w:rsidRPr="00995A6B">
              <w:rPr>
                <w:b/>
                <w:sz w:val="20"/>
                <w:szCs w:val="20"/>
              </w:rPr>
              <w:t>9.7</w:t>
            </w:r>
          </w:p>
        </w:tc>
        <w:tc>
          <w:tcPr>
            <w:tcW w:w="1359" w:type="dxa"/>
            <w:shd w:val="clear" w:color="auto" w:fill="auto"/>
            <w:noWrap/>
            <w:vAlign w:val="center"/>
          </w:tcPr>
          <w:p w14:paraId="5B52CF8D" w14:textId="77777777" w:rsidR="00722E5C" w:rsidRPr="00995A6B" w:rsidRDefault="00722E5C" w:rsidP="00722E5C">
            <w:pPr>
              <w:jc w:val="right"/>
              <w:rPr>
                <w:sz w:val="20"/>
                <w:szCs w:val="20"/>
              </w:rPr>
            </w:pPr>
            <w:r w:rsidRPr="00995A6B">
              <w:rPr>
                <w:sz w:val="20"/>
                <w:szCs w:val="20"/>
              </w:rPr>
              <w:t>14.4</w:t>
            </w:r>
          </w:p>
        </w:tc>
      </w:tr>
      <w:tr w:rsidR="00722E5C" w:rsidRPr="00D07677" w14:paraId="6D7AAE67" w14:textId="77777777" w:rsidTr="00440578">
        <w:trPr>
          <w:trHeight w:val="240"/>
          <w:jc w:val="center"/>
        </w:trPr>
        <w:tc>
          <w:tcPr>
            <w:tcW w:w="1843" w:type="dxa"/>
            <w:shd w:val="clear" w:color="auto" w:fill="auto"/>
            <w:noWrap/>
            <w:vAlign w:val="center"/>
          </w:tcPr>
          <w:p w14:paraId="4E0FF8FA" w14:textId="77777777" w:rsidR="00722E5C" w:rsidRPr="00995A6B" w:rsidRDefault="00722E5C" w:rsidP="00722E5C">
            <w:pPr>
              <w:rPr>
                <w:sz w:val="20"/>
                <w:szCs w:val="20"/>
              </w:rPr>
            </w:pPr>
            <w:r w:rsidRPr="00995A6B">
              <w:rPr>
                <w:sz w:val="20"/>
                <w:szCs w:val="20"/>
              </w:rPr>
              <w:t>Everyday Biscuits</w:t>
            </w:r>
          </w:p>
        </w:tc>
        <w:tc>
          <w:tcPr>
            <w:tcW w:w="1527" w:type="dxa"/>
            <w:shd w:val="clear" w:color="auto" w:fill="auto"/>
            <w:noWrap/>
            <w:vAlign w:val="center"/>
          </w:tcPr>
          <w:p w14:paraId="55CF770B" w14:textId="77777777" w:rsidR="00722E5C" w:rsidRPr="00995A6B" w:rsidRDefault="00722E5C" w:rsidP="00722E5C">
            <w:pPr>
              <w:rPr>
                <w:sz w:val="20"/>
                <w:szCs w:val="20"/>
              </w:rPr>
            </w:pPr>
            <w:r w:rsidRPr="00995A6B">
              <w:rPr>
                <w:sz w:val="20"/>
                <w:szCs w:val="20"/>
              </w:rPr>
              <w:t>McVitie</w:t>
            </w:r>
          </w:p>
        </w:tc>
        <w:tc>
          <w:tcPr>
            <w:tcW w:w="861" w:type="dxa"/>
            <w:shd w:val="clear" w:color="auto" w:fill="auto"/>
            <w:noWrap/>
            <w:vAlign w:val="center"/>
          </w:tcPr>
          <w:p w14:paraId="1316D43D" w14:textId="77777777" w:rsidR="00722E5C" w:rsidRPr="00995A6B" w:rsidRDefault="00722E5C" w:rsidP="00722E5C">
            <w:pPr>
              <w:tabs>
                <w:tab w:val="decimal" w:pos="459"/>
              </w:tabs>
              <w:jc w:val="right"/>
              <w:rPr>
                <w:sz w:val="20"/>
                <w:szCs w:val="20"/>
              </w:rPr>
            </w:pPr>
            <w:r w:rsidRPr="00995A6B">
              <w:rPr>
                <w:sz w:val="20"/>
                <w:szCs w:val="20"/>
              </w:rPr>
              <w:t>14</w:t>
            </w:r>
          </w:p>
        </w:tc>
        <w:tc>
          <w:tcPr>
            <w:tcW w:w="845" w:type="dxa"/>
            <w:shd w:val="clear" w:color="auto" w:fill="auto"/>
            <w:noWrap/>
            <w:vAlign w:val="center"/>
          </w:tcPr>
          <w:p w14:paraId="6DD8E992" w14:textId="77777777" w:rsidR="00722E5C" w:rsidRPr="00995A6B" w:rsidRDefault="00722E5C" w:rsidP="00722E5C">
            <w:pPr>
              <w:jc w:val="right"/>
              <w:rPr>
                <w:sz w:val="20"/>
                <w:szCs w:val="20"/>
              </w:rPr>
            </w:pPr>
            <w:r w:rsidRPr="00995A6B">
              <w:rPr>
                <w:sz w:val="20"/>
                <w:szCs w:val="20"/>
              </w:rPr>
              <w:t>40</w:t>
            </w:r>
          </w:p>
        </w:tc>
        <w:tc>
          <w:tcPr>
            <w:tcW w:w="1173" w:type="dxa"/>
            <w:shd w:val="clear" w:color="auto" w:fill="auto"/>
            <w:noWrap/>
            <w:vAlign w:val="center"/>
          </w:tcPr>
          <w:p w14:paraId="358575D5" w14:textId="77777777" w:rsidR="00722E5C" w:rsidRPr="00995A6B" w:rsidRDefault="00722E5C" w:rsidP="00722E5C">
            <w:pPr>
              <w:jc w:val="right"/>
              <w:rPr>
                <w:sz w:val="20"/>
                <w:szCs w:val="20"/>
              </w:rPr>
            </w:pPr>
            <w:r w:rsidRPr="00995A6B">
              <w:rPr>
                <w:sz w:val="20"/>
                <w:szCs w:val="20"/>
              </w:rPr>
              <w:t>4.4</w:t>
            </w:r>
          </w:p>
        </w:tc>
        <w:tc>
          <w:tcPr>
            <w:tcW w:w="1134" w:type="dxa"/>
            <w:shd w:val="clear" w:color="auto" w:fill="auto"/>
            <w:noWrap/>
            <w:vAlign w:val="center"/>
          </w:tcPr>
          <w:p w14:paraId="5C064684" w14:textId="77777777" w:rsidR="00722E5C" w:rsidRPr="00995A6B" w:rsidRDefault="00722E5C" w:rsidP="00722E5C">
            <w:pPr>
              <w:jc w:val="right"/>
              <w:rPr>
                <w:b/>
                <w:sz w:val="20"/>
                <w:szCs w:val="20"/>
              </w:rPr>
            </w:pPr>
            <w:r w:rsidRPr="00995A6B">
              <w:rPr>
                <w:b/>
                <w:sz w:val="20"/>
                <w:szCs w:val="20"/>
              </w:rPr>
              <w:t>4.7</w:t>
            </w:r>
          </w:p>
        </w:tc>
        <w:tc>
          <w:tcPr>
            <w:tcW w:w="1359" w:type="dxa"/>
            <w:shd w:val="clear" w:color="auto" w:fill="auto"/>
            <w:noWrap/>
            <w:vAlign w:val="center"/>
          </w:tcPr>
          <w:p w14:paraId="77CC237F" w14:textId="77777777" w:rsidR="00722E5C" w:rsidRPr="00995A6B" w:rsidRDefault="00722E5C" w:rsidP="00722E5C">
            <w:pPr>
              <w:jc w:val="right"/>
              <w:rPr>
                <w:sz w:val="20"/>
                <w:szCs w:val="20"/>
              </w:rPr>
            </w:pPr>
            <w:r w:rsidRPr="00995A6B">
              <w:rPr>
                <w:sz w:val="20"/>
                <w:szCs w:val="20"/>
              </w:rPr>
              <w:t>-6.4</w:t>
            </w:r>
          </w:p>
        </w:tc>
      </w:tr>
      <w:tr w:rsidR="00722E5C" w:rsidRPr="005941C0" w14:paraId="2C0F10E9" w14:textId="77777777" w:rsidTr="00440578">
        <w:trPr>
          <w:trHeight w:val="240"/>
          <w:jc w:val="center"/>
        </w:trPr>
        <w:tc>
          <w:tcPr>
            <w:tcW w:w="1843" w:type="dxa"/>
            <w:shd w:val="clear" w:color="auto" w:fill="auto"/>
            <w:noWrap/>
            <w:vAlign w:val="center"/>
          </w:tcPr>
          <w:p w14:paraId="16819B95" w14:textId="77777777" w:rsidR="00722E5C" w:rsidRPr="00995A6B" w:rsidRDefault="00722E5C" w:rsidP="00722E5C">
            <w:pPr>
              <w:rPr>
                <w:sz w:val="20"/>
                <w:szCs w:val="20"/>
              </w:rPr>
            </w:pPr>
            <w:r w:rsidRPr="00995A6B">
              <w:rPr>
                <w:sz w:val="20"/>
                <w:szCs w:val="20"/>
              </w:rPr>
              <w:t>Margarine</w:t>
            </w:r>
          </w:p>
        </w:tc>
        <w:tc>
          <w:tcPr>
            <w:tcW w:w="1527" w:type="dxa"/>
            <w:shd w:val="clear" w:color="auto" w:fill="auto"/>
            <w:noWrap/>
            <w:vAlign w:val="center"/>
          </w:tcPr>
          <w:p w14:paraId="053A67D8" w14:textId="77777777" w:rsidR="00722E5C" w:rsidRPr="00995A6B" w:rsidRDefault="00722E5C" w:rsidP="00722E5C">
            <w:pPr>
              <w:rPr>
                <w:sz w:val="20"/>
                <w:szCs w:val="20"/>
              </w:rPr>
            </w:pPr>
            <w:r w:rsidRPr="00995A6B">
              <w:rPr>
                <w:sz w:val="20"/>
                <w:szCs w:val="20"/>
              </w:rPr>
              <w:t>Flora</w:t>
            </w:r>
          </w:p>
        </w:tc>
        <w:tc>
          <w:tcPr>
            <w:tcW w:w="861" w:type="dxa"/>
            <w:shd w:val="clear" w:color="auto" w:fill="auto"/>
            <w:noWrap/>
            <w:vAlign w:val="center"/>
          </w:tcPr>
          <w:p w14:paraId="2CAE6C3D" w14:textId="77777777" w:rsidR="00722E5C" w:rsidRPr="00995A6B" w:rsidRDefault="00722E5C" w:rsidP="00722E5C">
            <w:pPr>
              <w:jc w:val="right"/>
              <w:rPr>
                <w:sz w:val="20"/>
                <w:szCs w:val="20"/>
              </w:rPr>
            </w:pPr>
            <w:r w:rsidRPr="00995A6B">
              <w:rPr>
                <w:sz w:val="20"/>
                <w:szCs w:val="20"/>
              </w:rPr>
              <w:t>24</w:t>
            </w:r>
          </w:p>
        </w:tc>
        <w:tc>
          <w:tcPr>
            <w:tcW w:w="845" w:type="dxa"/>
            <w:shd w:val="clear" w:color="auto" w:fill="auto"/>
            <w:noWrap/>
            <w:vAlign w:val="center"/>
          </w:tcPr>
          <w:p w14:paraId="3A7B1E6D" w14:textId="77777777" w:rsidR="00722E5C" w:rsidRPr="00995A6B" w:rsidRDefault="00722E5C" w:rsidP="00722E5C">
            <w:pPr>
              <w:jc w:val="right"/>
              <w:rPr>
                <w:sz w:val="20"/>
                <w:szCs w:val="20"/>
              </w:rPr>
            </w:pPr>
            <w:r w:rsidRPr="00995A6B">
              <w:rPr>
                <w:sz w:val="20"/>
                <w:szCs w:val="20"/>
              </w:rPr>
              <w:t>39</w:t>
            </w:r>
          </w:p>
        </w:tc>
        <w:tc>
          <w:tcPr>
            <w:tcW w:w="1173" w:type="dxa"/>
            <w:shd w:val="clear" w:color="auto" w:fill="auto"/>
            <w:noWrap/>
            <w:vAlign w:val="center"/>
          </w:tcPr>
          <w:p w14:paraId="204B1344" w14:textId="77777777" w:rsidR="00722E5C" w:rsidRPr="00995A6B" w:rsidRDefault="00722E5C" w:rsidP="00722E5C">
            <w:pPr>
              <w:jc w:val="right"/>
              <w:rPr>
                <w:sz w:val="20"/>
                <w:szCs w:val="20"/>
              </w:rPr>
            </w:pPr>
            <w:r w:rsidRPr="00995A6B">
              <w:rPr>
                <w:sz w:val="20"/>
                <w:szCs w:val="20"/>
              </w:rPr>
              <w:t>7.6</w:t>
            </w:r>
          </w:p>
        </w:tc>
        <w:tc>
          <w:tcPr>
            <w:tcW w:w="1134" w:type="dxa"/>
            <w:shd w:val="clear" w:color="auto" w:fill="auto"/>
            <w:noWrap/>
            <w:vAlign w:val="center"/>
          </w:tcPr>
          <w:p w14:paraId="7B2EDF1B" w14:textId="77777777" w:rsidR="00722E5C" w:rsidRPr="00995A6B" w:rsidRDefault="00722E5C" w:rsidP="00722E5C">
            <w:pPr>
              <w:jc w:val="right"/>
              <w:rPr>
                <w:b/>
                <w:sz w:val="20"/>
                <w:szCs w:val="20"/>
              </w:rPr>
            </w:pPr>
            <w:r w:rsidRPr="00995A6B">
              <w:rPr>
                <w:b/>
                <w:sz w:val="20"/>
                <w:szCs w:val="20"/>
              </w:rPr>
              <w:t>5.7</w:t>
            </w:r>
          </w:p>
        </w:tc>
        <w:tc>
          <w:tcPr>
            <w:tcW w:w="1359" w:type="dxa"/>
            <w:shd w:val="clear" w:color="auto" w:fill="auto"/>
            <w:noWrap/>
            <w:vAlign w:val="center"/>
          </w:tcPr>
          <w:p w14:paraId="503212FB" w14:textId="77777777" w:rsidR="00722E5C" w:rsidRPr="00995A6B" w:rsidRDefault="00722E5C" w:rsidP="00722E5C">
            <w:pPr>
              <w:jc w:val="right"/>
              <w:rPr>
                <w:sz w:val="20"/>
                <w:szCs w:val="20"/>
              </w:rPr>
            </w:pPr>
            <w:r w:rsidRPr="00995A6B">
              <w:rPr>
                <w:sz w:val="20"/>
                <w:szCs w:val="20"/>
              </w:rPr>
              <w:t>32.3</w:t>
            </w:r>
          </w:p>
        </w:tc>
      </w:tr>
      <w:tr w:rsidR="00722E5C" w:rsidRPr="005941C0" w14:paraId="0E5BC657" w14:textId="77777777" w:rsidTr="00440578">
        <w:trPr>
          <w:trHeight w:val="251"/>
          <w:jc w:val="center"/>
        </w:trPr>
        <w:tc>
          <w:tcPr>
            <w:tcW w:w="1843" w:type="dxa"/>
            <w:shd w:val="clear" w:color="auto" w:fill="auto"/>
            <w:noWrap/>
            <w:vAlign w:val="center"/>
          </w:tcPr>
          <w:p w14:paraId="5908796F" w14:textId="77777777" w:rsidR="00722E5C" w:rsidRPr="00995A6B" w:rsidRDefault="00722E5C" w:rsidP="00722E5C">
            <w:pPr>
              <w:rPr>
                <w:sz w:val="20"/>
                <w:szCs w:val="20"/>
              </w:rPr>
            </w:pPr>
            <w:r w:rsidRPr="00995A6B">
              <w:rPr>
                <w:sz w:val="20"/>
                <w:szCs w:val="20"/>
              </w:rPr>
              <w:t>Sugar Confection</w:t>
            </w:r>
          </w:p>
        </w:tc>
        <w:tc>
          <w:tcPr>
            <w:tcW w:w="1527" w:type="dxa"/>
            <w:shd w:val="clear" w:color="auto" w:fill="auto"/>
            <w:noWrap/>
            <w:vAlign w:val="center"/>
          </w:tcPr>
          <w:p w14:paraId="35277968" w14:textId="77777777" w:rsidR="00722E5C" w:rsidRPr="00995A6B" w:rsidRDefault="00722E5C" w:rsidP="00722E5C">
            <w:pPr>
              <w:rPr>
                <w:sz w:val="20"/>
                <w:szCs w:val="20"/>
              </w:rPr>
            </w:pPr>
            <w:r w:rsidRPr="00995A6B">
              <w:rPr>
                <w:sz w:val="20"/>
                <w:szCs w:val="20"/>
              </w:rPr>
              <w:t>Wrigleys</w:t>
            </w:r>
          </w:p>
        </w:tc>
        <w:tc>
          <w:tcPr>
            <w:tcW w:w="861" w:type="dxa"/>
            <w:shd w:val="clear" w:color="auto" w:fill="auto"/>
            <w:noWrap/>
            <w:vAlign w:val="center"/>
          </w:tcPr>
          <w:p w14:paraId="46695BB4" w14:textId="77777777" w:rsidR="00722E5C" w:rsidRPr="00995A6B" w:rsidRDefault="00722E5C" w:rsidP="00722E5C">
            <w:pPr>
              <w:jc w:val="right"/>
              <w:rPr>
                <w:sz w:val="20"/>
                <w:szCs w:val="20"/>
              </w:rPr>
            </w:pPr>
            <w:r w:rsidRPr="00995A6B">
              <w:rPr>
                <w:sz w:val="20"/>
                <w:szCs w:val="20"/>
              </w:rPr>
              <w:t>32</w:t>
            </w:r>
          </w:p>
        </w:tc>
        <w:tc>
          <w:tcPr>
            <w:tcW w:w="845" w:type="dxa"/>
            <w:shd w:val="clear" w:color="auto" w:fill="auto"/>
            <w:noWrap/>
            <w:vAlign w:val="center"/>
          </w:tcPr>
          <w:p w14:paraId="52EFE8D3" w14:textId="77777777" w:rsidR="00722E5C" w:rsidRPr="00995A6B" w:rsidRDefault="00722E5C" w:rsidP="00722E5C">
            <w:pPr>
              <w:jc w:val="right"/>
              <w:rPr>
                <w:sz w:val="20"/>
                <w:szCs w:val="20"/>
              </w:rPr>
            </w:pPr>
            <w:r w:rsidRPr="00995A6B">
              <w:rPr>
                <w:sz w:val="20"/>
                <w:szCs w:val="20"/>
              </w:rPr>
              <w:t>35</w:t>
            </w:r>
          </w:p>
        </w:tc>
        <w:tc>
          <w:tcPr>
            <w:tcW w:w="1173" w:type="dxa"/>
            <w:shd w:val="clear" w:color="auto" w:fill="auto"/>
            <w:noWrap/>
            <w:vAlign w:val="center"/>
          </w:tcPr>
          <w:p w14:paraId="58C3B7B9" w14:textId="77777777" w:rsidR="00722E5C" w:rsidRPr="00995A6B" w:rsidRDefault="00722E5C" w:rsidP="00722E5C">
            <w:pPr>
              <w:jc w:val="right"/>
              <w:rPr>
                <w:sz w:val="20"/>
                <w:szCs w:val="20"/>
              </w:rPr>
            </w:pPr>
            <w:r w:rsidRPr="00995A6B">
              <w:rPr>
                <w:sz w:val="20"/>
                <w:szCs w:val="20"/>
              </w:rPr>
              <w:t>10.7</w:t>
            </w:r>
          </w:p>
        </w:tc>
        <w:tc>
          <w:tcPr>
            <w:tcW w:w="1134" w:type="dxa"/>
            <w:shd w:val="clear" w:color="auto" w:fill="auto"/>
            <w:noWrap/>
            <w:vAlign w:val="center"/>
          </w:tcPr>
          <w:p w14:paraId="676C2293" w14:textId="77777777" w:rsidR="00722E5C" w:rsidRPr="00995A6B" w:rsidRDefault="00722E5C" w:rsidP="00722E5C">
            <w:pPr>
              <w:jc w:val="right"/>
              <w:rPr>
                <w:b/>
                <w:sz w:val="20"/>
                <w:szCs w:val="20"/>
              </w:rPr>
            </w:pPr>
            <w:r w:rsidRPr="00995A6B">
              <w:rPr>
                <w:b/>
                <w:sz w:val="20"/>
                <w:szCs w:val="20"/>
              </w:rPr>
              <w:t>7.1</w:t>
            </w:r>
          </w:p>
        </w:tc>
        <w:tc>
          <w:tcPr>
            <w:tcW w:w="1359" w:type="dxa"/>
            <w:shd w:val="clear" w:color="auto" w:fill="auto"/>
            <w:noWrap/>
            <w:vAlign w:val="center"/>
          </w:tcPr>
          <w:p w14:paraId="3A775099" w14:textId="77777777" w:rsidR="00722E5C" w:rsidRPr="00995A6B" w:rsidRDefault="00722E5C" w:rsidP="00722E5C">
            <w:pPr>
              <w:jc w:val="right"/>
              <w:rPr>
                <w:sz w:val="20"/>
                <w:szCs w:val="20"/>
              </w:rPr>
            </w:pPr>
            <w:r w:rsidRPr="00995A6B">
              <w:rPr>
                <w:sz w:val="20"/>
                <w:szCs w:val="20"/>
              </w:rPr>
              <w:t>50.1</w:t>
            </w:r>
          </w:p>
        </w:tc>
      </w:tr>
      <w:tr w:rsidR="00722E5C" w:rsidRPr="00D07677" w14:paraId="01C5F85A" w14:textId="77777777" w:rsidTr="00440578">
        <w:trPr>
          <w:trHeight w:val="240"/>
          <w:jc w:val="center"/>
        </w:trPr>
        <w:tc>
          <w:tcPr>
            <w:tcW w:w="1843" w:type="dxa"/>
            <w:shd w:val="clear" w:color="auto" w:fill="auto"/>
            <w:noWrap/>
            <w:vAlign w:val="center"/>
          </w:tcPr>
          <w:p w14:paraId="71D4B964" w14:textId="77777777" w:rsidR="00722E5C" w:rsidRPr="00995A6B" w:rsidRDefault="00722E5C" w:rsidP="00722E5C">
            <w:pPr>
              <w:rPr>
                <w:sz w:val="20"/>
                <w:szCs w:val="20"/>
              </w:rPr>
            </w:pPr>
            <w:r w:rsidRPr="00995A6B">
              <w:rPr>
                <w:sz w:val="20"/>
                <w:szCs w:val="20"/>
              </w:rPr>
              <w:t>Marmalade</w:t>
            </w:r>
          </w:p>
        </w:tc>
        <w:tc>
          <w:tcPr>
            <w:tcW w:w="1527" w:type="dxa"/>
            <w:shd w:val="clear" w:color="auto" w:fill="auto"/>
            <w:noWrap/>
            <w:vAlign w:val="center"/>
          </w:tcPr>
          <w:p w14:paraId="08D91D9A" w14:textId="77777777" w:rsidR="00722E5C" w:rsidRPr="00995A6B" w:rsidRDefault="00722E5C" w:rsidP="00722E5C">
            <w:pPr>
              <w:rPr>
                <w:sz w:val="20"/>
                <w:szCs w:val="20"/>
              </w:rPr>
            </w:pPr>
            <w:r w:rsidRPr="00995A6B">
              <w:rPr>
                <w:sz w:val="20"/>
                <w:szCs w:val="20"/>
              </w:rPr>
              <w:t>Robertsons</w:t>
            </w:r>
          </w:p>
        </w:tc>
        <w:tc>
          <w:tcPr>
            <w:tcW w:w="861" w:type="dxa"/>
            <w:shd w:val="clear" w:color="auto" w:fill="auto"/>
            <w:noWrap/>
            <w:vAlign w:val="center"/>
          </w:tcPr>
          <w:p w14:paraId="0C51628F" w14:textId="77777777" w:rsidR="00722E5C" w:rsidRPr="00995A6B" w:rsidRDefault="00722E5C" w:rsidP="00722E5C">
            <w:pPr>
              <w:tabs>
                <w:tab w:val="decimal" w:pos="459"/>
              </w:tabs>
              <w:jc w:val="right"/>
              <w:rPr>
                <w:sz w:val="20"/>
                <w:szCs w:val="20"/>
              </w:rPr>
            </w:pPr>
            <w:r w:rsidRPr="00995A6B">
              <w:rPr>
                <w:sz w:val="20"/>
                <w:szCs w:val="20"/>
              </w:rPr>
              <w:t>21</w:t>
            </w:r>
          </w:p>
        </w:tc>
        <w:tc>
          <w:tcPr>
            <w:tcW w:w="845" w:type="dxa"/>
            <w:shd w:val="clear" w:color="auto" w:fill="auto"/>
            <w:noWrap/>
            <w:vAlign w:val="center"/>
          </w:tcPr>
          <w:p w14:paraId="293EB19C" w14:textId="77777777" w:rsidR="00722E5C" w:rsidRPr="00995A6B" w:rsidRDefault="00722E5C" w:rsidP="00722E5C">
            <w:pPr>
              <w:jc w:val="right"/>
              <w:rPr>
                <w:sz w:val="20"/>
                <w:szCs w:val="20"/>
              </w:rPr>
            </w:pPr>
            <w:r w:rsidRPr="00995A6B">
              <w:rPr>
                <w:sz w:val="20"/>
                <w:szCs w:val="20"/>
              </w:rPr>
              <w:t>15</w:t>
            </w:r>
          </w:p>
        </w:tc>
        <w:tc>
          <w:tcPr>
            <w:tcW w:w="1173" w:type="dxa"/>
            <w:shd w:val="clear" w:color="auto" w:fill="auto"/>
            <w:noWrap/>
            <w:vAlign w:val="center"/>
          </w:tcPr>
          <w:p w14:paraId="65308736" w14:textId="77777777" w:rsidR="00722E5C" w:rsidRPr="00995A6B" w:rsidRDefault="00722E5C" w:rsidP="00722E5C">
            <w:pPr>
              <w:jc w:val="right"/>
              <w:rPr>
                <w:sz w:val="20"/>
                <w:szCs w:val="20"/>
              </w:rPr>
            </w:pPr>
            <w:r w:rsidRPr="00995A6B">
              <w:rPr>
                <w:sz w:val="20"/>
                <w:szCs w:val="20"/>
              </w:rPr>
              <w:t>2.5</w:t>
            </w:r>
          </w:p>
        </w:tc>
        <w:tc>
          <w:tcPr>
            <w:tcW w:w="1134" w:type="dxa"/>
            <w:shd w:val="clear" w:color="auto" w:fill="auto"/>
            <w:noWrap/>
            <w:vAlign w:val="center"/>
          </w:tcPr>
          <w:p w14:paraId="11BFFEC8" w14:textId="77777777" w:rsidR="00722E5C" w:rsidRPr="00995A6B" w:rsidRDefault="00722E5C" w:rsidP="00722E5C">
            <w:pPr>
              <w:jc w:val="right"/>
              <w:rPr>
                <w:b/>
                <w:sz w:val="20"/>
                <w:szCs w:val="20"/>
              </w:rPr>
            </w:pPr>
            <w:r w:rsidRPr="00995A6B">
              <w:rPr>
                <w:b/>
                <w:sz w:val="20"/>
                <w:szCs w:val="20"/>
              </w:rPr>
              <w:t>2.5</w:t>
            </w:r>
          </w:p>
        </w:tc>
        <w:tc>
          <w:tcPr>
            <w:tcW w:w="1359" w:type="dxa"/>
            <w:shd w:val="clear" w:color="auto" w:fill="auto"/>
            <w:noWrap/>
            <w:vAlign w:val="center"/>
          </w:tcPr>
          <w:p w14:paraId="0D9E022C" w14:textId="77777777" w:rsidR="00722E5C" w:rsidRPr="00995A6B" w:rsidRDefault="00722E5C" w:rsidP="00722E5C">
            <w:pPr>
              <w:jc w:val="right"/>
              <w:rPr>
                <w:sz w:val="20"/>
                <w:szCs w:val="20"/>
              </w:rPr>
            </w:pPr>
            <w:r w:rsidRPr="00995A6B">
              <w:rPr>
                <w:sz w:val="20"/>
                <w:szCs w:val="20"/>
              </w:rPr>
              <w:t>-1.6</w:t>
            </w:r>
          </w:p>
        </w:tc>
      </w:tr>
      <w:tr w:rsidR="00722E5C" w:rsidRPr="00D07677" w14:paraId="7B56E94A" w14:textId="77777777" w:rsidTr="00440578">
        <w:trPr>
          <w:trHeight w:val="240"/>
          <w:jc w:val="center"/>
        </w:trPr>
        <w:tc>
          <w:tcPr>
            <w:tcW w:w="1843" w:type="dxa"/>
            <w:shd w:val="clear" w:color="auto" w:fill="auto"/>
            <w:noWrap/>
            <w:vAlign w:val="center"/>
          </w:tcPr>
          <w:p w14:paraId="22D5482C" w14:textId="77777777" w:rsidR="00722E5C" w:rsidRPr="00995A6B" w:rsidRDefault="00722E5C" w:rsidP="00722E5C">
            <w:pPr>
              <w:rPr>
                <w:sz w:val="20"/>
                <w:szCs w:val="20"/>
              </w:rPr>
            </w:pPr>
            <w:r w:rsidRPr="00995A6B">
              <w:rPr>
                <w:sz w:val="20"/>
                <w:szCs w:val="20"/>
              </w:rPr>
              <w:t>Cold Treatment</w:t>
            </w:r>
          </w:p>
        </w:tc>
        <w:tc>
          <w:tcPr>
            <w:tcW w:w="1527" w:type="dxa"/>
            <w:shd w:val="clear" w:color="auto" w:fill="auto"/>
            <w:noWrap/>
            <w:vAlign w:val="center"/>
          </w:tcPr>
          <w:p w14:paraId="6B3E91A8" w14:textId="77777777" w:rsidR="00722E5C" w:rsidRPr="00995A6B" w:rsidRDefault="00722E5C" w:rsidP="00722E5C">
            <w:pPr>
              <w:rPr>
                <w:sz w:val="20"/>
                <w:szCs w:val="20"/>
              </w:rPr>
            </w:pPr>
            <w:r w:rsidRPr="00995A6B">
              <w:rPr>
                <w:sz w:val="20"/>
                <w:szCs w:val="20"/>
              </w:rPr>
              <w:t>Lemsip</w:t>
            </w:r>
          </w:p>
        </w:tc>
        <w:tc>
          <w:tcPr>
            <w:tcW w:w="861" w:type="dxa"/>
            <w:shd w:val="clear" w:color="auto" w:fill="auto"/>
            <w:noWrap/>
            <w:vAlign w:val="center"/>
          </w:tcPr>
          <w:p w14:paraId="5A66CA6C" w14:textId="77777777" w:rsidR="00722E5C" w:rsidRPr="00995A6B" w:rsidRDefault="00722E5C" w:rsidP="00722E5C">
            <w:pPr>
              <w:tabs>
                <w:tab w:val="decimal" w:pos="459"/>
              </w:tabs>
              <w:jc w:val="right"/>
              <w:rPr>
                <w:sz w:val="20"/>
                <w:szCs w:val="20"/>
              </w:rPr>
            </w:pPr>
            <w:r w:rsidRPr="00995A6B">
              <w:rPr>
                <w:sz w:val="20"/>
                <w:szCs w:val="20"/>
              </w:rPr>
              <w:t>36</w:t>
            </w:r>
          </w:p>
        </w:tc>
        <w:tc>
          <w:tcPr>
            <w:tcW w:w="845" w:type="dxa"/>
            <w:shd w:val="clear" w:color="auto" w:fill="auto"/>
            <w:noWrap/>
            <w:vAlign w:val="center"/>
          </w:tcPr>
          <w:p w14:paraId="34707CC2" w14:textId="77777777" w:rsidR="00722E5C" w:rsidRPr="00995A6B" w:rsidRDefault="00722E5C" w:rsidP="00722E5C">
            <w:pPr>
              <w:jc w:val="right"/>
              <w:rPr>
                <w:sz w:val="20"/>
                <w:szCs w:val="20"/>
              </w:rPr>
            </w:pPr>
            <w:r w:rsidRPr="00995A6B">
              <w:rPr>
                <w:sz w:val="20"/>
                <w:szCs w:val="20"/>
              </w:rPr>
              <w:t>10</w:t>
            </w:r>
          </w:p>
        </w:tc>
        <w:tc>
          <w:tcPr>
            <w:tcW w:w="1173" w:type="dxa"/>
            <w:shd w:val="clear" w:color="auto" w:fill="auto"/>
            <w:noWrap/>
            <w:vAlign w:val="center"/>
          </w:tcPr>
          <w:p w14:paraId="5A6EEB0D" w14:textId="77777777" w:rsidR="00722E5C" w:rsidRPr="00995A6B" w:rsidRDefault="00722E5C" w:rsidP="00722E5C">
            <w:pPr>
              <w:jc w:val="right"/>
              <w:rPr>
                <w:sz w:val="20"/>
                <w:szCs w:val="20"/>
              </w:rPr>
            </w:pPr>
            <w:r w:rsidRPr="00995A6B">
              <w:rPr>
                <w:sz w:val="20"/>
                <w:szCs w:val="20"/>
              </w:rPr>
              <w:t>1.4</w:t>
            </w:r>
          </w:p>
        </w:tc>
        <w:tc>
          <w:tcPr>
            <w:tcW w:w="1134" w:type="dxa"/>
            <w:shd w:val="clear" w:color="auto" w:fill="auto"/>
            <w:noWrap/>
            <w:vAlign w:val="center"/>
          </w:tcPr>
          <w:p w14:paraId="6C3C43FC" w14:textId="77777777" w:rsidR="00722E5C" w:rsidRPr="00995A6B" w:rsidRDefault="00722E5C" w:rsidP="00722E5C">
            <w:pPr>
              <w:jc w:val="right"/>
              <w:rPr>
                <w:b/>
                <w:sz w:val="20"/>
                <w:szCs w:val="20"/>
              </w:rPr>
            </w:pPr>
            <w:r w:rsidRPr="00995A6B">
              <w:rPr>
                <w:b/>
                <w:sz w:val="20"/>
                <w:szCs w:val="20"/>
              </w:rPr>
              <w:t>1.4</w:t>
            </w:r>
          </w:p>
        </w:tc>
        <w:tc>
          <w:tcPr>
            <w:tcW w:w="1359" w:type="dxa"/>
            <w:shd w:val="clear" w:color="auto" w:fill="auto"/>
            <w:noWrap/>
            <w:vAlign w:val="center"/>
          </w:tcPr>
          <w:p w14:paraId="5F091AD3" w14:textId="77777777" w:rsidR="00722E5C" w:rsidRPr="00995A6B" w:rsidRDefault="00722E5C" w:rsidP="00722E5C">
            <w:pPr>
              <w:jc w:val="right"/>
              <w:rPr>
                <w:sz w:val="20"/>
                <w:szCs w:val="20"/>
              </w:rPr>
            </w:pPr>
            <w:r w:rsidRPr="00995A6B">
              <w:rPr>
                <w:sz w:val="20"/>
                <w:szCs w:val="20"/>
              </w:rPr>
              <w:t>-5.1</w:t>
            </w:r>
          </w:p>
        </w:tc>
      </w:tr>
      <w:tr w:rsidR="00722E5C" w:rsidRPr="005941C0" w14:paraId="0DB7B15D" w14:textId="77777777" w:rsidTr="00440578">
        <w:trPr>
          <w:trHeight w:val="240"/>
          <w:jc w:val="center"/>
        </w:trPr>
        <w:tc>
          <w:tcPr>
            <w:tcW w:w="1843" w:type="dxa"/>
            <w:shd w:val="clear" w:color="auto" w:fill="auto"/>
            <w:noWrap/>
            <w:vAlign w:val="center"/>
          </w:tcPr>
          <w:p w14:paraId="5040B784" w14:textId="77777777" w:rsidR="00722E5C" w:rsidRPr="00995A6B" w:rsidRDefault="00722E5C" w:rsidP="00722E5C">
            <w:pPr>
              <w:rPr>
                <w:sz w:val="20"/>
                <w:szCs w:val="20"/>
              </w:rPr>
            </w:pPr>
            <w:r w:rsidRPr="00995A6B">
              <w:rPr>
                <w:sz w:val="20"/>
                <w:szCs w:val="20"/>
              </w:rPr>
              <w:t>Lemonade</w:t>
            </w:r>
          </w:p>
        </w:tc>
        <w:tc>
          <w:tcPr>
            <w:tcW w:w="1527" w:type="dxa"/>
            <w:shd w:val="clear" w:color="auto" w:fill="auto"/>
            <w:noWrap/>
            <w:vAlign w:val="center"/>
          </w:tcPr>
          <w:p w14:paraId="5DCD11B4" w14:textId="77777777" w:rsidR="00722E5C" w:rsidRPr="00995A6B" w:rsidRDefault="00722E5C" w:rsidP="00722E5C">
            <w:pPr>
              <w:rPr>
                <w:sz w:val="20"/>
                <w:szCs w:val="20"/>
              </w:rPr>
            </w:pPr>
            <w:r w:rsidRPr="00995A6B">
              <w:rPr>
                <w:sz w:val="20"/>
                <w:szCs w:val="20"/>
              </w:rPr>
              <w:t>Tesco</w:t>
            </w:r>
          </w:p>
        </w:tc>
        <w:tc>
          <w:tcPr>
            <w:tcW w:w="861" w:type="dxa"/>
            <w:shd w:val="clear" w:color="auto" w:fill="auto"/>
            <w:noWrap/>
            <w:vAlign w:val="center"/>
          </w:tcPr>
          <w:p w14:paraId="1F2CFC8F" w14:textId="77777777" w:rsidR="00722E5C" w:rsidRPr="00995A6B" w:rsidRDefault="00722E5C" w:rsidP="00722E5C">
            <w:pPr>
              <w:jc w:val="right"/>
              <w:rPr>
                <w:sz w:val="20"/>
                <w:szCs w:val="20"/>
              </w:rPr>
            </w:pPr>
            <w:r w:rsidRPr="00995A6B">
              <w:rPr>
                <w:sz w:val="20"/>
                <w:szCs w:val="20"/>
              </w:rPr>
              <w:t>13</w:t>
            </w:r>
          </w:p>
        </w:tc>
        <w:tc>
          <w:tcPr>
            <w:tcW w:w="845" w:type="dxa"/>
            <w:shd w:val="clear" w:color="auto" w:fill="auto"/>
            <w:noWrap/>
            <w:vAlign w:val="center"/>
          </w:tcPr>
          <w:p w14:paraId="1BE1CF72" w14:textId="77777777" w:rsidR="00722E5C" w:rsidRPr="00995A6B" w:rsidRDefault="00722E5C" w:rsidP="00722E5C">
            <w:pPr>
              <w:jc w:val="right"/>
              <w:rPr>
                <w:sz w:val="20"/>
                <w:szCs w:val="20"/>
              </w:rPr>
            </w:pPr>
            <w:r w:rsidRPr="00995A6B">
              <w:rPr>
                <w:sz w:val="20"/>
                <w:szCs w:val="20"/>
              </w:rPr>
              <w:t>9</w:t>
            </w:r>
          </w:p>
        </w:tc>
        <w:tc>
          <w:tcPr>
            <w:tcW w:w="1173" w:type="dxa"/>
            <w:shd w:val="clear" w:color="auto" w:fill="auto"/>
            <w:noWrap/>
            <w:vAlign w:val="center"/>
          </w:tcPr>
          <w:p w14:paraId="40E0058E" w14:textId="77777777" w:rsidR="00722E5C" w:rsidRPr="00995A6B" w:rsidRDefault="00722E5C" w:rsidP="00722E5C">
            <w:pPr>
              <w:jc w:val="right"/>
              <w:rPr>
                <w:sz w:val="20"/>
                <w:szCs w:val="20"/>
              </w:rPr>
            </w:pPr>
            <w:r w:rsidRPr="00995A6B">
              <w:rPr>
                <w:sz w:val="20"/>
                <w:szCs w:val="20"/>
              </w:rPr>
              <w:t>5.4</w:t>
            </w:r>
          </w:p>
        </w:tc>
        <w:tc>
          <w:tcPr>
            <w:tcW w:w="1134" w:type="dxa"/>
            <w:shd w:val="clear" w:color="auto" w:fill="auto"/>
            <w:noWrap/>
            <w:vAlign w:val="center"/>
          </w:tcPr>
          <w:p w14:paraId="6D41FAD1" w14:textId="77777777" w:rsidR="00722E5C" w:rsidRPr="00995A6B" w:rsidRDefault="00722E5C" w:rsidP="00722E5C">
            <w:pPr>
              <w:jc w:val="right"/>
              <w:rPr>
                <w:b/>
                <w:sz w:val="20"/>
                <w:szCs w:val="20"/>
              </w:rPr>
            </w:pPr>
            <w:r w:rsidRPr="00995A6B">
              <w:rPr>
                <w:b/>
                <w:sz w:val="20"/>
                <w:szCs w:val="20"/>
              </w:rPr>
              <w:t>4.2</w:t>
            </w:r>
          </w:p>
        </w:tc>
        <w:tc>
          <w:tcPr>
            <w:tcW w:w="1359" w:type="dxa"/>
            <w:shd w:val="clear" w:color="auto" w:fill="auto"/>
            <w:noWrap/>
            <w:vAlign w:val="center"/>
          </w:tcPr>
          <w:p w14:paraId="174002CA" w14:textId="77777777" w:rsidR="00722E5C" w:rsidRPr="00995A6B" w:rsidRDefault="00722E5C" w:rsidP="00722E5C">
            <w:pPr>
              <w:jc w:val="right"/>
              <w:rPr>
                <w:sz w:val="20"/>
                <w:szCs w:val="20"/>
              </w:rPr>
            </w:pPr>
            <w:r w:rsidRPr="00995A6B">
              <w:rPr>
                <w:sz w:val="20"/>
                <w:szCs w:val="20"/>
              </w:rPr>
              <w:t>28.7</w:t>
            </w:r>
          </w:p>
        </w:tc>
      </w:tr>
      <w:tr w:rsidR="00722E5C" w:rsidRPr="00D07677" w14:paraId="78B5ECD3" w14:textId="77777777" w:rsidTr="00440578">
        <w:trPr>
          <w:trHeight w:val="240"/>
          <w:jc w:val="center"/>
        </w:trPr>
        <w:tc>
          <w:tcPr>
            <w:tcW w:w="1843" w:type="dxa"/>
            <w:shd w:val="clear" w:color="auto" w:fill="auto"/>
            <w:noWrap/>
            <w:vAlign w:val="center"/>
          </w:tcPr>
          <w:p w14:paraId="5B1BF62E" w14:textId="77777777" w:rsidR="00722E5C" w:rsidRPr="00995A6B" w:rsidRDefault="00722E5C" w:rsidP="00722E5C">
            <w:pPr>
              <w:rPr>
                <w:sz w:val="20"/>
                <w:szCs w:val="20"/>
              </w:rPr>
            </w:pPr>
            <w:r w:rsidRPr="00995A6B">
              <w:rPr>
                <w:sz w:val="20"/>
                <w:szCs w:val="20"/>
              </w:rPr>
              <w:t>Fresh Soup</w:t>
            </w:r>
          </w:p>
        </w:tc>
        <w:tc>
          <w:tcPr>
            <w:tcW w:w="1527" w:type="dxa"/>
            <w:shd w:val="clear" w:color="auto" w:fill="auto"/>
            <w:noWrap/>
            <w:vAlign w:val="center"/>
          </w:tcPr>
          <w:p w14:paraId="5AC021CB" w14:textId="77777777" w:rsidR="00722E5C" w:rsidRPr="00995A6B" w:rsidRDefault="00722E5C" w:rsidP="00722E5C">
            <w:pPr>
              <w:rPr>
                <w:sz w:val="20"/>
                <w:szCs w:val="20"/>
              </w:rPr>
            </w:pPr>
            <w:r w:rsidRPr="00995A6B">
              <w:rPr>
                <w:sz w:val="20"/>
                <w:szCs w:val="20"/>
              </w:rPr>
              <w:t>Covent Garden</w:t>
            </w:r>
          </w:p>
        </w:tc>
        <w:tc>
          <w:tcPr>
            <w:tcW w:w="861" w:type="dxa"/>
            <w:shd w:val="clear" w:color="auto" w:fill="auto"/>
            <w:noWrap/>
            <w:vAlign w:val="center"/>
          </w:tcPr>
          <w:p w14:paraId="17DD55D8" w14:textId="77777777" w:rsidR="00722E5C" w:rsidRPr="00995A6B" w:rsidRDefault="00722E5C" w:rsidP="00722E5C">
            <w:pPr>
              <w:jc w:val="right"/>
              <w:rPr>
                <w:sz w:val="20"/>
                <w:szCs w:val="20"/>
              </w:rPr>
            </w:pPr>
            <w:r w:rsidRPr="00995A6B">
              <w:rPr>
                <w:sz w:val="20"/>
                <w:szCs w:val="20"/>
              </w:rPr>
              <w:t>32</w:t>
            </w:r>
          </w:p>
        </w:tc>
        <w:tc>
          <w:tcPr>
            <w:tcW w:w="845" w:type="dxa"/>
            <w:shd w:val="clear" w:color="auto" w:fill="auto"/>
            <w:noWrap/>
            <w:vAlign w:val="center"/>
          </w:tcPr>
          <w:p w14:paraId="213304EE" w14:textId="77777777" w:rsidR="00722E5C" w:rsidRPr="00995A6B" w:rsidRDefault="00722E5C" w:rsidP="00722E5C">
            <w:pPr>
              <w:jc w:val="right"/>
              <w:rPr>
                <w:sz w:val="20"/>
                <w:szCs w:val="20"/>
              </w:rPr>
            </w:pPr>
            <w:r w:rsidRPr="00995A6B">
              <w:rPr>
                <w:sz w:val="20"/>
                <w:szCs w:val="20"/>
              </w:rPr>
              <w:t>9</w:t>
            </w:r>
          </w:p>
        </w:tc>
        <w:tc>
          <w:tcPr>
            <w:tcW w:w="1173" w:type="dxa"/>
            <w:shd w:val="clear" w:color="auto" w:fill="auto"/>
            <w:noWrap/>
            <w:vAlign w:val="center"/>
          </w:tcPr>
          <w:p w14:paraId="3D50E08C" w14:textId="77777777" w:rsidR="00722E5C" w:rsidRPr="00995A6B" w:rsidRDefault="00722E5C" w:rsidP="00722E5C">
            <w:pPr>
              <w:jc w:val="right"/>
              <w:rPr>
                <w:sz w:val="20"/>
                <w:szCs w:val="20"/>
              </w:rPr>
            </w:pPr>
            <w:r w:rsidRPr="00995A6B">
              <w:rPr>
                <w:sz w:val="20"/>
                <w:szCs w:val="20"/>
              </w:rPr>
              <w:t>4.0</w:t>
            </w:r>
          </w:p>
        </w:tc>
        <w:tc>
          <w:tcPr>
            <w:tcW w:w="1134" w:type="dxa"/>
            <w:shd w:val="clear" w:color="auto" w:fill="auto"/>
            <w:noWrap/>
            <w:vAlign w:val="center"/>
          </w:tcPr>
          <w:p w14:paraId="62C33CA4" w14:textId="77777777" w:rsidR="00722E5C" w:rsidRPr="00995A6B" w:rsidRDefault="00722E5C" w:rsidP="00722E5C">
            <w:pPr>
              <w:jc w:val="right"/>
              <w:rPr>
                <w:b/>
                <w:sz w:val="20"/>
                <w:szCs w:val="20"/>
              </w:rPr>
            </w:pPr>
            <w:r w:rsidRPr="00995A6B">
              <w:rPr>
                <w:b/>
                <w:sz w:val="20"/>
                <w:szCs w:val="20"/>
              </w:rPr>
              <w:t>3.4</w:t>
            </w:r>
          </w:p>
        </w:tc>
        <w:tc>
          <w:tcPr>
            <w:tcW w:w="1359" w:type="dxa"/>
            <w:shd w:val="clear" w:color="auto" w:fill="auto"/>
            <w:noWrap/>
            <w:vAlign w:val="center"/>
          </w:tcPr>
          <w:p w14:paraId="76FA3AFD" w14:textId="77777777" w:rsidR="00722E5C" w:rsidRPr="00995A6B" w:rsidRDefault="00722E5C" w:rsidP="00722E5C">
            <w:pPr>
              <w:jc w:val="right"/>
              <w:rPr>
                <w:sz w:val="20"/>
                <w:szCs w:val="20"/>
              </w:rPr>
            </w:pPr>
            <w:r w:rsidRPr="00995A6B">
              <w:rPr>
                <w:sz w:val="20"/>
                <w:szCs w:val="20"/>
              </w:rPr>
              <w:t>18.7</w:t>
            </w:r>
          </w:p>
        </w:tc>
      </w:tr>
      <w:tr w:rsidR="00722E5C" w:rsidRPr="00D07677" w14:paraId="32CF5BE4" w14:textId="77777777" w:rsidTr="00440578">
        <w:trPr>
          <w:trHeight w:val="240"/>
          <w:jc w:val="center"/>
        </w:trPr>
        <w:tc>
          <w:tcPr>
            <w:tcW w:w="1843" w:type="dxa"/>
            <w:shd w:val="clear" w:color="auto" w:fill="auto"/>
            <w:noWrap/>
            <w:vAlign w:val="center"/>
          </w:tcPr>
          <w:p w14:paraId="764B50A9" w14:textId="77777777" w:rsidR="00722E5C" w:rsidRPr="00995A6B" w:rsidRDefault="00722E5C" w:rsidP="00722E5C">
            <w:pPr>
              <w:rPr>
                <w:sz w:val="20"/>
                <w:szCs w:val="20"/>
              </w:rPr>
            </w:pPr>
            <w:r w:rsidRPr="00995A6B">
              <w:rPr>
                <w:sz w:val="20"/>
                <w:szCs w:val="20"/>
              </w:rPr>
              <w:t>Indigestion Meds</w:t>
            </w:r>
          </w:p>
        </w:tc>
        <w:tc>
          <w:tcPr>
            <w:tcW w:w="1527" w:type="dxa"/>
            <w:shd w:val="clear" w:color="auto" w:fill="auto"/>
            <w:noWrap/>
            <w:vAlign w:val="center"/>
          </w:tcPr>
          <w:p w14:paraId="426266E5" w14:textId="77777777" w:rsidR="00722E5C" w:rsidRPr="00995A6B" w:rsidRDefault="00722E5C" w:rsidP="00722E5C">
            <w:pPr>
              <w:rPr>
                <w:sz w:val="20"/>
                <w:szCs w:val="20"/>
              </w:rPr>
            </w:pPr>
            <w:r w:rsidRPr="00995A6B">
              <w:rPr>
                <w:sz w:val="20"/>
                <w:szCs w:val="20"/>
              </w:rPr>
              <w:t>Rennie</w:t>
            </w:r>
          </w:p>
        </w:tc>
        <w:tc>
          <w:tcPr>
            <w:tcW w:w="861" w:type="dxa"/>
            <w:shd w:val="clear" w:color="auto" w:fill="auto"/>
            <w:noWrap/>
            <w:vAlign w:val="center"/>
          </w:tcPr>
          <w:p w14:paraId="541230A3" w14:textId="77777777" w:rsidR="00722E5C" w:rsidRPr="00995A6B" w:rsidRDefault="00722E5C" w:rsidP="00722E5C">
            <w:pPr>
              <w:jc w:val="right"/>
              <w:rPr>
                <w:sz w:val="20"/>
                <w:szCs w:val="20"/>
              </w:rPr>
            </w:pPr>
            <w:r w:rsidRPr="00995A6B">
              <w:rPr>
                <w:sz w:val="20"/>
                <w:szCs w:val="20"/>
              </w:rPr>
              <w:t>33</w:t>
            </w:r>
          </w:p>
        </w:tc>
        <w:tc>
          <w:tcPr>
            <w:tcW w:w="845" w:type="dxa"/>
            <w:shd w:val="clear" w:color="auto" w:fill="auto"/>
            <w:noWrap/>
            <w:vAlign w:val="center"/>
          </w:tcPr>
          <w:p w14:paraId="58E0C810" w14:textId="77777777" w:rsidR="00722E5C" w:rsidRPr="00995A6B" w:rsidRDefault="00722E5C" w:rsidP="00722E5C">
            <w:pPr>
              <w:jc w:val="right"/>
              <w:rPr>
                <w:sz w:val="20"/>
                <w:szCs w:val="20"/>
              </w:rPr>
            </w:pPr>
            <w:r w:rsidRPr="00995A6B">
              <w:rPr>
                <w:sz w:val="20"/>
                <w:szCs w:val="20"/>
              </w:rPr>
              <w:t>7</w:t>
            </w:r>
          </w:p>
        </w:tc>
        <w:tc>
          <w:tcPr>
            <w:tcW w:w="1173" w:type="dxa"/>
            <w:shd w:val="clear" w:color="auto" w:fill="auto"/>
            <w:noWrap/>
            <w:vAlign w:val="center"/>
          </w:tcPr>
          <w:p w14:paraId="4267E867" w14:textId="77777777" w:rsidR="00722E5C" w:rsidRPr="00995A6B" w:rsidRDefault="00722E5C" w:rsidP="00722E5C">
            <w:pPr>
              <w:jc w:val="right"/>
              <w:rPr>
                <w:sz w:val="20"/>
                <w:szCs w:val="20"/>
              </w:rPr>
            </w:pPr>
            <w:r w:rsidRPr="00995A6B">
              <w:rPr>
                <w:sz w:val="20"/>
                <w:szCs w:val="20"/>
              </w:rPr>
              <w:t>2.3</w:t>
            </w:r>
          </w:p>
        </w:tc>
        <w:tc>
          <w:tcPr>
            <w:tcW w:w="1134" w:type="dxa"/>
            <w:shd w:val="clear" w:color="auto" w:fill="auto"/>
            <w:noWrap/>
            <w:vAlign w:val="center"/>
          </w:tcPr>
          <w:p w14:paraId="274B820C" w14:textId="77777777" w:rsidR="00722E5C" w:rsidRPr="00995A6B" w:rsidRDefault="00722E5C" w:rsidP="00722E5C">
            <w:pPr>
              <w:jc w:val="right"/>
              <w:rPr>
                <w:b/>
                <w:sz w:val="20"/>
                <w:szCs w:val="20"/>
              </w:rPr>
            </w:pPr>
            <w:r w:rsidRPr="00995A6B">
              <w:rPr>
                <w:b/>
                <w:sz w:val="20"/>
                <w:szCs w:val="20"/>
              </w:rPr>
              <w:t>2.0</w:t>
            </w:r>
          </w:p>
        </w:tc>
        <w:tc>
          <w:tcPr>
            <w:tcW w:w="1359" w:type="dxa"/>
            <w:shd w:val="clear" w:color="auto" w:fill="auto"/>
            <w:noWrap/>
            <w:vAlign w:val="center"/>
          </w:tcPr>
          <w:p w14:paraId="16C8DCE8" w14:textId="77777777" w:rsidR="00722E5C" w:rsidRPr="00995A6B" w:rsidRDefault="00722E5C" w:rsidP="00722E5C">
            <w:pPr>
              <w:jc w:val="right"/>
              <w:rPr>
                <w:sz w:val="20"/>
                <w:szCs w:val="20"/>
              </w:rPr>
            </w:pPr>
            <w:r w:rsidRPr="00995A6B">
              <w:rPr>
                <w:sz w:val="20"/>
                <w:szCs w:val="20"/>
              </w:rPr>
              <w:t>11.5</w:t>
            </w:r>
          </w:p>
        </w:tc>
      </w:tr>
      <w:tr w:rsidR="00722E5C" w:rsidRPr="00D07677" w14:paraId="0CFBF0AA" w14:textId="77777777" w:rsidTr="00440578">
        <w:trPr>
          <w:trHeight w:val="240"/>
          <w:jc w:val="center"/>
        </w:trPr>
        <w:tc>
          <w:tcPr>
            <w:tcW w:w="1843" w:type="dxa"/>
            <w:shd w:val="clear" w:color="auto" w:fill="auto"/>
            <w:noWrap/>
            <w:vAlign w:val="center"/>
          </w:tcPr>
          <w:p w14:paraId="580508BA" w14:textId="77777777" w:rsidR="00722E5C" w:rsidRPr="00995A6B" w:rsidRDefault="00722E5C" w:rsidP="00722E5C">
            <w:pPr>
              <w:rPr>
                <w:sz w:val="20"/>
                <w:szCs w:val="20"/>
              </w:rPr>
            </w:pPr>
            <w:r w:rsidRPr="00995A6B">
              <w:rPr>
                <w:sz w:val="20"/>
                <w:szCs w:val="20"/>
              </w:rPr>
              <w:t>Cough Liquid Meds</w:t>
            </w:r>
          </w:p>
        </w:tc>
        <w:tc>
          <w:tcPr>
            <w:tcW w:w="1527" w:type="dxa"/>
            <w:shd w:val="clear" w:color="auto" w:fill="auto"/>
            <w:noWrap/>
            <w:vAlign w:val="center"/>
          </w:tcPr>
          <w:p w14:paraId="542CABAC" w14:textId="77777777" w:rsidR="00722E5C" w:rsidRPr="00995A6B" w:rsidRDefault="00722E5C" w:rsidP="00722E5C">
            <w:pPr>
              <w:rPr>
                <w:sz w:val="20"/>
                <w:szCs w:val="20"/>
              </w:rPr>
            </w:pPr>
            <w:r w:rsidRPr="00995A6B">
              <w:rPr>
                <w:sz w:val="20"/>
                <w:szCs w:val="20"/>
              </w:rPr>
              <w:t>Benylin</w:t>
            </w:r>
          </w:p>
        </w:tc>
        <w:tc>
          <w:tcPr>
            <w:tcW w:w="861" w:type="dxa"/>
            <w:shd w:val="clear" w:color="auto" w:fill="auto"/>
            <w:noWrap/>
            <w:vAlign w:val="center"/>
          </w:tcPr>
          <w:p w14:paraId="50C2D919" w14:textId="77777777" w:rsidR="00722E5C" w:rsidRPr="00995A6B" w:rsidRDefault="00722E5C" w:rsidP="00722E5C">
            <w:pPr>
              <w:tabs>
                <w:tab w:val="decimal" w:pos="459"/>
              </w:tabs>
              <w:jc w:val="right"/>
              <w:rPr>
                <w:sz w:val="20"/>
                <w:szCs w:val="20"/>
              </w:rPr>
            </w:pPr>
            <w:r w:rsidRPr="00995A6B">
              <w:rPr>
                <w:sz w:val="20"/>
                <w:szCs w:val="20"/>
              </w:rPr>
              <w:t>19</w:t>
            </w:r>
          </w:p>
        </w:tc>
        <w:tc>
          <w:tcPr>
            <w:tcW w:w="845" w:type="dxa"/>
            <w:shd w:val="clear" w:color="auto" w:fill="auto"/>
            <w:noWrap/>
            <w:vAlign w:val="center"/>
          </w:tcPr>
          <w:p w14:paraId="5E0F7856" w14:textId="77777777" w:rsidR="00722E5C" w:rsidRPr="00995A6B" w:rsidRDefault="00722E5C" w:rsidP="00722E5C">
            <w:pPr>
              <w:jc w:val="right"/>
              <w:rPr>
                <w:sz w:val="20"/>
                <w:szCs w:val="20"/>
              </w:rPr>
            </w:pPr>
            <w:r w:rsidRPr="00995A6B">
              <w:rPr>
                <w:sz w:val="20"/>
                <w:szCs w:val="20"/>
              </w:rPr>
              <w:t>5</w:t>
            </w:r>
          </w:p>
        </w:tc>
        <w:tc>
          <w:tcPr>
            <w:tcW w:w="1173" w:type="dxa"/>
            <w:shd w:val="clear" w:color="auto" w:fill="auto"/>
            <w:noWrap/>
            <w:vAlign w:val="center"/>
          </w:tcPr>
          <w:p w14:paraId="1288566F" w14:textId="77777777" w:rsidR="00722E5C" w:rsidRPr="00995A6B" w:rsidRDefault="00722E5C" w:rsidP="00722E5C">
            <w:pPr>
              <w:jc w:val="right"/>
              <w:rPr>
                <w:sz w:val="20"/>
                <w:szCs w:val="20"/>
              </w:rPr>
            </w:pPr>
            <w:r w:rsidRPr="00995A6B">
              <w:rPr>
                <w:sz w:val="20"/>
                <w:szCs w:val="20"/>
              </w:rPr>
              <w:t>1.3</w:t>
            </w:r>
          </w:p>
        </w:tc>
        <w:tc>
          <w:tcPr>
            <w:tcW w:w="1134" w:type="dxa"/>
            <w:shd w:val="clear" w:color="auto" w:fill="auto"/>
            <w:noWrap/>
            <w:vAlign w:val="center"/>
          </w:tcPr>
          <w:p w14:paraId="136895FA" w14:textId="77777777" w:rsidR="00722E5C" w:rsidRPr="00995A6B" w:rsidRDefault="00722E5C" w:rsidP="00722E5C">
            <w:pPr>
              <w:jc w:val="right"/>
              <w:rPr>
                <w:b/>
                <w:sz w:val="20"/>
                <w:szCs w:val="20"/>
              </w:rPr>
            </w:pPr>
            <w:r w:rsidRPr="00995A6B">
              <w:rPr>
                <w:b/>
                <w:sz w:val="20"/>
                <w:szCs w:val="20"/>
              </w:rPr>
              <w:t>1.4</w:t>
            </w:r>
          </w:p>
        </w:tc>
        <w:tc>
          <w:tcPr>
            <w:tcW w:w="1359" w:type="dxa"/>
            <w:shd w:val="clear" w:color="auto" w:fill="auto"/>
            <w:noWrap/>
            <w:vAlign w:val="center"/>
          </w:tcPr>
          <w:p w14:paraId="2E4E4D65" w14:textId="77777777" w:rsidR="00722E5C" w:rsidRPr="00995A6B" w:rsidRDefault="00722E5C" w:rsidP="00722E5C">
            <w:pPr>
              <w:jc w:val="right"/>
              <w:rPr>
                <w:sz w:val="20"/>
                <w:szCs w:val="20"/>
              </w:rPr>
            </w:pPr>
            <w:r w:rsidRPr="00995A6B">
              <w:rPr>
                <w:sz w:val="20"/>
                <w:szCs w:val="20"/>
              </w:rPr>
              <w:t>-9.8</w:t>
            </w:r>
          </w:p>
        </w:tc>
      </w:tr>
      <w:tr w:rsidR="00722E5C" w:rsidRPr="00D07677" w14:paraId="545C9619" w14:textId="77777777" w:rsidTr="00440578">
        <w:trPr>
          <w:trHeight w:val="266"/>
          <w:jc w:val="center"/>
        </w:trPr>
        <w:tc>
          <w:tcPr>
            <w:tcW w:w="1843" w:type="dxa"/>
            <w:shd w:val="clear" w:color="auto" w:fill="auto"/>
            <w:noWrap/>
            <w:vAlign w:val="center"/>
          </w:tcPr>
          <w:p w14:paraId="384C5C7C" w14:textId="77777777" w:rsidR="00722E5C" w:rsidRPr="00995A6B" w:rsidRDefault="00722E5C" w:rsidP="00722E5C">
            <w:pPr>
              <w:rPr>
                <w:sz w:val="20"/>
                <w:szCs w:val="20"/>
              </w:rPr>
            </w:pPr>
            <w:r w:rsidRPr="00995A6B">
              <w:rPr>
                <w:sz w:val="20"/>
                <w:szCs w:val="20"/>
              </w:rPr>
              <w:t>Whisky</w:t>
            </w:r>
          </w:p>
        </w:tc>
        <w:tc>
          <w:tcPr>
            <w:tcW w:w="1527" w:type="dxa"/>
            <w:shd w:val="clear" w:color="auto" w:fill="auto"/>
            <w:noWrap/>
            <w:vAlign w:val="center"/>
          </w:tcPr>
          <w:p w14:paraId="6484D9C3" w14:textId="77777777" w:rsidR="00722E5C" w:rsidRPr="00995A6B" w:rsidRDefault="00722E5C" w:rsidP="00722E5C">
            <w:pPr>
              <w:rPr>
                <w:sz w:val="20"/>
                <w:szCs w:val="20"/>
              </w:rPr>
            </w:pPr>
            <w:r w:rsidRPr="00995A6B">
              <w:rPr>
                <w:sz w:val="20"/>
                <w:szCs w:val="20"/>
              </w:rPr>
              <w:t>Asda</w:t>
            </w:r>
          </w:p>
        </w:tc>
        <w:tc>
          <w:tcPr>
            <w:tcW w:w="861" w:type="dxa"/>
            <w:shd w:val="clear" w:color="auto" w:fill="auto"/>
            <w:noWrap/>
            <w:vAlign w:val="center"/>
          </w:tcPr>
          <w:p w14:paraId="57A2EA13" w14:textId="77777777" w:rsidR="00722E5C" w:rsidRPr="00995A6B" w:rsidRDefault="00722E5C" w:rsidP="00722E5C">
            <w:pPr>
              <w:jc w:val="right"/>
              <w:rPr>
                <w:sz w:val="20"/>
                <w:szCs w:val="20"/>
              </w:rPr>
            </w:pPr>
            <w:r w:rsidRPr="00995A6B">
              <w:rPr>
                <w:sz w:val="20"/>
                <w:szCs w:val="20"/>
              </w:rPr>
              <w:t>9</w:t>
            </w:r>
          </w:p>
        </w:tc>
        <w:tc>
          <w:tcPr>
            <w:tcW w:w="845" w:type="dxa"/>
            <w:shd w:val="clear" w:color="auto" w:fill="auto"/>
            <w:noWrap/>
            <w:vAlign w:val="center"/>
          </w:tcPr>
          <w:p w14:paraId="1FFACBBF" w14:textId="77777777" w:rsidR="00722E5C" w:rsidRPr="00995A6B" w:rsidRDefault="00722E5C" w:rsidP="00722E5C">
            <w:pPr>
              <w:jc w:val="right"/>
              <w:rPr>
                <w:sz w:val="20"/>
                <w:szCs w:val="20"/>
              </w:rPr>
            </w:pPr>
            <w:r w:rsidRPr="00995A6B">
              <w:rPr>
                <w:sz w:val="20"/>
                <w:szCs w:val="20"/>
              </w:rPr>
              <w:t>3</w:t>
            </w:r>
          </w:p>
        </w:tc>
        <w:tc>
          <w:tcPr>
            <w:tcW w:w="1173" w:type="dxa"/>
            <w:shd w:val="clear" w:color="auto" w:fill="auto"/>
            <w:noWrap/>
            <w:vAlign w:val="center"/>
          </w:tcPr>
          <w:p w14:paraId="736726FD" w14:textId="77777777" w:rsidR="00722E5C" w:rsidRPr="00995A6B" w:rsidRDefault="00722E5C" w:rsidP="00722E5C">
            <w:pPr>
              <w:jc w:val="right"/>
              <w:rPr>
                <w:sz w:val="20"/>
                <w:szCs w:val="20"/>
              </w:rPr>
            </w:pPr>
            <w:r w:rsidRPr="00995A6B">
              <w:rPr>
                <w:sz w:val="20"/>
                <w:szCs w:val="20"/>
              </w:rPr>
              <w:t>4.3</w:t>
            </w:r>
          </w:p>
        </w:tc>
        <w:tc>
          <w:tcPr>
            <w:tcW w:w="1134" w:type="dxa"/>
            <w:shd w:val="clear" w:color="auto" w:fill="auto"/>
            <w:noWrap/>
            <w:vAlign w:val="center"/>
          </w:tcPr>
          <w:p w14:paraId="574FB87C" w14:textId="77777777" w:rsidR="00722E5C" w:rsidRPr="00995A6B" w:rsidRDefault="00722E5C" w:rsidP="00722E5C">
            <w:pPr>
              <w:jc w:val="right"/>
              <w:rPr>
                <w:b/>
                <w:sz w:val="20"/>
                <w:szCs w:val="20"/>
              </w:rPr>
            </w:pPr>
            <w:r w:rsidRPr="00995A6B">
              <w:rPr>
                <w:b/>
                <w:sz w:val="20"/>
                <w:szCs w:val="20"/>
              </w:rPr>
              <w:t>2.5</w:t>
            </w:r>
          </w:p>
        </w:tc>
        <w:tc>
          <w:tcPr>
            <w:tcW w:w="1359" w:type="dxa"/>
            <w:shd w:val="clear" w:color="auto" w:fill="auto"/>
            <w:noWrap/>
            <w:vAlign w:val="center"/>
          </w:tcPr>
          <w:p w14:paraId="28656190" w14:textId="77777777" w:rsidR="00722E5C" w:rsidRPr="00995A6B" w:rsidRDefault="00722E5C" w:rsidP="00722E5C">
            <w:pPr>
              <w:jc w:val="right"/>
              <w:rPr>
                <w:sz w:val="20"/>
                <w:szCs w:val="20"/>
              </w:rPr>
            </w:pPr>
            <w:r w:rsidRPr="00995A6B">
              <w:rPr>
                <w:sz w:val="20"/>
                <w:szCs w:val="20"/>
              </w:rPr>
              <w:t>74.4</w:t>
            </w:r>
          </w:p>
        </w:tc>
      </w:tr>
      <w:tr w:rsidR="00722E5C" w:rsidRPr="00D07677" w14:paraId="285212C3" w14:textId="77777777" w:rsidTr="00440578">
        <w:trPr>
          <w:trHeight w:val="209"/>
          <w:jc w:val="center"/>
        </w:trPr>
        <w:tc>
          <w:tcPr>
            <w:tcW w:w="1843" w:type="dxa"/>
            <w:shd w:val="clear" w:color="auto" w:fill="auto"/>
            <w:noWrap/>
            <w:vAlign w:val="center"/>
          </w:tcPr>
          <w:p w14:paraId="7EF70D2D" w14:textId="77777777" w:rsidR="00722E5C" w:rsidRPr="00995A6B" w:rsidRDefault="00722E5C" w:rsidP="00722E5C">
            <w:pPr>
              <w:rPr>
                <w:sz w:val="20"/>
                <w:szCs w:val="20"/>
              </w:rPr>
            </w:pPr>
            <w:r w:rsidRPr="00995A6B">
              <w:rPr>
                <w:sz w:val="20"/>
                <w:szCs w:val="20"/>
              </w:rPr>
              <w:t>Carbonated Water</w:t>
            </w:r>
          </w:p>
        </w:tc>
        <w:tc>
          <w:tcPr>
            <w:tcW w:w="1527" w:type="dxa"/>
            <w:shd w:val="clear" w:color="auto" w:fill="auto"/>
            <w:noWrap/>
            <w:vAlign w:val="center"/>
          </w:tcPr>
          <w:p w14:paraId="66C17E37" w14:textId="77777777" w:rsidR="00722E5C" w:rsidRPr="00995A6B" w:rsidRDefault="00722E5C" w:rsidP="00722E5C">
            <w:pPr>
              <w:rPr>
                <w:sz w:val="20"/>
                <w:szCs w:val="20"/>
              </w:rPr>
            </w:pPr>
            <w:r w:rsidRPr="00995A6B">
              <w:rPr>
                <w:sz w:val="20"/>
                <w:szCs w:val="20"/>
              </w:rPr>
              <w:t>Tesco Value</w:t>
            </w:r>
          </w:p>
        </w:tc>
        <w:tc>
          <w:tcPr>
            <w:tcW w:w="861" w:type="dxa"/>
            <w:shd w:val="clear" w:color="auto" w:fill="auto"/>
            <w:noWrap/>
            <w:vAlign w:val="center"/>
          </w:tcPr>
          <w:p w14:paraId="28140263" w14:textId="77777777" w:rsidR="00722E5C" w:rsidRPr="00995A6B" w:rsidRDefault="00722E5C" w:rsidP="00722E5C">
            <w:pPr>
              <w:jc w:val="right"/>
              <w:rPr>
                <w:sz w:val="20"/>
                <w:szCs w:val="20"/>
              </w:rPr>
            </w:pPr>
            <w:r w:rsidRPr="00995A6B">
              <w:rPr>
                <w:sz w:val="20"/>
                <w:szCs w:val="20"/>
              </w:rPr>
              <w:t>15</w:t>
            </w:r>
          </w:p>
        </w:tc>
        <w:tc>
          <w:tcPr>
            <w:tcW w:w="845" w:type="dxa"/>
            <w:shd w:val="clear" w:color="auto" w:fill="auto"/>
            <w:noWrap/>
            <w:vAlign w:val="center"/>
          </w:tcPr>
          <w:p w14:paraId="22AC53DA" w14:textId="77777777" w:rsidR="00722E5C" w:rsidRPr="00995A6B" w:rsidRDefault="00722E5C" w:rsidP="00722E5C">
            <w:pPr>
              <w:jc w:val="right"/>
              <w:rPr>
                <w:sz w:val="20"/>
                <w:szCs w:val="20"/>
              </w:rPr>
            </w:pPr>
            <w:r w:rsidRPr="00995A6B">
              <w:rPr>
                <w:sz w:val="20"/>
                <w:szCs w:val="20"/>
              </w:rPr>
              <w:t>3</w:t>
            </w:r>
          </w:p>
        </w:tc>
        <w:tc>
          <w:tcPr>
            <w:tcW w:w="1173" w:type="dxa"/>
            <w:shd w:val="clear" w:color="auto" w:fill="auto"/>
            <w:noWrap/>
            <w:vAlign w:val="center"/>
          </w:tcPr>
          <w:p w14:paraId="48199B66" w14:textId="77777777" w:rsidR="00722E5C" w:rsidRPr="00995A6B" w:rsidRDefault="00722E5C" w:rsidP="00722E5C">
            <w:pPr>
              <w:jc w:val="right"/>
              <w:rPr>
                <w:sz w:val="20"/>
                <w:szCs w:val="20"/>
              </w:rPr>
            </w:pPr>
            <w:r w:rsidRPr="00995A6B">
              <w:rPr>
                <w:sz w:val="20"/>
                <w:szCs w:val="20"/>
              </w:rPr>
              <w:t>5.6</w:t>
            </w:r>
          </w:p>
        </w:tc>
        <w:tc>
          <w:tcPr>
            <w:tcW w:w="1134" w:type="dxa"/>
            <w:shd w:val="clear" w:color="auto" w:fill="auto"/>
            <w:noWrap/>
            <w:vAlign w:val="center"/>
          </w:tcPr>
          <w:p w14:paraId="196B83A8" w14:textId="77777777" w:rsidR="00722E5C" w:rsidRPr="00995A6B" w:rsidRDefault="00722E5C" w:rsidP="00722E5C">
            <w:pPr>
              <w:jc w:val="right"/>
              <w:rPr>
                <w:b/>
                <w:sz w:val="20"/>
                <w:szCs w:val="20"/>
              </w:rPr>
            </w:pPr>
            <w:r w:rsidRPr="00995A6B">
              <w:rPr>
                <w:b/>
                <w:sz w:val="20"/>
                <w:szCs w:val="20"/>
              </w:rPr>
              <w:t>3.9</w:t>
            </w:r>
          </w:p>
        </w:tc>
        <w:tc>
          <w:tcPr>
            <w:tcW w:w="1359" w:type="dxa"/>
            <w:shd w:val="clear" w:color="auto" w:fill="auto"/>
            <w:noWrap/>
            <w:vAlign w:val="center"/>
          </w:tcPr>
          <w:p w14:paraId="4CA67136" w14:textId="77777777" w:rsidR="00722E5C" w:rsidRPr="00995A6B" w:rsidRDefault="00722E5C" w:rsidP="00722E5C">
            <w:pPr>
              <w:jc w:val="right"/>
              <w:rPr>
                <w:sz w:val="20"/>
                <w:szCs w:val="20"/>
              </w:rPr>
            </w:pPr>
            <w:r w:rsidRPr="00995A6B">
              <w:rPr>
                <w:sz w:val="20"/>
                <w:szCs w:val="20"/>
              </w:rPr>
              <w:t>42.0</w:t>
            </w:r>
          </w:p>
        </w:tc>
      </w:tr>
      <w:tr w:rsidR="00722E5C" w:rsidRPr="005941C0" w14:paraId="6452C74A" w14:textId="77777777" w:rsidTr="00440578">
        <w:trPr>
          <w:trHeight w:val="251"/>
          <w:jc w:val="center"/>
        </w:trPr>
        <w:tc>
          <w:tcPr>
            <w:tcW w:w="1843" w:type="dxa"/>
            <w:shd w:val="clear" w:color="auto" w:fill="auto"/>
            <w:noWrap/>
            <w:vAlign w:val="center"/>
          </w:tcPr>
          <w:p w14:paraId="6FA69D20" w14:textId="77777777" w:rsidR="00722E5C" w:rsidRPr="00995A6B" w:rsidRDefault="00722E5C" w:rsidP="00722E5C">
            <w:pPr>
              <w:rPr>
                <w:sz w:val="20"/>
                <w:szCs w:val="20"/>
              </w:rPr>
            </w:pPr>
            <w:r w:rsidRPr="00995A6B">
              <w:rPr>
                <w:sz w:val="20"/>
                <w:szCs w:val="20"/>
              </w:rPr>
              <w:t>Packet Tea</w:t>
            </w:r>
          </w:p>
        </w:tc>
        <w:tc>
          <w:tcPr>
            <w:tcW w:w="1527" w:type="dxa"/>
            <w:shd w:val="clear" w:color="auto" w:fill="auto"/>
            <w:noWrap/>
            <w:vAlign w:val="center"/>
          </w:tcPr>
          <w:p w14:paraId="65E6D01B" w14:textId="77777777" w:rsidR="00722E5C" w:rsidRPr="00995A6B" w:rsidRDefault="00722E5C" w:rsidP="00722E5C">
            <w:pPr>
              <w:rPr>
                <w:sz w:val="20"/>
                <w:szCs w:val="20"/>
              </w:rPr>
            </w:pPr>
            <w:r w:rsidRPr="00995A6B">
              <w:rPr>
                <w:sz w:val="20"/>
                <w:szCs w:val="20"/>
              </w:rPr>
              <w:t>P.G.Tips</w:t>
            </w:r>
          </w:p>
        </w:tc>
        <w:tc>
          <w:tcPr>
            <w:tcW w:w="861" w:type="dxa"/>
            <w:shd w:val="clear" w:color="auto" w:fill="auto"/>
            <w:noWrap/>
            <w:vAlign w:val="center"/>
          </w:tcPr>
          <w:p w14:paraId="62CA82D5" w14:textId="77777777" w:rsidR="00722E5C" w:rsidRPr="00995A6B" w:rsidRDefault="00722E5C" w:rsidP="00722E5C">
            <w:pPr>
              <w:jc w:val="right"/>
              <w:rPr>
                <w:sz w:val="20"/>
                <w:szCs w:val="20"/>
              </w:rPr>
            </w:pPr>
            <w:r w:rsidRPr="00995A6B">
              <w:rPr>
                <w:sz w:val="20"/>
                <w:szCs w:val="20"/>
              </w:rPr>
              <w:t>20</w:t>
            </w:r>
          </w:p>
        </w:tc>
        <w:tc>
          <w:tcPr>
            <w:tcW w:w="845" w:type="dxa"/>
            <w:shd w:val="clear" w:color="auto" w:fill="auto"/>
            <w:noWrap/>
            <w:vAlign w:val="center"/>
          </w:tcPr>
          <w:p w14:paraId="0E0A1C38" w14:textId="77777777" w:rsidR="00722E5C" w:rsidRPr="00995A6B" w:rsidRDefault="00722E5C" w:rsidP="00722E5C">
            <w:pPr>
              <w:jc w:val="right"/>
              <w:rPr>
                <w:sz w:val="20"/>
                <w:szCs w:val="20"/>
              </w:rPr>
            </w:pPr>
            <w:r w:rsidRPr="00995A6B">
              <w:rPr>
                <w:sz w:val="20"/>
                <w:szCs w:val="20"/>
              </w:rPr>
              <w:t>2</w:t>
            </w:r>
          </w:p>
        </w:tc>
        <w:tc>
          <w:tcPr>
            <w:tcW w:w="1173" w:type="dxa"/>
            <w:shd w:val="clear" w:color="auto" w:fill="auto"/>
            <w:noWrap/>
            <w:vAlign w:val="center"/>
          </w:tcPr>
          <w:p w14:paraId="34E946F8" w14:textId="77777777" w:rsidR="00722E5C" w:rsidRPr="00995A6B" w:rsidRDefault="00722E5C" w:rsidP="00722E5C">
            <w:pPr>
              <w:jc w:val="right"/>
              <w:rPr>
                <w:sz w:val="20"/>
                <w:szCs w:val="20"/>
              </w:rPr>
            </w:pPr>
            <w:r w:rsidRPr="00995A6B">
              <w:rPr>
                <w:sz w:val="20"/>
                <w:szCs w:val="20"/>
              </w:rPr>
              <w:t>5.4</w:t>
            </w:r>
          </w:p>
        </w:tc>
        <w:tc>
          <w:tcPr>
            <w:tcW w:w="1134" w:type="dxa"/>
            <w:shd w:val="clear" w:color="auto" w:fill="auto"/>
            <w:noWrap/>
            <w:vAlign w:val="center"/>
          </w:tcPr>
          <w:p w14:paraId="74545B87" w14:textId="77777777" w:rsidR="00722E5C" w:rsidRPr="00995A6B" w:rsidRDefault="00722E5C" w:rsidP="00722E5C">
            <w:pPr>
              <w:jc w:val="right"/>
              <w:rPr>
                <w:b/>
                <w:sz w:val="20"/>
                <w:szCs w:val="20"/>
              </w:rPr>
            </w:pPr>
            <w:r w:rsidRPr="00995A6B">
              <w:rPr>
                <w:b/>
                <w:sz w:val="20"/>
                <w:szCs w:val="20"/>
              </w:rPr>
              <w:t>4.4</w:t>
            </w:r>
          </w:p>
        </w:tc>
        <w:tc>
          <w:tcPr>
            <w:tcW w:w="1359" w:type="dxa"/>
            <w:shd w:val="clear" w:color="auto" w:fill="auto"/>
            <w:noWrap/>
            <w:vAlign w:val="center"/>
          </w:tcPr>
          <w:p w14:paraId="6348362A" w14:textId="77777777" w:rsidR="00722E5C" w:rsidRPr="00995A6B" w:rsidRDefault="00722E5C" w:rsidP="00722E5C">
            <w:pPr>
              <w:jc w:val="right"/>
              <w:rPr>
                <w:sz w:val="20"/>
                <w:szCs w:val="20"/>
              </w:rPr>
            </w:pPr>
            <w:r w:rsidRPr="00995A6B">
              <w:rPr>
                <w:sz w:val="20"/>
                <w:szCs w:val="20"/>
              </w:rPr>
              <w:t>23.5</w:t>
            </w:r>
          </w:p>
        </w:tc>
      </w:tr>
      <w:tr w:rsidR="00722E5C" w:rsidRPr="00D07677" w14:paraId="09B7D3D4" w14:textId="77777777" w:rsidTr="00440578">
        <w:trPr>
          <w:trHeight w:val="240"/>
          <w:jc w:val="center"/>
        </w:trPr>
        <w:tc>
          <w:tcPr>
            <w:tcW w:w="1843" w:type="dxa"/>
            <w:shd w:val="clear" w:color="auto" w:fill="auto"/>
            <w:noWrap/>
            <w:vAlign w:val="center"/>
          </w:tcPr>
          <w:p w14:paraId="56B46083" w14:textId="77777777" w:rsidR="00722E5C" w:rsidRPr="00995A6B" w:rsidRDefault="00722E5C" w:rsidP="00722E5C">
            <w:pPr>
              <w:spacing w:before="60" w:after="60"/>
              <w:rPr>
                <w:b/>
                <w:sz w:val="20"/>
                <w:szCs w:val="20"/>
              </w:rPr>
            </w:pPr>
          </w:p>
        </w:tc>
        <w:tc>
          <w:tcPr>
            <w:tcW w:w="1527" w:type="dxa"/>
            <w:shd w:val="clear" w:color="auto" w:fill="auto"/>
            <w:noWrap/>
            <w:vAlign w:val="center"/>
          </w:tcPr>
          <w:p w14:paraId="60E75A61" w14:textId="77777777" w:rsidR="00722E5C" w:rsidRPr="00995A6B" w:rsidRDefault="00722E5C" w:rsidP="00722E5C">
            <w:pPr>
              <w:spacing w:before="60" w:after="60"/>
              <w:rPr>
                <w:b/>
                <w:sz w:val="20"/>
                <w:szCs w:val="20"/>
              </w:rPr>
            </w:pPr>
          </w:p>
        </w:tc>
        <w:tc>
          <w:tcPr>
            <w:tcW w:w="861" w:type="dxa"/>
            <w:shd w:val="clear" w:color="auto" w:fill="auto"/>
            <w:noWrap/>
            <w:vAlign w:val="center"/>
          </w:tcPr>
          <w:p w14:paraId="26831E72" w14:textId="77777777" w:rsidR="00722E5C" w:rsidRPr="00995A6B" w:rsidRDefault="00722E5C" w:rsidP="00722E5C">
            <w:pPr>
              <w:tabs>
                <w:tab w:val="decimal" w:pos="459"/>
              </w:tabs>
              <w:spacing w:before="60" w:after="60"/>
              <w:jc w:val="right"/>
              <w:rPr>
                <w:b/>
                <w:sz w:val="20"/>
                <w:szCs w:val="20"/>
              </w:rPr>
            </w:pPr>
          </w:p>
        </w:tc>
        <w:tc>
          <w:tcPr>
            <w:tcW w:w="845" w:type="dxa"/>
            <w:shd w:val="clear" w:color="auto" w:fill="auto"/>
            <w:noWrap/>
            <w:vAlign w:val="center"/>
          </w:tcPr>
          <w:p w14:paraId="0F33C1C6" w14:textId="77777777" w:rsidR="00722E5C" w:rsidRPr="00995A6B" w:rsidRDefault="00722E5C" w:rsidP="00722E5C">
            <w:pPr>
              <w:tabs>
                <w:tab w:val="decimal" w:pos="459"/>
              </w:tabs>
              <w:spacing w:before="60" w:after="60"/>
              <w:jc w:val="right"/>
              <w:rPr>
                <w:b/>
                <w:sz w:val="20"/>
                <w:szCs w:val="20"/>
              </w:rPr>
            </w:pPr>
          </w:p>
        </w:tc>
        <w:tc>
          <w:tcPr>
            <w:tcW w:w="1173" w:type="dxa"/>
            <w:shd w:val="clear" w:color="auto" w:fill="auto"/>
            <w:noWrap/>
            <w:vAlign w:val="center"/>
          </w:tcPr>
          <w:p w14:paraId="4F9D91E9" w14:textId="77777777" w:rsidR="00722E5C" w:rsidRPr="00995A6B" w:rsidRDefault="00722E5C" w:rsidP="00722E5C">
            <w:pPr>
              <w:tabs>
                <w:tab w:val="decimal" w:pos="459"/>
              </w:tabs>
              <w:spacing w:before="60" w:after="60"/>
              <w:jc w:val="right"/>
              <w:rPr>
                <w:b/>
                <w:sz w:val="20"/>
                <w:szCs w:val="20"/>
              </w:rPr>
            </w:pPr>
          </w:p>
        </w:tc>
        <w:tc>
          <w:tcPr>
            <w:tcW w:w="1134" w:type="dxa"/>
            <w:shd w:val="clear" w:color="auto" w:fill="auto"/>
            <w:noWrap/>
            <w:vAlign w:val="center"/>
          </w:tcPr>
          <w:p w14:paraId="6AF36E56" w14:textId="77777777" w:rsidR="00722E5C" w:rsidRPr="00995A6B" w:rsidRDefault="00722E5C" w:rsidP="00722E5C">
            <w:pPr>
              <w:tabs>
                <w:tab w:val="decimal" w:pos="459"/>
              </w:tabs>
              <w:spacing w:before="60" w:after="60"/>
              <w:jc w:val="right"/>
              <w:rPr>
                <w:b/>
                <w:sz w:val="20"/>
                <w:szCs w:val="20"/>
              </w:rPr>
            </w:pPr>
          </w:p>
        </w:tc>
        <w:tc>
          <w:tcPr>
            <w:tcW w:w="1359" w:type="dxa"/>
            <w:shd w:val="clear" w:color="auto" w:fill="auto"/>
            <w:noWrap/>
            <w:vAlign w:val="center"/>
          </w:tcPr>
          <w:p w14:paraId="17DCB927" w14:textId="77777777" w:rsidR="00722E5C" w:rsidRPr="00995A6B" w:rsidRDefault="00722E5C" w:rsidP="00722E5C">
            <w:pPr>
              <w:tabs>
                <w:tab w:val="decimal" w:pos="600"/>
              </w:tabs>
              <w:spacing w:before="60" w:after="60"/>
              <w:jc w:val="right"/>
              <w:rPr>
                <w:b/>
                <w:sz w:val="20"/>
                <w:szCs w:val="20"/>
              </w:rPr>
            </w:pPr>
          </w:p>
        </w:tc>
      </w:tr>
      <w:tr w:rsidR="00722E5C" w:rsidRPr="00D07677" w14:paraId="1D187D1C" w14:textId="77777777" w:rsidTr="00440578">
        <w:trPr>
          <w:trHeight w:val="240"/>
          <w:jc w:val="center"/>
        </w:trPr>
        <w:tc>
          <w:tcPr>
            <w:tcW w:w="1843" w:type="dxa"/>
            <w:tcBorders>
              <w:bottom w:val="single" w:sz="4" w:space="0" w:color="auto"/>
            </w:tcBorders>
            <w:shd w:val="clear" w:color="auto" w:fill="auto"/>
            <w:noWrap/>
            <w:vAlign w:val="center"/>
          </w:tcPr>
          <w:p w14:paraId="6C462A81" w14:textId="77777777" w:rsidR="00722E5C" w:rsidRPr="00995A6B" w:rsidRDefault="00722E5C" w:rsidP="00722E5C">
            <w:pPr>
              <w:spacing w:before="60" w:after="60"/>
              <w:rPr>
                <w:b/>
                <w:sz w:val="20"/>
                <w:szCs w:val="20"/>
              </w:rPr>
            </w:pPr>
            <w:r w:rsidRPr="00995A6B">
              <w:rPr>
                <w:b/>
                <w:sz w:val="20"/>
                <w:szCs w:val="20"/>
              </w:rPr>
              <w:t>Average</w:t>
            </w:r>
          </w:p>
        </w:tc>
        <w:tc>
          <w:tcPr>
            <w:tcW w:w="1527" w:type="dxa"/>
            <w:tcBorders>
              <w:bottom w:val="single" w:sz="4" w:space="0" w:color="auto"/>
            </w:tcBorders>
            <w:shd w:val="clear" w:color="auto" w:fill="auto"/>
            <w:noWrap/>
            <w:vAlign w:val="center"/>
          </w:tcPr>
          <w:p w14:paraId="5AD9836F" w14:textId="77777777" w:rsidR="00722E5C" w:rsidRPr="00995A6B" w:rsidRDefault="00722E5C" w:rsidP="00722E5C">
            <w:pPr>
              <w:spacing w:before="60" w:after="60"/>
              <w:rPr>
                <w:b/>
                <w:sz w:val="20"/>
                <w:szCs w:val="20"/>
              </w:rPr>
            </w:pPr>
          </w:p>
        </w:tc>
        <w:tc>
          <w:tcPr>
            <w:tcW w:w="861" w:type="dxa"/>
            <w:tcBorders>
              <w:bottom w:val="single" w:sz="4" w:space="0" w:color="auto"/>
            </w:tcBorders>
            <w:shd w:val="clear" w:color="auto" w:fill="auto"/>
            <w:noWrap/>
            <w:vAlign w:val="center"/>
          </w:tcPr>
          <w:p w14:paraId="65941ACE" w14:textId="77777777" w:rsidR="00722E5C" w:rsidRPr="00995A6B" w:rsidRDefault="00722E5C" w:rsidP="00722E5C">
            <w:pPr>
              <w:tabs>
                <w:tab w:val="decimal" w:pos="459"/>
              </w:tabs>
              <w:spacing w:before="60" w:after="60"/>
              <w:jc w:val="right"/>
              <w:rPr>
                <w:b/>
                <w:sz w:val="20"/>
                <w:szCs w:val="20"/>
              </w:rPr>
            </w:pPr>
            <w:r w:rsidRPr="00995A6B">
              <w:rPr>
                <w:b/>
                <w:sz w:val="20"/>
                <w:szCs w:val="20"/>
              </w:rPr>
              <w:fldChar w:fldCharType="begin"/>
            </w:r>
            <w:r w:rsidRPr="00995A6B">
              <w:rPr>
                <w:b/>
                <w:sz w:val="20"/>
                <w:szCs w:val="20"/>
              </w:rPr>
              <w:instrText xml:space="preserve"> =AVERAGE(above) \# "0" </w:instrText>
            </w:r>
            <w:r w:rsidRPr="00995A6B">
              <w:rPr>
                <w:b/>
                <w:sz w:val="20"/>
                <w:szCs w:val="20"/>
              </w:rPr>
              <w:fldChar w:fldCharType="separate"/>
            </w:r>
            <w:r>
              <w:rPr>
                <w:b/>
                <w:noProof/>
                <w:sz w:val="20"/>
                <w:szCs w:val="20"/>
              </w:rPr>
              <w:t>24</w:t>
            </w:r>
            <w:r w:rsidRPr="00995A6B">
              <w:rPr>
                <w:b/>
                <w:sz w:val="20"/>
                <w:szCs w:val="20"/>
              </w:rPr>
              <w:fldChar w:fldCharType="end"/>
            </w:r>
          </w:p>
        </w:tc>
        <w:tc>
          <w:tcPr>
            <w:tcW w:w="845" w:type="dxa"/>
            <w:tcBorders>
              <w:bottom w:val="single" w:sz="4" w:space="0" w:color="auto"/>
            </w:tcBorders>
            <w:shd w:val="clear" w:color="auto" w:fill="auto"/>
            <w:noWrap/>
            <w:vAlign w:val="center"/>
          </w:tcPr>
          <w:p w14:paraId="7DD536BC" w14:textId="77777777" w:rsidR="00722E5C" w:rsidRPr="00995A6B" w:rsidRDefault="00722E5C" w:rsidP="00722E5C">
            <w:pPr>
              <w:tabs>
                <w:tab w:val="decimal" w:pos="459"/>
              </w:tabs>
              <w:spacing w:before="60" w:after="60"/>
              <w:jc w:val="right"/>
              <w:rPr>
                <w:b/>
                <w:sz w:val="20"/>
                <w:szCs w:val="20"/>
              </w:rPr>
            </w:pPr>
            <w:r w:rsidRPr="00995A6B">
              <w:rPr>
                <w:b/>
                <w:sz w:val="20"/>
                <w:szCs w:val="20"/>
              </w:rPr>
              <w:fldChar w:fldCharType="begin"/>
            </w:r>
            <w:r w:rsidRPr="00995A6B">
              <w:rPr>
                <w:b/>
                <w:sz w:val="20"/>
                <w:szCs w:val="20"/>
              </w:rPr>
              <w:instrText xml:space="preserve"> =AVERAGE(above) \# "0" </w:instrText>
            </w:r>
            <w:r w:rsidRPr="00995A6B">
              <w:rPr>
                <w:b/>
                <w:sz w:val="20"/>
                <w:szCs w:val="20"/>
              </w:rPr>
              <w:fldChar w:fldCharType="separate"/>
            </w:r>
            <w:r>
              <w:rPr>
                <w:b/>
                <w:noProof/>
                <w:sz w:val="20"/>
                <w:szCs w:val="20"/>
              </w:rPr>
              <w:t>27</w:t>
            </w:r>
            <w:r w:rsidRPr="00995A6B">
              <w:rPr>
                <w:b/>
                <w:sz w:val="20"/>
                <w:szCs w:val="20"/>
              </w:rPr>
              <w:fldChar w:fldCharType="end"/>
            </w:r>
          </w:p>
        </w:tc>
        <w:tc>
          <w:tcPr>
            <w:tcW w:w="1173" w:type="dxa"/>
            <w:tcBorders>
              <w:bottom w:val="single" w:sz="4" w:space="0" w:color="auto"/>
            </w:tcBorders>
            <w:shd w:val="clear" w:color="auto" w:fill="auto"/>
            <w:noWrap/>
            <w:vAlign w:val="center"/>
          </w:tcPr>
          <w:p w14:paraId="77A1CBB2" w14:textId="77777777" w:rsidR="00722E5C" w:rsidRPr="00995A6B" w:rsidRDefault="00722E5C" w:rsidP="00722E5C">
            <w:pPr>
              <w:tabs>
                <w:tab w:val="decimal" w:pos="459"/>
              </w:tabs>
              <w:spacing w:before="60" w:after="60"/>
              <w:jc w:val="right"/>
              <w:rPr>
                <w:b/>
                <w:sz w:val="20"/>
                <w:szCs w:val="20"/>
              </w:rPr>
            </w:pPr>
            <w:r w:rsidRPr="00995A6B">
              <w:rPr>
                <w:b/>
                <w:sz w:val="20"/>
                <w:szCs w:val="20"/>
              </w:rPr>
              <w:fldChar w:fldCharType="begin"/>
            </w:r>
            <w:r w:rsidRPr="00995A6B">
              <w:rPr>
                <w:b/>
                <w:sz w:val="20"/>
                <w:szCs w:val="20"/>
              </w:rPr>
              <w:instrText xml:space="preserve"> =AVERAGE(above) \# "0.0" </w:instrText>
            </w:r>
            <w:r w:rsidRPr="00995A6B">
              <w:rPr>
                <w:b/>
                <w:sz w:val="20"/>
                <w:szCs w:val="20"/>
              </w:rPr>
              <w:fldChar w:fldCharType="separate"/>
            </w:r>
            <w:r>
              <w:rPr>
                <w:b/>
                <w:noProof/>
                <w:sz w:val="20"/>
                <w:szCs w:val="20"/>
              </w:rPr>
              <w:t>5.9</w:t>
            </w:r>
            <w:r w:rsidRPr="00995A6B">
              <w:rPr>
                <w:b/>
                <w:sz w:val="20"/>
                <w:szCs w:val="20"/>
              </w:rPr>
              <w:fldChar w:fldCharType="end"/>
            </w:r>
          </w:p>
        </w:tc>
        <w:tc>
          <w:tcPr>
            <w:tcW w:w="1134" w:type="dxa"/>
            <w:tcBorders>
              <w:bottom w:val="single" w:sz="4" w:space="0" w:color="auto"/>
            </w:tcBorders>
            <w:shd w:val="clear" w:color="auto" w:fill="auto"/>
            <w:noWrap/>
            <w:vAlign w:val="center"/>
          </w:tcPr>
          <w:p w14:paraId="1510602E" w14:textId="77777777" w:rsidR="00722E5C" w:rsidRPr="00995A6B" w:rsidRDefault="00722E5C" w:rsidP="00722E5C">
            <w:pPr>
              <w:tabs>
                <w:tab w:val="decimal" w:pos="459"/>
              </w:tabs>
              <w:spacing w:before="60" w:after="60"/>
              <w:jc w:val="right"/>
              <w:rPr>
                <w:b/>
                <w:sz w:val="20"/>
                <w:szCs w:val="20"/>
              </w:rPr>
            </w:pPr>
            <w:r w:rsidRPr="00995A6B">
              <w:rPr>
                <w:b/>
                <w:sz w:val="20"/>
                <w:szCs w:val="20"/>
              </w:rPr>
              <w:fldChar w:fldCharType="begin"/>
            </w:r>
            <w:r w:rsidRPr="00995A6B">
              <w:rPr>
                <w:b/>
                <w:sz w:val="20"/>
                <w:szCs w:val="20"/>
              </w:rPr>
              <w:instrText xml:space="preserve"> =AVERAGE(above) \# "0.0" </w:instrText>
            </w:r>
            <w:r w:rsidRPr="00995A6B">
              <w:rPr>
                <w:b/>
                <w:sz w:val="20"/>
                <w:szCs w:val="20"/>
              </w:rPr>
              <w:fldChar w:fldCharType="separate"/>
            </w:r>
            <w:r>
              <w:rPr>
                <w:b/>
                <w:noProof/>
                <w:sz w:val="20"/>
                <w:szCs w:val="20"/>
              </w:rPr>
              <w:t>5.1</w:t>
            </w:r>
            <w:r w:rsidRPr="00995A6B">
              <w:rPr>
                <w:b/>
                <w:sz w:val="20"/>
                <w:szCs w:val="20"/>
              </w:rPr>
              <w:fldChar w:fldCharType="end"/>
            </w:r>
          </w:p>
        </w:tc>
        <w:tc>
          <w:tcPr>
            <w:tcW w:w="1359" w:type="dxa"/>
            <w:tcBorders>
              <w:bottom w:val="single" w:sz="4" w:space="0" w:color="auto"/>
            </w:tcBorders>
            <w:shd w:val="clear" w:color="auto" w:fill="auto"/>
            <w:noWrap/>
            <w:vAlign w:val="center"/>
          </w:tcPr>
          <w:p w14:paraId="30468992" w14:textId="77777777" w:rsidR="00722E5C" w:rsidRPr="00995A6B" w:rsidRDefault="00722E5C" w:rsidP="00722E5C">
            <w:pPr>
              <w:tabs>
                <w:tab w:val="decimal" w:pos="600"/>
              </w:tabs>
              <w:spacing w:before="60" w:after="60"/>
              <w:jc w:val="right"/>
              <w:rPr>
                <w:b/>
                <w:sz w:val="20"/>
                <w:szCs w:val="20"/>
              </w:rPr>
            </w:pPr>
            <w:r w:rsidRPr="00995A6B">
              <w:rPr>
                <w:b/>
                <w:sz w:val="20"/>
                <w:szCs w:val="20"/>
              </w:rPr>
              <w:fldChar w:fldCharType="begin"/>
            </w:r>
            <w:r w:rsidRPr="00995A6B">
              <w:rPr>
                <w:b/>
                <w:sz w:val="20"/>
                <w:szCs w:val="20"/>
              </w:rPr>
              <w:instrText xml:space="preserve"> =AVERAGE(above) \# "0" </w:instrText>
            </w:r>
            <w:r w:rsidRPr="00995A6B">
              <w:rPr>
                <w:b/>
                <w:sz w:val="20"/>
                <w:szCs w:val="20"/>
              </w:rPr>
              <w:fldChar w:fldCharType="separate"/>
            </w:r>
            <w:r>
              <w:rPr>
                <w:b/>
                <w:noProof/>
                <w:sz w:val="20"/>
                <w:szCs w:val="20"/>
              </w:rPr>
              <w:t>15</w:t>
            </w:r>
            <w:r w:rsidRPr="00995A6B">
              <w:rPr>
                <w:b/>
                <w:sz w:val="20"/>
                <w:szCs w:val="20"/>
              </w:rPr>
              <w:fldChar w:fldCharType="end"/>
            </w:r>
          </w:p>
        </w:tc>
      </w:tr>
    </w:tbl>
    <w:p w14:paraId="4F845132" w14:textId="77777777" w:rsidR="00722E5C" w:rsidRPr="00722E5C" w:rsidRDefault="00722E5C" w:rsidP="00722E5C">
      <w:pPr>
        <w:spacing w:before="120"/>
        <w:jc w:val="center"/>
        <w:rPr>
          <w:rFonts w:cs="Arial"/>
          <w:sz w:val="18"/>
          <w:szCs w:val="18"/>
        </w:rPr>
      </w:pPr>
      <w:r w:rsidRPr="00491D4A">
        <w:rPr>
          <w:rFonts w:cs="Arial"/>
          <w:i/>
          <w:sz w:val="18"/>
          <w:szCs w:val="18"/>
        </w:rPr>
        <w:t>Kantar Worldpanel: 52 weeks to Jan 2005.</w:t>
      </w:r>
      <w:r>
        <w:rPr>
          <w:rFonts w:cs="Arial"/>
          <w:i/>
          <w:sz w:val="18"/>
          <w:szCs w:val="18"/>
        </w:rPr>
        <w:t xml:space="preserve"> </w:t>
      </w:r>
    </w:p>
    <w:p w14:paraId="222BC395" w14:textId="77777777" w:rsidR="00722E5C" w:rsidRDefault="00722E5C" w:rsidP="00722E5C">
      <w:pPr>
        <w:jc w:val="center"/>
        <w:rPr>
          <w:rFonts w:cs="Arial"/>
        </w:rPr>
      </w:pPr>
    </w:p>
    <w:p w14:paraId="03FAEB7F" w14:textId="77777777" w:rsidR="00722E5C" w:rsidRDefault="00722E5C" w:rsidP="00722E5C">
      <w:pPr>
        <w:jc w:val="center"/>
        <w:rPr>
          <w:rFonts w:cs="Arial"/>
        </w:rPr>
      </w:pPr>
    </w:p>
    <w:p w14:paraId="4C291BBC" w14:textId="77777777" w:rsidR="00722E5C" w:rsidRDefault="00722E5C" w:rsidP="00722E5C">
      <w:pPr>
        <w:jc w:val="center"/>
        <w:rPr>
          <w:rFonts w:cs="Arial"/>
        </w:rPr>
      </w:pPr>
    </w:p>
    <w:p w14:paraId="6019E8C4" w14:textId="0EFFDA70" w:rsidR="00722E5C" w:rsidRPr="00554898" w:rsidRDefault="00722E5C" w:rsidP="00722E5C">
      <w:pPr>
        <w:spacing w:after="120" w:line="480" w:lineRule="auto"/>
        <w:jc w:val="center"/>
        <w:rPr>
          <w:i/>
        </w:rPr>
      </w:pPr>
      <w:r>
        <w:rPr>
          <w:b/>
        </w:rPr>
        <w:t>Table</w:t>
      </w:r>
      <w:r w:rsidRPr="00554898">
        <w:rPr>
          <w:b/>
        </w:rPr>
        <w:t xml:space="preserve"> </w:t>
      </w:r>
      <w:r w:rsidR="001B79A6">
        <w:rPr>
          <w:b/>
        </w:rPr>
        <w:t>6</w:t>
      </w:r>
      <w:r>
        <w:rPr>
          <w:b/>
        </w:rPr>
        <w:t>.</w:t>
      </w:r>
      <w:r w:rsidRPr="00554898">
        <w:rPr>
          <w:b/>
        </w:rPr>
        <w:t xml:space="preserve"> Deviations due to </w:t>
      </w:r>
      <w:r>
        <w:rPr>
          <w:b/>
        </w:rPr>
        <w:t>r</w:t>
      </w:r>
      <w:r w:rsidRPr="00554898">
        <w:rPr>
          <w:b/>
        </w:rPr>
        <w:t xml:space="preserve">estricted </w:t>
      </w:r>
      <w:r>
        <w:rPr>
          <w:b/>
        </w:rPr>
        <w:t>a</w:t>
      </w:r>
      <w:r w:rsidRPr="00554898">
        <w:rPr>
          <w:b/>
        </w:rPr>
        <w:t>vailability</w:t>
      </w:r>
    </w:p>
    <w:tbl>
      <w:tblPr>
        <w:tblW w:w="7404" w:type="dxa"/>
        <w:jc w:val="center"/>
        <w:tblBorders>
          <w:top w:val="single" w:sz="4" w:space="0" w:color="auto"/>
          <w:bottom w:val="single" w:sz="4" w:space="0" w:color="auto"/>
        </w:tblBorders>
        <w:tblLayout w:type="fixed"/>
        <w:tblLook w:val="0000" w:firstRow="0" w:lastRow="0" w:firstColumn="0" w:lastColumn="0" w:noHBand="0" w:noVBand="0"/>
      </w:tblPr>
      <w:tblGrid>
        <w:gridCol w:w="2110"/>
        <w:gridCol w:w="1559"/>
        <w:gridCol w:w="992"/>
        <w:gridCol w:w="709"/>
        <w:gridCol w:w="567"/>
        <w:gridCol w:w="758"/>
        <w:gridCol w:w="709"/>
      </w:tblGrid>
      <w:tr w:rsidR="00722E5C" w:rsidRPr="00D07677" w14:paraId="7E7DC4E9" w14:textId="77777777" w:rsidTr="00440578">
        <w:trPr>
          <w:trHeight w:val="240"/>
          <w:jc w:val="center"/>
        </w:trPr>
        <w:tc>
          <w:tcPr>
            <w:tcW w:w="2110" w:type="dxa"/>
            <w:tcBorders>
              <w:top w:val="single" w:sz="4" w:space="0" w:color="auto"/>
              <w:bottom w:val="nil"/>
            </w:tcBorders>
            <w:shd w:val="clear" w:color="auto" w:fill="auto"/>
            <w:noWrap/>
            <w:vAlign w:val="bottom"/>
          </w:tcPr>
          <w:p w14:paraId="5D038F80" w14:textId="77777777" w:rsidR="00722E5C" w:rsidRPr="00554898" w:rsidRDefault="00722E5C" w:rsidP="00722E5C">
            <w:pPr>
              <w:spacing w:after="120"/>
              <w:rPr>
                <w:sz w:val="20"/>
                <w:szCs w:val="20"/>
              </w:rPr>
            </w:pPr>
            <w:r w:rsidRPr="00554898">
              <w:rPr>
                <w:sz w:val="20"/>
                <w:szCs w:val="20"/>
              </w:rPr>
              <w:t>Category</w:t>
            </w:r>
          </w:p>
        </w:tc>
        <w:tc>
          <w:tcPr>
            <w:tcW w:w="1559" w:type="dxa"/>
            <w:tcBorders>
              <w:top w:val="single" w:sz="4" w:space="0" w:color="auto"/>
              <w:bottom w:val="nil"/>
            </w:tcBorders>
            <w:shd w:val="clear" w:color="auto" w:fill="auto"/>
            <w:noWrap/>
            <w:vAlign w:val="bottom"/>
          </w:tcPr>
          <w:p w14:paraId="6CA51BB5" w14:textId="77777777" w:rsidR="00722E5C" w:rsidRPr="00554898" w:rsidRDefault="00722E5C" w:rsidP="00722E5C">
            <w:pPr>
              <w:spacing w:after="120"/>
              <w:rPr>
                <w:sz w:val="20"/>
                <w:szCs w:val="20"/>
              </w:rPr>
            </w:pPr>
            <w:r w:rsidRPr="00554898">
              <w:rPr>
                <w:sz w:val="20"/>
                <w:szCs w:val="20"/>
              </w:rPr>
              <w:t xml:space="preserve">Brand </w:t>
            </w:r>
          </w:p>
        </w:tc>
        <w:tc>
          <w:tcPr>
            <w:tcW w:w="992" w:type="dxa"/>
            <w:vMerge w:val="restart"/>
            <w:tcBorders>
              <w:top w:val="single" w:sz="4" w:space="0" w:color="auto"/>
              <w:bottom w:val="nil"/>
            </w:tcBorders>
            <w:shd w:val="clear" w:color="auto" w:fill="auto"/>
            <w:noWrap/>
            <w:vAlign w:val="bottom"/>
          </w:tcPr>
          <w:p w14:paraId="1524D269" w14:textId="77777777" w:rsidR="00722E5C" w:rsidRPr="00554898" w:rsidRDefault="00722E5C" w:rsidP="00722E5C">
            <w:pPr>
              <w:spacing w:after="120"/>
              <w:jc w:val="right"/>
              <w:rPr>
                <w:sz w:val="20"/>
                <w:szCs w:val="20"/>
              </w:rPr>
            </w:pPr>
            <w:r w:rsidRPr="00554898">
              <w:rPr>
                <w:sz w:val="20"/>
                <w:szCs w:val="20"/>
              </w:rPr>
              <w:t xml:space="preserve">Market Share </w:t>
            </w:r>
          </w:p>
        </w:tc>
        <w:tc>
          <w:tcPr>
            <w:tcW w:w="1276" w:type="dxa"/>
            <w:gridSpan w:val="2"/>
            <w:vMerge w:val="restart"/>
            <w:tcBorders>
              <w:top w:val="single" w:sz="4" w:space="0" w:color="auto"/>
              <w:bottom w:val="nil"/>
            </w:tcBorders>
            <w:shd w:val="clear" w:color="auto" w:fill="auto"/>
            <w:noWrap/>
            <w:vAlign w:val="bottom"/>
          </w:tcPr>
          <w:p w14:paraId="40A8D019" w14:textId="77777777" w:rsidR="00722E5C" w:rsidRPr="00554898" w:rsidRDefault="00722E5C" w:rsidP="00722E5C">
            <w:pPr>
              <w:spacing w:after="120"/>
              <w:jc w:val="right"/>
              <w:rPr>
                <w:sz w:val="20"/>
                <w:szCs w:val="20"/>
              </w:rPr>
            </w:pPr>
            <w:r w:rsidRPr="00554898">
              <w:rPr>
                <w:sz w:val="20"/>
                <w:szCs w:val="20"/>
              </w:rPr>
              <w:t>Penetration %</w:t>
            </w:r>
          </w:p>
        </w:tc>
        <w:tc>
          <w:tcPr>
            <w:tcW w:w="1467" w:type="dxa"/>
            <w:gridSpan w:val="2"/>
            <w:vMerge w:val="restart"/>
            <w:tcBorders>
              <w:top w:val="single" w:sz="4" w:space="0" w:color="auto"/>
              <w:bottom w:val="nil"/>
            </w:tcBorders>
            <w:shd w:val="clear" w:color="auto" w:fill="auto"/>
            <w:noWrap/>
            <w:vAlign w:val="bottom"/>
          </w:tcPr>
          <w:p w14:paraId="274433A3" w14:textId="77777777" w:rsidR="00722E5C" w:rsidRPr="00554898" w:rsidRDefault="00722E5C" w:rsidP="00722E5C">
            <w:pPr>
              <w:spacing w:after="120"/>
              <w:jc w:val="right"/>
              <w:rPr>
                <w:rFonts w:ascii="Arial" w:hAnsi="Arial"/>
                <w:sz w:val="20"/>
                <w:szCs w:val="20"/>
              </w:rPr>
            </w:pPr>
            <w:r w:rsidRPr="00554898">
              <w:rPr>
                <w:sz w:val="20"/>
                <w:szCs w:val="20"/>
              </w:rPr>
              <w:t xml:space="preserve"> Purchase per buyer </w:t>
            </w:r>
          </w:p>
        </w:tc>
      </w:tr>
      <w:tr w:rsidR="00722E5C" w:rsidRPr="00D07677" w14:paraId="2776DFA1" w14:textId="77777777" w:rsidTr="00440578">
        <w:trPr>
          <w:trHeight w:val="240"/>
          <w:jc w:val="center"/>
        </w:trPr>
        <w:tc>
          <w:tcPr>
            <w:tcW w:w="2110" w:type="dxa"/>
            <w:tcBorders>
              <w:top w:val="nil"/>
              <w:bottom w:val="single" w:sz="4" w:space="0" w:color="auto"/>
            </w:tcBorders>
            <w:shd w:val="clear" w:color="auto" w:fill="auto"/>
            <w:noWrap/>
            <w:vAlign w:val="bottom"/>
          </w:tcPr>
          <w:p w14:paraId="39F81089" w14:textId="77777777" w:rsidR="00722E5C" w:rsidRPr="00D07677" w:rsidRDefault="00722E5C" w:rsidP="00722E5C">
            <w:pPr>
              <w:rPr>
                <w:rFonts w:ascii="Arial" w:hAnsi="Arial"/>
                <w:sz w:val="20"/>
                <w:szCs w:val="20"/>
              </w:rPr>
            </w:pPr>
            <w:r w:rsidRPr="00D07677">
              <w:rPr>
                <w:sz w:val="20"/>
                <w:szCs w:val="20"/>
              </w:rPr>
              <w:t> </w:t>
            </w:r>
          </w:p>
        </w:tc>
        <w:tc>
          <w:tcPr>
            <w:tcW w:w="1559" w:type="dxa"/>
            <w:tcBorders>
              <w:top w:val="nil"/>
              <w:bottom w:val="single" w:sz="4" w:space="0" w:color="auto"/>
            </w:tcBorders>
            <w:shd w:val="clear" w:color="auto" w:fill="auto"/>
            <w:noWrap/>
            <w:vAlign w:val="bottom"/>
          </w:tcPr>
          <w:p w14:paraId="7C9F3534" w14:textId="77777777" w:rsidR="00722E5C" w:rsidRPr="00D07677" w:rsidRDefault="00722E5C" w:rsidP="00722E5C">
            <w:pPr>
              <w:rPr>
                <w:rFonts w:ascii="Arial" w:hAnsi="Arial"/>
                <w:sz w:val="20"/>
                <w:szCs w:val="20"/>
              </w:rPr>
            </w:pPr>
            <w:r w:rsidRPr="00D07677">
              <w:rPr>
                <w:sz w:val="20"/>
                <w:szCs w:val="20"/>
              </w:rPr>
              <w:t> </w:t>
            </w:r>
          </w:p>
        </w:tc>
        <w:tc>
          <w:tcPr>
            <w:tcW w:w="992" w:type="dxa"/>
            <w:vMerge/>
            <w:tcBorders>
              <w:top w:val="nil"/>
              <w:bottom w:val="single" w:sz="4" w:space="0" w:color="auto"/>
            </w:tcBorders>
            <w:shd w:val="clear" w:color="auto" w:fill="auto"/>
            <w:noWrap/>
            <w:vAlign w:val="bottom"/>
          </w:tcPr>
          <w:p w14:paraId="02C8F924" w14:textId="77777777" w:rsidR="00722E5C" w:rsidRPr="00D07677" w:rsidRDefault="00722E5C" w:rsidP="00722E5C">
            <w:pPr>
              <w:jc w:val="right"/>
              <w:rPr>
                <w:b/>
                <w:sz w:val="20"/>
                <w:szCs w:val="20"/>
              </w:rPr>
            </w:pPr>
          </w:p>
        </w:tc>
        <w:tc>
          <w:tcPr>
            <w:tcW w:w="1276" w:type="dxa"/>
            <w:gridSpan w:val="2"/>
            <w:vMerge/>
            <w:tcBorders>
              <w:top w:val="nil"/>
              <w:bottom w:val="single" w:sz="4" w:space="0" w:color="auto"/>
            </w:tcBorders>
            <w:shd w:val="clear" w:color="auto" w:fill="auto"/>
            <w:noWrap/>
            <w:vAlign w:val="bottom"/>
          </w:tcPr>
          <w:p w14:paraId="730A8742" w14:textId="77777777" w:rsidR="00722E5C" w:rsidRPr="00D07677" w:rsidRDefault="00722E5C" w:rsidP="00722E5C">
            <w:pPr>
              <w:jc w:val="right"/>
              <w:rPr>
                <w:b/>
                <w:sz w:val="20"/>
                <w:szCs w:val="20"/>
              </w:rPr>
            </w:pPr>
          </w:p>
        </w:tc>
        <w:tc>
          <w:tcPr>
            <w:tcW w:w="1467" w:type="dxa"/>
            <w:gridSpan w:val="2"/>
            <w:vMerge/>
            <w:tcBorders>
              <w:top w:val="nil"/>
              <w:bottom w:val="single" w:sz="4" w:space="0" w:color="auto"/>
            </w:tcBorders>
            <w:shd w:val="clear" w:color="auto" w:fill="auto"/>
            <w:noWrap/>
            <w:vAlign w:val="bottom"/>
          </w:tcPr>
          <w:p w14:paraId="75F3DD1F" w14:textId="77777777" w:rsidR="00722E5C" w:rsidRPr="00D07677" w:rsidRDefault="00722E5C" w:rsidP="00722E5C">
            <w:pPr>
              <w:jc w:val="right"/>
              <w:rPr>
                <w:rFonts w:ascii="Arial" w:hAnsi="Arial"/>
                <w:sz w:val="20"/>
                <w:szCs w:val="20"/>
              </w:rPr>
            </w:pPr>
          </w:p>
        </w:tc>
      </w:tr>
      <w:tr w:rsidR="009528E0" w:rsidRPr="00D07677" w14:paraId="5CA0164A" w14:textId="77777777" w:rsidTr="00440578">
        <w:trPr>
          <w:trHeight w:val="240"/>
          <w:jc w:val="center"/>
        </w:trPr>
        <w:tc>
          <w:tcPr>
            <w:tcW w:w="2110" w:type="dxa"/>
            <w:tcBorders>
              <w:top w:val="single" w:sz="4" w:space="0" w:color="auto"/>
            </w:tcBorders>
            <w:shd w:val="clear" w:color="auto" w:fill="auto"/>
            <w:noWrap/>
            <w:vAlign w:val="bottom"/>
          </w:tcPr>
          <w:p w14:paraId="166DF696" w14:textId="77777777" w:rsidR="00722E5C" w:rsidRPr="00D07677" w:rsidRDefault="00722E5C" w:rsidP="00722E5C">
            <w:pPr>
              <w:rPr>
                <w:rFonts w:ascii="Arial" w:hAnsi="Arial"/>
                <w:sz w:val="20"/>
                <w:szCs w:val="20"/>
              </w:rPr>
            </w:pPr>
            <w:r w:rsidRPr="00D07677">
              <w:rPr>
                <w:sz w:val="20"/>
                <w:szCs w:val="20"/>
              </w:rPr>
              <w:t> </w:t>
            </w:r>
          </w:p>
        </w:tc>
        <w:tc>
          <w:tcPr>
            <w:tcW w:w="1559" w:type="dxa"/>
            <w:tcBorders>
              <w:top w:val="single" w:sz="4" w:space="0" w:color="auto"/>
            </w:tcBorders>
            <w:shd w:val="clear" w:color="auto" w:fill="auto"/>
            <w:noWrap/>
            <w:vAlign w:val="bottom"/>
          </w:tcPr>
          <w:p w14:paraId="13999CD4" w14:textId="77777777" w:rsidR="00722E5C" w:rsidRPr="00D07677" w:rsidRDefault="00722E5C" w:rsidP="00722E5C">
            <w:pPr>
              <w:rPr>
                <w:rFonts w:ascii="Arial" w:hAnsi="Arial"/>
                <w:sz w:val="20"/>
                <w:szCs w:val="20"/>
              </w:rPr>
            </w:pPr>
            <w:r w:rsidRPr="00D07677">
              <w:rPr>
                <w:sz w:val="20"/>
                <w:szCs w:val="20"/>
              </w:rPr>
              <w:t> </w:t>
            </w:r>
          </w:p>
        </w:tc>
        <w:tc>
          <w:tcPr>
            <w:tcW w:w="992" w:type="dxa"/>
            <w:tcBorders>
              <w:top w:val="single" w:sz="4" w:space="0" w:color="auto"/>
            </w:tcBorders>
            <w:shd w:val="clear" w:color="auto" w:fill="auto"/>
            <w:noWrap/>
            <w:vAlign w:val="bottom"/>
          </w:tcPr>
          <w:p w14:paraId="07223DAC" w14:textId="77777777" w:rsidR="00722E5C" w:rsidRPr="00D07677" w:rsidRDefault="00722E5C" w:rsidP="00722E5C">
            <w:pPr>
              <w:jc w:val="right"/>
              <w:rPr>
                <w:b/>
                <w:sz w:val="20"/>
                <w:szCs w:val="20"/>
              </w:rPr>
            </w:pPr>
            <w:r w:rsidRPr="00D07677">
              <w:rPr>
                <w:b/>
                <w:sz w:val="20"/>
                <w:szCs w:val="20"/>
              </w:rPr>
              <w:t>% </w:t>
            </w:r>
          </w:p>
        </w:tc>
        <w:tc>
          <w:tcPr>
            <w:tcW w:w="709" w:type="dxa"/>
            <w:tcBorders>
              <w:top w:val="single" w:sz="4" w:space="0" w:color="auto"/>
            </w:tcBorders>
            <w:shd w:val="clear" w:color="auto" w:fill="auto"/>
            <w:noWrap/>
            <w:vAlign w:val="center"/>
          </w:tcPr>
          <w:p w14:paraId="47A49BFE" w14:textId="77777777" w:rsidR="00722E5C" w:rsidRPr="00D07677" w:rsidRDefault="00722E5C" w:rsidP="00722E5C">
            <w:pPr>
              <w:jc w:val="right"/>
              <w:rPr>
                <w:sz w:val="20"/>
                <w:szCs w:val="20"/>
              </w:rPr>
            </w:pPr>
            <w:r w:rsidRPr="00D07677">
              <w:rPr>
                <w:sz w:val="20"/>
                <w:szCs w:val="20"/>
              </w:rPr>
              <w:t>O</w:t>
            </w:r>
          </w:p>
        </w:tc>
        <w:tc>
          <w:tcPr>
            <w:tcW w:w="567" w:type="dxa"/>
            <w:tcBorders>
              <w:top w:val="single" w:sz="4" w:space="0" w:color="auto"/>
            </w:tcBorders>
            <w:vAlign w:val="center"/>
          </w:tcPr>
          <w:p w14:paraId="11013512" w14:textId="77777777" w:rsidR="00722E5C" w:rsidRPr="00D07677" w:rsidRDefault="00722E5C" w:rsidP="00722E5C">
            <w:pPr>
              <w:jc w:val="right"/>
              <w:rPr>
                <w:b/>
                <w:sz w:val="20"/>
                <w:szCs w:val="20"/>
              </w:rPr>
            </w:pPr>
            <w:r w:rsidRPr="00D07677">
              <w:rPr>
                <w:b/>
                <w:sz w:val="20"/>
                <w:szCs w:val="20"/>
              </w:rPr>
              <w:t>T</w:t>
            </w:r>
          </w:p>
        </w:tc>
        <w:tc>
          <w:tcPr>
            <w:tcW w:w="758" w:type="dxa"/>
            <w:tcBorders>
              <w:top w:val="single" w:sz="4" w:space="0" w:color="auto"/>
            </w:tcBorders>
            <w:shd w:val="clear" w:color="auto" w:fill="auto"/>
            <w:noWrap/>
            <w:vAlign w:val="center"/>
          </w:tcPr>
          <w:p w14:paraId="765DA630" w14:textId="77777777" w:rsidR="00722E5C" w:rsidRPr="00D07677" w:rsidRDefault="00722E5C" w:rsidP="00722E5C">
            <w:pPr>
              <w:jc w:val="right"/>
              <w:rPr>
                <w:sz w:val="20"/>
                <w:szCs w:val="20"/>
              </w:rPr>
            </w:pPr>
            <w:r w:rsidRPr="00D07677">
              <w:rPr>
                <w:sz w:val="20"/>
                <w:szCs w:val="20"/>
              </w:rPr>
              <w:t>O</w:t>
            </w:r>
          </w:p>
        </w:tc>
        <w:tc>
          <w:tcPr>
            <w:tcW w:w="709" w:type="dxa"/>
            <w:tcBorders>
              <w:top w:val="single" w:sz="4" w:space="0" w:color="auto"/>
            </w:tcBorders>
            <w:shd w:val="clear" w:color="auto" w:fill="auto"/>
            <w:noWrap/>
            <w:vAlign w:val="center"/>
          </w:tcPr>
          <w:p w14:paraId="01BD778D" w14:textId="77777777" w:rsidR="00722E5C" w:rsidRPr="00D07677" w:rsidRDefault="00722E5C" w:rsidP="00722E5C">
            <w:pPr>
              <w:jc w:val="right"/>
              <w:rPr>
                <w:b/>
                <w:sz w:val="20"/>
                <w:szCs w:val="20"/>
              </w:rPr>
            </w:pPr>
            <w:r w:rsidRPr="00D07677">
              <w:rPr>
                <w:b/>
                <w:sz w:val="20"/>
                <w:szCs w:val="20"/>
              </w:rPr>
              <w:t>T</w:t>
            </w:r>
          </w:p>
        </w:tc>
      </w:tr>
      <w:tr w:rsidR="00722E5C" w:rsidRPr="00D07677" w14:paraId="580019A0" w14:textId="77777777" w:rsidTr="00440578">
        <w:trPr>
          <w:trHeight w:val="240"/>
          <w:jc w:val="center"/>
        </w:trPr>
        <w:tc>
          <w:tcPr>
            <w:tcW w:w="2110" w:type="dxa"/>
            <w:shd w:val="clear" w:color="auto" w:fill="auto"/>
            <w:noWrap/>
            <w:vAlign w:val="bottom"/>
          </w:tcPr>
          <w:p w14:paraId="04840C53" w14:textId="77777777" w:rsidR="00722E5C" w:rsidRPr="00554898" w:rsidRDefault="00722E5C" w:rsidP="00722E5C">
            <w:pPr>
              <w:rPr>
                <w:b/>
                <w:i/>
                <w:sz w:val="20"/>
                <w:szCs w:val="20"/>
              </w:rPr>
            </w:pPr>
            <w:r w:rsidRPr="00554898">
              <w:rPr>
                <w:b/>
                <w:i/>
                <w:sz w:val="20"/>
                <w:szCs w:val="20"/>
              </w:rPr>
              <w:t>Regional Brands</w:t>
            </w:r>
          </w:p>
        </w:tc>
        <w:tc>
          <w:tcPr>
            <w:tcW w:w="1559" w:type="dxa"/>
            <w:shd w:val="clear" w:color="auto" w:fill="auto"/>
            <w:noWrap/>
            <w:vAlign w:val="bottom"/>
          </w:tcPr>
          <w:p w14:paraId="58D984CC" w14:textId="77777777" w:rsidR="00722E5C" w:rsidRPr="00D07677" w:rsidRDefault="00722E5C" w:rsidP="00722E5C">
            <w:pPr>
              <w:rPr>
                <w:sz w:val="20"/>
              </w:rPr>
            </w:pPr>
          </w:p>
        </w:tc>
        <w:tc>
          <w:tcPr>
            <w:tcW w:w="992" w:type="dxa"/>
            <w:shd w:val="clear" w:color="auto" w:fill="auto"/>
            <w:noWrap/>
            <w:vAlign w:val="bottom"/>
          </w:tcPr>
          <w:p w14:paraId="2BC86C3D" w14:textId="77777777" w:rsidR="00722E5C" w:rsidRPr="00D07677" w:rsidRDefault="00722E5C" w:rsidP="00722E5C">
            <w:pPr>
              <w:jc w:val="right"/>
              <w:rPr>
                <w:sz w:val="20"/>
              </w:rPr>
            </w:pPr>
          </w:p>
        </w:tc>
        <w:tc>
          <w:tcPr>
            <w:tcW w:w="709" w:type="dxa"/>
            <w:shd w:val="clear" w:color="auto" w:fill="auto"/>
            <w:noWrap/>
            <w:vAlign w:val="bottom"/>
          </w:tcPr>
          <w:p w14:paraId="42ED29BD" w14:textId="77777777" w:rsidR="00722E5C" w:rsidRPr="00D07677" w:rsidRDefault="00722E5C" w:rsidP="00722E5C">
            <w:pPr>
              <w:jc w:val="right"/>
              <w:rPr>
                <w:sz w:val="20"/>
              </w:rPr>
            </w:pPr>
          </w:p>
        </w:tc>
        <w:tc>
          <w:tcPr>
            <w:tcW w:w="567" w:type="dxa"/>
            <w:vAlign w:val="bottom"/>
          </w:tcPr>
          <w:p w14:paraId="1F671FBD" w14:textId="77777777" w:rsidR="00722E5C" w:rsidRPr="00D07677" w:rsidRDefault="00722E5C" w:rsidP="00722E5C">
            <w:pPr>
              <w:jc w:val="right"/>
              <w:rPr>
                <w:b/>
                <w:sz w:val="20"/>
              </w:rPr>
            </w:pPr>
          </w:p>
        </w:tc>
        <w:tc>
          <w:tcPr>
            <w:tcW w:w="758" w:type="dxa"/>
            <w:shd w:val="clear" w:color="auto" w:fill="auto"/>
            <w:noWrap/>
            <w:vAlign w:val="bottom"/>
          </w:tcPr>
          <w:p w14:paraId="52395499" w14:textId="77777777" w:rsidR="00722E5C" w:rsidRPr="00D07677" w:rsidRDefault="00722E5C" w:rsidP="00722E5C">
            <w:pPr>
              <w:jc w:val="right"/>
              <w:rPr>
                <w:sz w:val="20"/>
              </w:rPr>
            </w:pPr>
          </w:p>
        </w:tc>
        <w:tc>
          <w:tcPr>
            <w:tcW w:w="709" w:type="dxa"/>
            <w:shd w:val="clear" w:color="auto" w:fill="auto"/>
            <w:noWrap/>
            <w:vAlign w:val="bottom"/>
          </w:tcPr>
          <w:p w14:paraId="7C6F6199" w14:textId="77777777" w:rsidR="00722E5C" w:rsidRPr="00D07677" w:rsidRDefault="00722E5C" w:rsidP="00722E5C">
            <w:pPr>
              <w:jc w:val="right"/>
              <w:rPr>
                <w:b/>
                <w:sz w:val="20"/>
              </w:rPr>
            </w:pPr>
          </w:p>
        </w:tc>
      </w:tr>
      <w:tr w:rsidR="00722E5C" w:rsidRPr="00D07677" w14:paraId="6C260EFA" w14:textId="77777777" w:rsidTr="00440578">
        <w:trPr>
          <w:trHeight w:val="240"/>
          <w:jc w:val="center"/>
        </w:trPr>
        <w:tc>
          <w:tcPr>
            <w:tcW w:w="2110" w:type="dxa"/>
            <w:shd w:val="clear" w:color="auto" w:fill="auto"/>
            <w:noWrap/>
            <w:vAlign w:val="bottom"/>
          </w:tcPr>
          <w:p w14:paraId="16E3F076" w14:textId="77777777" w:rsidR="00722E5C" w:rsidRPr="00D07677" w:rsidRDefault="00722E5C" w:rsidP="00722E5C">
            <w:pPr>
              <w:rPr>
                <w:sz w:val="20"/>
                <w:szCs w:val="20"/>
              </w:rPr>
            </w:pPr>
            <w:r>
              <w:rPr>
                <w:sz w:val="20"/>
                <w:szCs w:val="20"/>
              </w:rPr>
              <w:t xml:space="preserve"> </w:t>
            </w:r>
            <w:r w:rsidRPr="00D07677">
              <w:rPr>
                <w:sz w:val="20"/>
                <w:szCs w:val="20"/>
              </w:rPr>
              <w:t>Carbonated Drink</w:t>
            </w:r>
          </w:p>
        </w:tc>
        <w:tc>
          <w:tcPr>
            <w:tcW w:w="1559" w:type="dxa"/>
            <w:shd w:val="clear" w:color="auto" w:fill="auto"/>
            <w:noWrap/>
            <w:vAlign w:val="bottom"/>
          </w:tcPr>
          <w:p w14:paraId="418C9078" w14:textId="77777777" w:rsidR="00722E5C" w:rsidRPr="00D07677" w:rsidRDefault="00722E5C" w:rsidP="00722E5C">
            <w:pPr>
              <w:rPr>
                <w:sz w:val="20"/>
              </w:rPr>
            </w:pPr>
            <w:r w:rsidRPr="00D07677">
              <w:rPr>
                <w:sz w:val="20"/>
              </w:rPr>
              <w:t xml:space="preserve"> </w:t>
            </w:r>
            <w:r>
              <w:rPr>
                <w:sz w:val="20"/>
              </w:rPr>
              <w:t>Irn</w:t>
            </w:r>
            <w:r w:rsidRPr="00D07677">
              <w:rPr>
                <w:sz w:val="20"/>
              </w:rPr>
              <w:t>Bru</w:t>
            </w:r>
          </w:p>
        </w:tc>
        <w:tc>
          <w:tcPr>
            <w:tcW w:w="992" w:type="dxa"/>
            <w:shd w:val="clear" w:color="auto" w:fill="auto"/>
            <w:noWrap/>
            <w:vAlign w:val="bottom"/>
          </w:tcPr>
          <w:p w14:paraId="488F2EE0" w14:textId="77777777" w:rsidR="00722E5C" w:rsidRPr="00D07677" w:rsidRDefault="00722E5C" w:rsidP="00722E5C">
            <w:pPr>
              <w:jc w:val="right"/>
              <w:rPr>
                <w:sz w:val="20"/>
              </w:rPr>
            </w:pPr>
            <w:r w:rsidRPr="00D07677">
              <w:rPr>
                <w:sz w:val="20"/>
              </w:rPr>
              <w:t>5</w:t>
            </w:r>
          </w:p>
        </w:tc>
        <w:tc>
          <w:tcPr>
            <w:tcW w:w="709" w:type="dxa"/>
            <w:shd w:val="clear" w:color="auto" w:fill="auto"/>
            <w:noWrap/>
            <w:vAlign w:val="bottom"/>
          </w:tcPr>
          <w:p w14:paraId="380614B4" w14:textId="77777777" w:rsidR="00722E5C" w:rsidRPr="00D07677" w:rsidRDefault="00722E5C" w:rsidP="00722E5C">
            <w:pPr>
              <w:jc w:val="right"/>
              <w:rPr>
                <w:sz w:val="20"/>
              </w:rPr>
            </w:pPr>
            <w:r w:rsidRPr="00D07677">
              <w:rPr>
                <w:sz w:val="20"/>
              </w:rPr>
              <w:t>12</w:t>
            </w:r>
          </w:p>
        </w:tc>
        <w:tc>
          <w:tcPr>
            <w:tcW w:w="567" w:type="dxa"/>
            <w:vAlign w:val="bottom"/>
          </w:tcPr>
          <w:p w14:paraId="5C550240" w14:textId="77777777" w:rsidR="00722E5C" w:rsidRPr="00D07677" w:rsidRDefault="00722E5C" w:rsidP="00722E5C">
            <w:pPr>
              <w:jc w:val="right"/>
              <w:rPr>
                <w:b/>
                <w:sz w:val="20"/>
              </w:rPr>
            </w:pPr>
            <w:r w:rsidRPr="00D07677">
              <w:rPr>
                <w:b/>
                <w:sz w:val="20"/>
              </w:rPr>
              <w:t>21</w:t>
            </w:r>
          </w:p>
        </w:tc>
        <w:tc>
          <w:tcPr>
            <w:tcW w:w="758" w:type="dxa"/>
            <w:shd w:val="clear" w:color="auto" w:fill="auto"/>
            <w:noWrap/>
            <w:vAlign w:val="bottom"/>
          </w:tcPr>
          <w:p w14:paraId="44442851" w14:textId="77777777" w:rsidR="00722E5C" w:rsidRPr="00D07677" w:rsidRDefault="00722E5C" w:rsidP="00722E5C">
            <w:pPr>
              <w:tabs>
                <w:tab w:val="decimal" w:pos="279"/>
              </w:tabs>
              <w:jc w:val="right"/>
              <w:rPr>
                <w:sz w:val="20"/>
              </w:rPr>
            </w:pPr>
            <w:r w:rsidRPr="00D07677">
              <w:rPr>
                <w:sz w:val="20"/>
              </w:rPr>
              <w:t>11.5</w:t>
            </w:r>
          </w:p>
        </w:tc>
        <w:tc>
          <w:tcPr>
            <w:tcW w:w="709" w:type="dxa"/>
            <w:shd w:val="clear" w:color="auto" w:fill="auto"/>
            <w:noWrap/>
            <w:vAlign w:val="bottom"/>
          </w:tcPr>
          <w:p w14:paraId="05CB87D1" w14:textId="77777777" w:rsidR="00722E5C" w:rsidRPr="00D07677" w:rsidRDefault="00722E5C" w:rsidP="00722E5C">
            <w:pPr>
              <w:ind w:left="137" w:hanging="137"/>
              <w:jc w:val="right"/>
              <w:rPr>
                <w:b/>
                <w:sz w:val="20"/>
              </w:rPr>
            </w:pPr>
            <w:r w:rsidRPr="00D07677">
              <w:rPr>
                <w:b/>
                <w:sz w:val="20"/>
              </w:rPr>
              <w:t>6.2</w:t>
            </w:r>
          </w:p>
        </w:tc>
      </w:tr>
      <w:tr w:rsidR="00722E5C" w:rsidRPr="00D07677" w14:paraId="68D0AF32" w14:textId="77777777" w:rsidTr="00440578">
        <w:trPr>
          <w:trHeight w:val="240"/>
          <w:jc w:val="center"/>
        </w:trPr>
        <w:tc>
          <w:tcPr>
            <w:tcW w:w="2110" w:type="dxa"/>
            <w:shd w:val="clear" w:color="auto" w:fill="auto"/>
            <w:noWrap/>
            <w:vAlign w:val="bottom"/>
          </w:tcPr>
          <w:p w14:paraId="0B19738D" w14:textId="77777777" w:rsidR="00722E5C" w:rsidRPr="00D07677" w:rsidRDefault="00722E5C" w:rsidP="00722E5C">
            <w:pPr>
              <w:rPr>
                <w:sz w:val="20"/>
                <w:szCs w:val="20"/>
              </w:rPr>
            </w:pPr>
            <w:r>
              <w:rPr>
                <w:sz w:val="20"/>
                <w:szCs w:val="20"/>
              </w:rPr>
              <w:t xml:space="preserve"> </w:t>
            </w:r>
            <w:r w:rsidRPr="00D07677">
              <w:rPr>
                <w:sz w:val="20"/>
                <w:szCs w:val="20"/>
              </w:rPr>
              <w:t>Tea</w:t>
            </w:r>
          </w:p>
        </w:tc>
        <w:tc>
          <w:tcPr>
            <w:tcW w:w="1559" w:type="dxa"/>
            <w:shd w:val="clear" w:color="auto" w:fill="auto"/>
            <w:noWrap/>
            <w:vAlign w:val="bottom"/>
          </w:tcPr>
          <w:p w14:paraId="6A729CE5" w14:textId="77777777" w:rsidR="00722E5C" w:rsidRPr="00D07677" w:rsidRDefault="00722E5C" w:rsidP="00722E5C">
            <w:pPr>
              <w:rPr>
                <w:sz w:val="20"/>
              </w:rPr>
            </w:pPr>
            <w:r w:rsidRPr="00D07677">
              <w:rPr>
                <w:sz w:val="20"/>
              </w:rPr>
              <w:t xml:space="preserve"> Yorkshire Tea</w:t>
            </w:r>
          </w:p>
        </w:tc>
        <w:tc>
          <w:tcPr>
            <w:tcW w:w="992" w:type="dxa"/>
            <w:shd w:val="clear" w:color="auto" w:fill="auto"/>
            <w:noWrap/>
            <w:vAlign w:val="bottom"/>
          </w:tcPr>
          <w:p w14:paraId="49F9F1A1" w14:textId="77777777" w:rsidR="00722E5C" w:rsidRPr="00D07677" w:rsidRDefault="00722E5C" w:rsidP="00722E5C">
            <w:pPr>
              <w:jc w:val="right"/>
              <w:rPr>
                <w:sz w:val="20"/>
              </w:rPr>
            </w:pPr>
            <w:r w:rsidRPr="00D07677">
              <w:rPr>
                <w:sz w:val="20"/>
              </w:rPr>
              <w:t>6</w:t>
            </w:r>
          </w:p>
        </w:tc>
        <w:tc>
          <w:tcPr>
            <w:tcW w:w="709" w:type="dxa"/>
            <w:shd w:val="clear" w:color="auto" w:fill="auto"/>
            <w:noWrap/>
            <w:vAlign w:val="bottom"/>
          </w:tcPr>
          <w:p w14:paraId="14B791AC" w14:textId="77777777" w:rsidR="00722E5C" w:rsidRPr="00D07677" w:rsidRDefault="00722E5C" w:rsidP="00722E5C">
            <w:pPr>
              <w:jc w:val="right"/>
              <w:rPr>
                <w:sz w:val="20"/>
              </w:rPr>
            </w:pPr>
            <w:r w:rsidRPr="00D07677">
              <w:rPr>
                <w:sz w:val="20"/>
              </w:rPr>
              <w:t>8</w:t>
            </w:r>
          </w:p>
        </w:tc>
        <w:tc>
          <w:tcPr>
            <w:tcW w:w="567" w:type="dxa"/>
            <w:vAlign w:val="bottom"/>
          </w:tcPr>
          <w:p w14:paraId="615C2157" w14:textId="77777777" w:rsidR="00722E5C" w:rsidRPr="00D07677" w:rsidRDefault="00722E5C" w:rsidP="00722E5C">
            <w:pPr>
              <w:jc w:val="right"/>
              <w:rPr>
                <w:b/>
                <w:sz w:val="20"/>
              </w:rPr>
            </w:pPr>
            <w:r w:rsidRPr="00D07677">
              <w:rPr>
                <w:b/>
                <w:sz w:val="20"/>
              </w:rPr>
              <w:t>11</w:t>
            </w:r>
          </w:p>
        </w:tc>
        <w:tc>
          <w:tcPr>
            <w:tcW w:w="758" w:type="dxa"/>
            <w:shd w:val="clear" w:color="auto" w:fill="auto"/>
            <w:noWrap/>
            <w:vAlign w:val="bottom"/>
          </w:tcPr>
          <w:p w14:paraId="2677E6BE" w14:textId="77777777" w:rsidR="00722E5C" w:rsidRPr="00D07677" w:rsidRDefault="00722E5C" w:rsidP="00722E5C">
            <w:pPr>
              <w:tabs>
                <w:tab w:val="decimal" w:pos="279"/>
              </w:tabs>
              <w:jc w:val="right"/>
              <w:rPr>
                <w:sz w:val="20"/>
              </w:rPr>
            </w:pPr>
            <w:r w:rsidRPr="00D07677">
              <w:rPr>
                <w:sz w:val="20"/>
              </w:rPr>
              <w:t>5.0</w:t>
            </w:r>
          </w:p>
        </w:tc>
        <w:tc>
          <w:tcPr>
            <w:tcW w:w="709" w:type="dxa"/>
            <w:shd w:val="clear" w:color="auto" w:fill="auto"/>
            <w:noWrap/>
            <w:vAlign w:val="bottom"/>
          </w:tcPr>
          <w:p w14:paraId="60DBBC39" w14:textId="77777777" w:rsidR="00722E5C" w:rsidRPr="00D07677" w:rsidRDefault="00722E5C" w:rsidP="00722E5C">
            <w:pPr>
              <w:ind w:left="137" w:hanging="137"/>
              <w:jc w:val="right"/>
              <w:rPr>
                <w:b/>
                <w:sz w:val="20"/>
              </w:rPr>
            </w:pPr>
            <w:r w:rsidRPr="00D07677">
              <w:rPr>
                <w:b/>
                <w:sz w:val="20"/>
              </w:rPr>
              <w:t>3.4</w:t>
            </w:r>
          </w:p>
        </w:tc>
      </w:tr>
      <w:tr w:rsidR="00722E5C" w:rsidRPr="00D07677" w14:paraId="0C63C41D" w14:textId="77777777" w:rsidTr="00440578">
        <w:trPr>
          <w:trHeight w:val="240"/>
          <w:jc w:val="center"/>
        </w:trPr>
        <w:tc>
          <w:tcPr>
            <w:tcW w:w="2110" w:type="dxa"/>
            <w:shd w:val="clear" w:color="auto" w:fill="auto"/>
            <w:noWrap/>
            <w:vAlign w:val="bottom"/>
          </w:tcPr>
          <w:p w14:paraId="28DDFEDC" w14:textId="77777777" w:rsidR="00722E5C" w:rsidRPr="00D07677" w:rsidRDefault="00722E5C" w:rsidP="00722E5C">
            <w:pPr>
              <w:rPr>
                <w:sz w:val="20"/>
                <w:szCs w:val="20"/>
              </w:rPr>
            </w:pPr>
            <w:r>
              <w:rPr>
                <w:sz w:val="20"/>
                <w:szCs w:val="20"/>
              </w:rPr>
              <w:t xml:space="preserve"> </w:t>
            </w:r>
            <w:r w:rsidRPr="00D07677">
              <w:rPr>
                <w:sz w:val="20"/>
                <w:szCs w:val="20"/>
              </w:rPr>
              <w:t>Bread</w:t>
            </w:r>
          </w:p>
        </w:tc>
        <w:tc>
          <w:tcPr>
            <w:tcW w:w="1559" w:type="dxa"/>
            <w:shd w:val="clear" w:color="auto" w:fill="auto"/>
            <w:noWrap/>
            <w:vAlign w:val="bottom"/>
          </w:tcPr>
          <w:p w14:paraId="678714C3" w14:textId="77777777" w:rsidR="00722E5C" w:rsidRPr="00D07677" w:rsidRDefault="00722E5C" w:rsidP="00722E5C">
            <w:pPr>
              <w:rPr>
                <w:sz w:val="20"/>
              </w:rPr>
            </w:pPr>
            <w:r w:rsidRPr="00D07677">
              <w:rPr>
                <w:sz w:val="20"/>
              </w:rPr>
              <w:t xml:space="preserve"> Braces Bakery</w:t>
            </w:r>
          </w:p>
        </w:tc>
        <w:tc>
          <w:tcPr>
            <w:tcW w:w="992" w:type="dxa"/>
            <w:shd w:val="clear" w:color="auto" w:fill="auto"/>
            <w:noWrap/>
            <w:vAlign w:val="bottom"/>
          </w:tcPr>
          <w:p w14:paraId="44346AAF" w14:textId="77777777" w:rsidR="00722E5C" w:rsidRPr="00D07677" w:rsidRDefault="00722E5C" w:rsidP="00722E5C">
            <w:pPr>
              <w:jc w:val="right"/>
              <w:rPr>
                <w:sz w:val="20"/>
              </w:rPr>
            </w:pPr>
            <w:r w:rsidRPr="00D07677">
              <w:rPr>
                <w:sz w:val="20"/>
              </w:rPr>
              <w:t>1</w:t>
            </w:r>
          </w:p>
        </w:tc>
        <w:tc>
          <w:tcPr>
            <w:tcW w:w="709" w:type="dxa"/>
            <w:shd w:val="clear" w:color="auto" w:fill="auto"/>
            <w:noWrap/>
            <w:vAlign w:val="bottom"/>
          </w:tcPr>
          <w:p w14:paraId="29EDA05B" w14:textId="77777777" w:rsidR="00722E5C" w:rsidRPr="00D07677" w:rsidRDefault="00722E5C" w:rsidP="00722E5C">
            <w:pPr>
              <w:jc w:val="right"/>
              <w:rPr>
                <w:sz w:val="20"/>
              </w:rPr>
            </w:pPr>
            <w:r w:rsidRPr="00D07677">
              <w:rPr>
                <w:sz w:val="20"/>
              </w:rPr>
              <w:t>3</w:t>
            </w:r>
          </w:p>
        </w:tc>
        <w:tc>
          <w:tcPr>
            <w:tcW w:w="567" w:type="dxa"/>
            <w:vAlign w:val="bottom"/>
          </w:tcPr>
          <w:p w14:paraId="1C2D824D" w14:textId="77777777" w:rsidR="00722E5C" w:rsidRPr="00D07677" w:rsidRDefault="00722E5C" w:rsidP="00722E5C">
            <w:pPr>
              <w:jc w:val="right"/>
              <w:rPr>
                <w:b/>
                <w:sz w:val="20"/>
              </w:rPr>
            </w:pPr>
            <w:r w:rsidRPr="00D07677">
              <w:rPr>
                <w:b/>
                <w:sz w:val="20"/>
              </w:rPr>
              <w:t>7</w:t>
            </w:r>
          </w:p>
        </w:tc>
        <w:tc>
          <w:tcPr>
            <w:tcW w:w="758" w:type="dxa"/>
            <w:shd w:val="clear" w:color="auto" w:fill="auto"/>
            <w:noWrap/>
            <w:vAlign w:val="bottom"/>
          </w:tcPr>
          <w:p w14:paraId="18EC8324" w14:textId="77777777" w:rsidR="00722E5C" w:rsidRPr="00D07677" w:rsidRDefault="00722E5C" w:rsidP="00722E5C">
            <w:pPr>
              <w:tabs>
                <w:tab w:val="decimal" w:pos="279"/>
              </w:tabs>
              <w:jc w:val="right"/>
              <w:rPr>
                <w:sz w:val="20"/>
              </w:rPr>
            </w:pPr>
            <w:r w:rsidRPr="00D07677">
              <w:rPr>
                <w:sz w:val="20"/>
              </w:rPr>
              <w:t>11.7</w:t>
            </w:r>
          </w:p>
        </w:tc>
        <w:tc>
          <w:tcPr>
            <w:tcW w:w="709" w:type="dxa"/>
            <w:shd w:val="clear" w:color="auto" w:fill="auto"/>
            <w:noWrap/>
            <w:vAlign w:val="bottom"/>
          </w:tcPr>
          <w:p w14:paraId="446FB446" w14:textId="77777777" w:rsidR="00722E5C" w:rsidRPr="00D07677" w:rsidRDefault="00722E5C" w:rsidP="00722E5C">
            <w:pPr>
              <w:ind w:left="137" w:hanging="137"/>
              <w:jc w:val="right"/>
              <w:rPr>
                <w:b/>
                <w:sz w:val="20"/>
              </w:rPr>
            </w:pPr>
            <w:r w:rsidRPr="00D07677">
              <w:rPr>
                <w:b/>
                <w:sz w:val="20"/>
              </w:rPr>
              <w:t>5.7</w:t>
            </w:r>
          </w:p>
        </w:tc>
      </w:tr>
      <w:tr w:rsidR="00722E5C" w:rsidRPr="00D07677" w14:paraId="0F94AF1E" w14:textId="77777777" w:rsidTr="00440578">
        <w:trPr>
          <w:trHeight w:val="240"/>
          <w:jc w:val="center"/>
        </w:trPr>
        <w:tc>
          <w:tcPr>
            <w:tcW w:w="2110" w:type="dxa"/>
            <w:shd w:val="clear" w:color="auto" w:fill="auto"/>
            <w:noWrap/>
            <w:vAlign w:val="bottom"/>
          </w:tcPr>
          <w:p w14:paraId="6A67487A" w14:textId="77777777" w:rsidR="00722E5C" w:rsidRPr="00D07677" w:rsidRDefault="00722E5C" w:rsidP="00722E5C">
            <w:pPr>
              <w:rPr>
                <w:sz w:val="20"/>
                <w:szCs w:val="20"/>
              </w:rPr>
            </w:pPr>
            <w:r>
              <w:rPr>
                <w:sz w:val="20"/>
                <w:szCs w:val="20"/>
              </w:rPr>
              <w:t xml:space="preserve"> </w:t>
            </w:r>
            <w:r w:rsidRPr="00D07677">
              <w:rPr>
                <w:sz w:val="20"/>
                <w:szCs w:val="20"/>
              </w:rPr>
              <w:t>Whisky</w:t>
            </w:r>
          </w:p>
        </w:tc>
        <w:tc>
          <w:tcPr>
            <w:tcW w:w="1559" w:type="dxa"/>
            <w:shd w:val="clear" w:color="auto" w:fill="auto"/>
            <w:noWrap/>
            <w:vAlign w:val="bottom"/>
          </w:tcPr>
          <w:p w14:paraId="17545627" w14:textId="77777777" w:rsidR="00722E5C" w:rsidRPr="00D07677" w:rsidRDefault="00722E5C" w:rsidP="00722E5C">
            <w:pPr>
              <w:rPr>
                <w:sz w:val="20"/>
              </w:rPr>
            </w:pPr>
            <w:r w:rsidRPr="00D07677">
              <w:rPr>
                <w:sz w:val="20"/>
              </w:rPr>
              <w:t xml:space="preserve"> Bruce+Co</w:t>
            </w:r>
          </w:p>
        </w:tc>
        <w:tc>
          <w:tcPr>
            <w:tcW w:w="992" w:type="dxa"/>
            <w:shd w:val="clear" w:color="auto" w:fill="auto"/>
            <w:noWrap/>
            <w:vAlign w:val="bottom"/>
          </w:tcPr>
          <w:p w14:paraId="1979C3E0" w14:textId="77777777" w:rsidR="00722E5C" w:rsidRPr="00D07677" w:rsidRDefault="00722E5C" w:rsidP="00722E5C">
            <w:pPr>
              <w:jc w:val="right"/>
              <w:rPr>
                <w:sz w:val="20"/>
              </w:rPr>
            </w:pPr>
            <w:r w:rsidRPr="00D07677">
              <w:rPr>
                <w:sz w:val="20"/>
              </w:rPr>
              <w:t>5</w:t>
            </w:r>
          </w:p>
        </w:tc>
        <w:tc>
          <w:tcPr>
            <w:tcW w:w="709" w:type="dxa"/>
            <w:shd w:val="clear" w:color="auto" w:fill="auto"/>
            <w:noWrap/>
            <w:vAlign w:val="bottom"/>
          </w:tcPr>
          <w:p w14:paraId="6F5C3A92" w14:textId="77777777" w:rsidR="00722E5C" w:rsidRPr="00D07677" w:rsidRDefault="00722E5C" w:rsidP="00722E5C">
            <w:pPr>
              <w:jc w:val="right"/>
              <w:rPr>
                <w:sz w:val="20"/>
              </w:rPr>
            </w:pPr>
            <w:r w:rsidRPr="00D07677">
              <w:rPr>
                <w:sz w:val="20"/>
              </w:rPr>
              <w:t>1</w:t>
            </w:r>
          </w:p>
        </w:tc>
        <w:tc>
          <w:tcPr>
            <w:tcW w:w="567" w:type="dxa"/>
            <w:vAlign w:val="bottom"/>
          </w:tcPr>
          <w:p w14:paraId="403FD6D8" w14:textId="77777777" w:rsidR="00722E5C" w:rsidRPr="00D07677" w:rsidRDefault="00722E5C" w:rsidP="00722E5C">
            <w:pPr>
              <w:jc w:val="right"/>
              <w:rPr>
                <w:b/>
                <w:sz w:val="20"/>
              </w:rPr>
            </w:pPr>
            <w:r w:rsidRPr="00D07677">
              <w:rPr>
                <w:b/>
                <w:sz w:val="20"/>
              </w:rPr>
              <w:t>3</w:t>
            </w:r>
          </w:p>
        </w:tc>
        <w:tc>
          <w:tcPr>
            <w:tcW w:w="758" w:type="dxa"/>
            <w:shd w:val="clear" w:color="auto" w:fill="auto"/>
            <w:noWrap/>
            <w:vAlign w:val="bottom"/>
          </w:tcPr>
          <w:p w14:paraId="6C21F435" w14:textId="77777777" w:rsidR="00722E5C" w:rsidRPr="00D07677" w:rsidRDefault="00722E5C" w:rsidP="00722E5C">
            <w:pPr>
              <w:tabs>
                <w:tab w:val="decimal" w:pos="279"/>
              </w:tabs>
              <w:jc w:val="right"/>
              <w:rPr>
                <w:sz w:val="20"/>
              </w:rPr>
            </w:pPr>
            <w:r w:rsidRPr="00D07677">
              <w:rPr>
                <w:sz w:val="20"/>
              </w:rPr>
              <w:t>5.8</w:t>
            </w:r>
          </w:p>
        </w:tc>
        <w:tc>
          <w:tcPr>
            <w:tcW w:w="709" w:type="dxa"/>
            <w:shd w:val="clear" w:color="auto" w:fill="auto"/>
            <w:noWrap/>
            <w:vAlign w:val="bottom"/>
          </w:tcPr>
          <w:p w14:paraId="6DA289FD" w14:textId="77777777" w:rsidR="00722E5C" w:rsidRPr="00D07677" w:rsidRDefault="00722E5C" w:rsidP="00722E5C">
            <w:pPr>
              <w:ind w:left="137" w:hanging="137"/>
              <w:jc w:val="right"/>
              <w:rPr>
                <w:b/>
                <w:sz w:val="20"/>
              </w:rPr>
            </w:pPr>
            <w:r w:rsidRPr="00D07677">
              <w:rPr>
                <w:b/>
                <w:sz w:val="20"/>
              </w:rPr>
              <w:t>2.4</w:t>
            </w:r>
          </w:p>
        </w:tc>
      </w:tr>
      <w:tr w:rsidR="00722E5C" w:rsidRPr="00D07677" w14:paraId="5D720A96" w14:textId="77777777" w:rsidTr="00440578">
        <w:trPr>
          <w:trHeight w:val="240"/>
          <w:jc w:val="center"/>
        </w:trPr>
        <w:tc>
          <w:tcPr>
            <w:tcW w:w="2110" w:type="dxa"/>
            <w:shd w:val="clear" w:color="auto" w:fill="auto"/>
            <w:noWrap/>
            <w:vAlign w:val="bottom"/>
          </w:tcPr>
          <w:p w14:paraId="560EBD48" w14:textId="77777777" w:rsidR="00722E5C" w:rsidRPr="00D07677" w:rsidRDefault="00722E5C" w:rsidP="00722E5C">
            <w:pPr>
              <w:rPr>
                <w:sz w:val="20"/>
                <w:szCs w:val="20"/>
              </w:rPr>
            </w:pPr>
            <w:r>
              <w:rPr>
                <w:sz w:val="20"/>
                <w:szCs w:val="20"/>
              </w:rPr>
              <w:t xml:space="preserve"> </w:t>
            </w:r>
            <w:r w:rsidRPr="00D07677">
              <w:rPr>
                <w:sz w:val="20"/>
                <w:szCs w:val="20"/>
              </w:rPr>
              <w:t>Ice Cream Cone</w:t>
            </w:r>
          </w:p>
        </w:tc>
        <w:tc>
          <w:tcPr>
            <w:tcW w:w="1559" w:type="dxa"/>
            <w:shd w:val="clear" w:color="auto" w:fill="auto"/>
            <w:noWrap/>
            <w:vAlign w:val="bottom"/>
          </w:tcPr>
          <w:p w14:paraId="0E805384" w14:textId="77777777" w:rsidR="00722E5C" w:rsidRPr="00D07677" w:rsidRDefault="00722E5C" w:rsidP="00722E5C">
            <w:pPr>
              <w:rPr>
                <w:sz w:val="20"/>
              </w:rPr>
            </w:pPr>
            <w:r w:rsidRPr="00D07677">
              <w:rPr>
                <w:sz w:val="20"/>
              </w:rPr>
              <w:t xml:space="preserve"> Ysco</w:t>
            </w:r>
          </w:p>
        </w:tc>
        <w:tc>
          <w:tcPr>
            <w:tcW w:w="992" w:type="dxa"/>
            <w:shd w:val="clear" w:color="auto" w:fill="auto"/>
            <w:noWrap/>
            <w:vAlign w:val="bottom"/>
          </w:tcPr>
          <w:p w14:paraId="6C10B90E" w14:textId="77777777" w:rsidR="00722E5C" w:rsidRPr="00D07677" w:rsidRDefault="00722E5C" w:rsidP="00722E5C">
            <w:pPr>
              <w:jc w:val="right"/>
              <w:rPr>
                <w:sz w:val="20"/>
              </w:rPr>
            </w:pPr>
            <w:r w:rsidRPr="00D07677">
              <w:rPr>
                <w:sz w:val="20"/>
              </w:rPr>
              <w:t>3</w:t>
            </w:r>
          </w:p>
        </w:tc>
        <w:tc>
          <w:tcPr>
            <w:tcW w:w="709" w:type="dxa"/>
            <w:shd w:val="clear" w:color="auto" w:fill="auto"/>
            <w:noWrap/>
            <w:vAlign w:val="bottom"/>
          </w:tcPr>
          <w:p w14:paraId="58984093" w14:textId="77777777" w:rsidR="00722E5C" w:rsidRPr="00D07677" w:rsidRDefault="00722E5C" w:rsidP="00722E5C">
            <w:pPr>
              <w:jc w:val="right"/>
              <w:rPr>
                <w:sz w:val="20"/>
              </w:rPr>
            </w:pPr>
            <w:r w:rsidRPr="00D07677">
              <w:rPr>
                <w:sz w:val="20"/>
              </w:rPr>
              <w:t>1</w:t>
            </w:r>
          </w:p>
        </w:tc>
        <w:tc>
          <w:tcPr>
            <w:tcW w:w="567" w:type="dxa"/>
            <w:vAlign w:val="bottom"/>
          </w:tcPr>
          <w:p w14:paraId="63F23638" w14:textId="77777777" w:rsidR="00722E5C" w:rsidRPr="00D07677" w:rsidRDefault="00722E5C" w:rsidP="00722E5C">
            <w:pPr>
              <w:jc w:val="right"/>
              <w:rPr>
                <w:b/>
                <w:sz w:val="20"/>
              </w:rPr>
            </w:pPr>
            <w:r w:rsidRPr="00D07677">
              <w:rPr>
                <w:b/>
                <w:sz w:val="20"/>
              </w:rPr>
              <w:t>1</w:t>
            </w:r>
          </w:p>
        </w:tc>
        <w:tc>
          <w:tcPr>
            <w:tcW w:w="758" w:type="dxa"/>
            <w:shd w:val="clear" w:color="auto" w:fill="auto"/>
            <w:noWrap/>
            <w:vAlign w:val="bottom"/>
          </w:tcPr>
          <w:p w14:paraId="5E16F4FC" w14:textId="77777777" w:rsidR="00722E5C" w:rsidRPr="00D07677" w:rsidRDefault="00722E5C" w:rsidP="00722E5C">
            <w:pPr>
              <w:tabs>
                <w:tab w:val="decimal" w:pos="279"/>
              </w:tabs>
              <w:jc w:val="right"/>
              <w:rPr>
                <w:sz w:val="20"/>
              </w:rPr>
            </w:pPr>
            <w:r w:rsidRPr="00D07677">
              <w:rPr>
                <w:sz w:val="20"/>
              </w:rPr>
              <w:t>3.2</w:t>
            </w:r>
          </w:p>
        </w:tc>
        <w:tc>
          <w:tcPr>
            <w:tcW w:w="709" w:type="dxa"/>
            <w:shd w:val="clear" w:color="auto" w:fill="auto"/>
            <w:noWrap/>
            <w:vAlign w:val="bottom"/>
          </w:tcPr>
          <w:p w14:paraId="31C13DF1" w14:textId="77777777" w:rsidR="00722E5C" w:rsidRPr="00D07677" w:rsidRDefault="00722E5C" w:rsidP="00722E5C">
            <w:pPr>
              <w:ind w:left="137" w:hanging="137"/>
              <w:jc w:val="right"/>
              <w:rPr>
                <w:b/>
                <w:sz w:val="20"/>
              </w:rPr>
            </w:pPr>
            <w:r w:rsidRPr="00D07677">
              <w:rPr>
                <w:b/>
                <w:sz w:val="20"/>
              </w:rPr>
              <w:t>1.9</w:t>
            </w:r>
          </w:p>
        </w:tc>
      </w:tr>
      <w:tr w:rsidR="00722E5C" w:rsidRPr="00D07677" w14:paraId="30FBDC42" w14:textId="77777777" w:rsidTr="00440578">
        <w:trPr>
          <w:trHeight w:val="240"/>
          <w:jc w:val="center"/>
        </w:trPr>
        <w:tc>
          <w:tcPr>
            <w:tcW w:w="2110" w:type="dxa"/>
            <w:shd w:val="clear" w:color="auto" w:fill="auto"/>
            <w:noWrap/>
            <w:vAlign w:val="bottom"/>
          </w:tcPr>
          <w:p w14:paraId="7B0CF3A1" w14:textId="77777777" w:rsidR="00722E5C" w:rsidRPr="00D07677" w:rsidRDefault="00722E5C" w:rsidP="00722E5C">
            <w:pPr>
              <w:rPr>
                <w:sz w:val="20"/>
                <w:szCs w:val="20"/>
              </w:rPr>
            </w:pPr>
            <w:r>
              <w:rPr>
                <w:sz w:val="20"/>
                <w:szCs w:val="20"/>
              </w:rPr>
              <w:t xml:space="preserve"> </w:t>
            </w:r>
            <w:r w:rsidRPr="00D07677">
              <w:rPr>
                <w:sz w:val="20"/>
                <w:szCs w:val="20"/>
              </w:rPr>
              <w:t>Cough lozenge</w:t>
            </w:r>
          </w:p>
        </w:tc>
        <w:tc>
          <w:tcPr>
            <w:tcW w:w="1559" w:type="dxa"/>
            <w:shd w:val="clear" w:color="auto" w:fill="auto"/>
            <w:noWrap/>
            <w:vAlign w:val="bottom"/>
          </w:tcPr>
          <w:p w14:paraId="3AEB7135" w14:textId="77777777" w:rsidR="00722E5C" w:rsidRPr="00D07677" w:rsidRDefault="00722E5C" w:rsidP="00722E5C">
            <w:pPr>
              <w:rPr>
                <w:sz w:val="20"/>
              </w:rPr>
            </w:pPr>
            <w:r w:rsidRPr="00D07677">
              <w:rPr>
                <w:sz w:val="20"/>
              </w:rPr>
              <w:t xml:space="preserve"> Jakemans</w:t>
            </w:r>
          </w:p>
        </w:tc>
        <w:tc>
          <w:tcPr>
            <w:tcW w:w="992" w:type="dxa"/>
            <w:shd w:val="clear" w:color="auto" w:fill="auto"/>
            <w:noWrap/>
            <w:vAlign w:val="bottom"/>
          </w:tcPr>
          <w:p w14:paraId="7562D2B2" w14:textId="77777777" w:rsidR="00722E5C" w:rsidRPr="00D07677" w:rsidRDefault="00722E5C" w:rsidP="00722E5C">
            <w:pPr>
              <w:jc w:val="right"/>
              <w:rPr>
                <w:sz w:val="20"/>
              </w:rPr>
            </w:pPr>
            <w:r w:rsidRPr="00D07677">
              <w:rPr>
                <w:sz w:val="20"/>
              </w:rPr>
              <w:t>5</w:t>
            </w:r>
          </w:p>
        </w:tc>
        <w:tc>
          <w:tcPr>
            <w:tcW w:w="709" w:type="dxa"/>
            <w:shd w:val="clear" w:color="auto" w:fill="auto"/>
            <w:noWrap/>
            <w:vAlign w:val="bottom"/>
          </w:tcPr>
          <w:p w14:paraId="6B39EBB3" w14:textId="77777777" w:rsidR="00722E5C" w:rsidRPr="00D07677" w:rsidRDefault="00722E5C" w:rsidP="00722E5C">
            <w:pPr>
              <w:jc w:val="right"/>
              <w:rPr>
                <w:sz w:val="20"/>
              </w:rPr>
            </w:pPr>
            <w:r w:rsidRPr="00D07677">
              <w:rPr>
                <w:sz w:val="20"/>
              </w:rPr>
              <w:t>1</w:t>
            </w:r>
          </w:p>
        </w:tc>
        <w:tc>
          <w:tcPr>
            <w:tcW w:w="567" w:type="dxa"/>
            <w:vAlign w:val="bottom"/>
          </w:tcPr>
          <w:p w14:paraId="281427BE" w14:textId="77777777" w:rsidR="00722E5C" w:rsidRPr="00D07677" w:rsidRDefault="00722E5C" w:rsidP="00722E5C">
            <w:pPr>
              <w:jc w:val="right"/>
              <w:rPr>
                <w:b/>
                <w:sz w:val="20"/>
              </w:rPr>
            </w:pPr>
            <w:r w:rsidRPr="00D07677">
              <w:rPr>
                <w:b/>
                <w:sz w:val="20"/>
              </w:rPr>
              <w:t>2</w:t>
            </w:r>
          </w:p>
        </w:tc>
        <w:tc>
          <w:tcPr>
            <w:tcW w:w="758" w:type="dxa"/>
            <w:shd w:val="clear" w:color="auto" w:fill="auto"/>
            <w:noWrap/>
            <w:vAlign w:val="bottom"/>
          </w:tcPr>
          <w:p w14:paraId="2845654A" w14:textId="77777777" w:rsidR="00722E5C" w:rsidRPr="00D07677" w:rsidRDefault="00722E5C" w:rsidP="00722E5C">
            <w:pPr>
              <w:tabs>
                <w:tab w:val="decimal" w:pos="279"/>
              </w:tabs>
              <w:jc w:val="right"/>
              <w:rPr>
                <w:sz w:val="20"/>
              </w:rPr>
            </w:pPr>
            <w:r w:rsidRPr="00D07677">
              <w:rPr>
                <w:sz w:val="20"/>
              </w:rPr>
              <w:t>2.6</w:t>
            </w:r>
          </w:p>
        </w:tc>
        <w:tc>
          <w:tcPr>
            <w:tcW w:w="709" w:type="dxa"/>
            <w:shd w:val="clear" w:color="auto" w:fill="auto"/>
            <w:noWrap/>
            <w:vAlign w:val="bottom"/>
          </w:tcPr>
          <w:p w14:paraId="094B8361" w14:textId="77777777" w:rsidR="00722E5C" w:rsidRPr="00D07677" w:rsidRDefault="00722E5C" w:rsidP="00722E5C">
            <w:pPr>
              <w:ind w:left="137" w:hanging="137"/>
              <w:jc w:val="right"/>
              <w:rPr>
                <w:b/>
                <w:sz w:val="20"/>
              </w:rPr>
            </w:pPr>
            <w:r w:rsidRPr="00D07677">
              <w:rPr>
                <w:b/>
                <w:sz w:val="20"/>
              </w:rPr>
              <w:t>1.5</w:t>
            </w:r>
          </w:p>
        </w:tc>
      </w:tr>
      <w:tr w:rsidR="00722E5C" w:rsidRPr="00D07677" w14:paraId="540AA777" w14:textId="77777777" w:rsidTr="00440578">
        <w:trPr>
          <w:trHeight w:val="533"/>
          <w:jc w:val="center"/>
        </w:trPr>
        <w:tc>
          <w:tcPr>
            <w:tcW w:w="2110" w:type="dxa"/>
            <w:shd w:val="clear" w:color="auto" w:fill="auto"/>
            <w:noWrap/>
            <w:vAlign w:val="bottom"/>
          </w:tcPr>
          <w:p w14:paraId="493D9669" w14:textId="77777777" w:rsidR="00722E5C" w:rsidRPr="00D07677" w:rsidRDefault="00722E5C" w:rsidP="00722E5C">
            <w:pPr>
              <w:spacing w:before="60"/>
              <w:jc w:val="right"/>
              <w:rPr>
                <w:sz w:val="20"/>
                <w:szCs w:val="20"/>
              </w:rPr>
            </w:pPr>
          </w:p>
        </w:tc>
        <w:tc>
          <w:tcPr>
            <w:tcW w:w="1559" w:type="dxa"/>
            <w:shd w:val="clear" w:color="auto" w:fill="auto"/>
            <w:noWrap/>
            <w:vAlign w:val="bottom"/>
          </w:tcPr>
          <w:p w14:paraId="5AC00A17" w14:textId="77777777" w:rsidR="00722E5C" w:rsidRPr="00D11558" w:rsidRDefault="00722E5C" w:rsidP="00722E5C">
            <w:pPr>
              <w:spacing w:before="60"/>
              <w:rPr>
                <w:b/>
                <w:sz w:val="20"/>
              </w:rPr>
            </w:pPr>
            <w:r w:rsidRPr="00D11558">
              <w:rPr>
                <w:b/>
                <w:sz w:val="20"/>
              </w:rPr>
              <w:t>Average</w:t>
            </w:r>
          </w:p>
        </w:tc>
        <w:tc>
          <w:tcPr>
            <w:tcW w:w="992" w:type="dxa"/>
            <w:shd w:val="clear" w:color="auto" w:fill="auto"/>
            <w:noWrap/>
            <w:vAlign w:val="bottom"/>
          </w:tcPr>
          <w:p w14:paraId="14500D4B" w14:textId="77777777" w:rsidR="00722E5C" w:rsidRPr="00D81BEB" w:rsidRDefault="00722E5C" w:rsidP="00722E5C">
            <w:pPr>
              <w:spacing w:before="60"/>
              <w:jc w:val="right"/>
              <w:rPr>
                <w:b/>
                <w:sz w:val="20"/>
              </w:rPr>
            </w:pPr>
            <w:r w:rsidRPr="00D81BEB">
              <w:rPr>
                <w:b/>
                <w:sz w:val="20"/>
              </w:rPr>
              <w:fldChar w:fldCharType="begin"/>
            </w:r>
            <w:r w:rsidRPr="00D81BEB">
              <w:rPr>
                <w:b/>
                <w:sz w:val="20"/>
              </w:rPr>
              <w:instrText xml:space="preserve"> =average(ABOVE) \# "0" </w:instrText>
            </w:r>
            <w:r w:rsidRPr="00D81BEB">
              <w:rPr>
                <w:b/>
                <w:sz w:val="20"/>
              </w:rPr>
              <w:fldChar w:fldCharType="separate"/>
            </w:r>
            <w:r>
              <w:rPr>
                <w:b/>
                <w:noProof/>
                <w:sz w:val="20"/>
              </w:rPr>
              <w:t>4</w:t>
            </w:r>
            <w:r w:rsidRPr="00D81BEB">
              <w:rPr>
                <w:b/>
                <w:sz w:val="20"/>
              </w:rPr>
              <w:fldChar w:fldCharType="end"/>
            </w:r>
          </w:p>
        </w:tc>
        <w:tc>
          <w:tcPr>
            <w:tcW w:w="709" w:type="dxa"/>
            <w:shd w:val="clear" w:color="auto" w:fill="auto"/>
            <w:noWrap/>
            <w:vAlign w:val="bottom"/>
          </w:tcPr>
          <w:p w14:paraId="5E1AB02A" w14:textId="77777777" w:rsidR="00722E5C" w:rsidRPr="00D81BEB" w:rsidRDefault="00722E5C" w:rsidP="00722E5C">
            <w:pPr>
              <w:spacing w:before="60"/>
              <w:jc w:val="right"/>
              <w:rPr>
                <w:b/>
              </w:rPr>
            </w:pPr>
            <w:r w:rsidRPr="00D81BEB">
              <w:rPr>
                <w:b/>
                <w:sz w:val="20"/>
              </w:rPr>
              <w:fldChar w:fldCharType="begin"/>
            </w:r>
            <w:r w:rsidRPr="00D81BEB">
              <w:rPr>
                <w:b/>
                <w:sz w:val="20"/>
              </w:rPr>
              <w:instrText xml:space="preserve"> =average(ABOVE) \# "0" </w:instrText>
            </w:r>
            <w:r w:rsidRPr="00D81BEB">
              <w:rPr>
                <w:b/>
                <w:sz w:val="20"/>
              </w:rPr>
              <w:fldChar w:fldCharType="separate"/>
            </w:r>
            <w:r>
              <w:rPr>
                <w:b/>
                <w:noProof/>
                <w:sz w:val="20"/>
              </w:rPr>
              <w:t>4</w:t>
            </w:r>
            <w:r w:rsidRPr="00D81BEB">
              <w:rPr>
                <w:b/>
                <w:sz w:val="20"/>
              </w:rPr>
              <w:fldChar w:fldCharType="end"/>
            </w:r>
          </w:p>
        </w:tc>
        <w:tc>
          <w:tcPr>
            <w:tcW w:w="567" w:type="dxa"/>
            <w:vAlign w:val="bottom"/>
          </w:tcPr>
          <w:p w14:paraId="40E524C2" w14:textId="77777777" w:rsidR="00722E5C" w:rsidRPr="00D81BEB" w:rsidRDefault="00722E5C" w:rsidP="00722E5C">
            <w:pPr>
              <w:spacing w:before="60"/>
              <w:jc w:val="right"/>
              <w:rPr>
                <w:b/>
              </w:rPr>
            </w:pPr>
            <w:r w:rsidRPr="00D81BEB">
              <w:rPr>
                <w:b/>
                <w:sz w:val="20"/>
              </w:rPr>
              <w:fldChar w:fldCharType="begin"/>
            </w:r>
            <w:r w:rsidRPr="00D81BEB">
              <w:rPr>
                <w:b/>
                <w:sz w:val="20"/>
              </w:rPr>
              <w:instrText xml:space="preserve"> =average(ABOVE) \# "0" </w:instrText>
            </w:r>
            <w:r w:rsidRPr="00D81BEB">
              <w:rPr>
                <w:b/>
                <w:sz w:val="20"/>
              </w:rPr>
              <w:fldChar w:fldCharType="separate"/>
            </w:r>
            <w:r>
              <w:rPr>
                <w:b/>
                <w:noProof/>
                <w:sz w:val="20"/>
              </w:rPr>
              <w:t>8</w:t>
            </w:r>
            <w:r w:rsidRPr="00D81BEB">
              <w:rPr>
                <w:b/>
                <w:sz w:val="20"/>
              </w:rPr>
              <w:fldChar w:fldCharType="end"/>
            </w:r>
          </w:p>
        </w:tc>
        <w:tc>
          <w:tcPr>
            <w:tcW w:w="758" w:type="dxa"/>
            <w:shd w:val="clear" w:color="auto" w:fill="auto"/>
            <w:noWrap/>
            <w:vAlign w:val="bottom"/>
          </w:tcPr>
          <w:p w14:paraId="31BFF6BA" w14:textId="77777777" w:rsidR="00722E5C" w:rsidRPr="00D81BEB" w:rsidRDefault="00722E5C" w:rsidP="00722E5C">
            <w:pPr>
              <w:tabs>
                <w:tab w:val="decimal" w:pos="279"/>
              </w:tabs>
              <w:spacing w:before="60"/>
              <w:jc w:val="right"/>
              <w:rPr>
                <w:b/>
              </w:rPr>
            </w:pPr>
            <w:r w:rsidRPr="00D81BEB">
              <w:rPr>
                <w:b/>
                <w:sz w:val="20"/>
              </w:rPr>
              <w:fldChar w:fldCharType="begin"/>
            </w:r>
            <w:r w:rsidRPr="00D81BEB">
              <w:rPr>
                <w:b/>
                <w:sz w:val="20"/>
              </w:rPr>
              <w:instrText xml:space="preserve"> =average(ABOVE) \# "0.0" </w:instrText>
            </w:r>
            <w:r w:rsidRPr="00D81BEB">
              <w:rPr>
                <w:b/>
                <w:sz w:val="20"/>
              </w:rPr>
              <w:fldChar w:fldCharType="separate"/>
            </w:r>
            <w:r>
              <w:rPr>
                <w:b/>
                <w:noProof/>
                <w:sz w:val="20"/>
              </w:rPr>
              <w:t>6.6</w:t>
            </w:r>
            <w:r w:rsidRPr="00D81BEB">
              <w:rPr>
                <w:b/>
                <w:sz w:val="20"/>
              </w:rPr>
              <w:fldChar w:fldCharType="end"/>
            </w:r>
          </w:p>
        </w:tc>
        <w:tc>
          <w:tcPr>
            <w:tcW w:w="709" w:type="dxa"/>
            <w:shd w:val="clear" w:color="auto" w:fill="auto"/>
            <w:noWrap/>
            <w:vAlign w:val="bottom"/>
          </w:tcPr>
          <w:p w14:paraId="2C6905A7" w14:textId="77777777" w:rsidR="00722E5C" w:rsidRPr="00D81BEB" w:rsidRDefault="00722E5C" w:rsidP="00722E5C">
            <w:pPr>
              <w:spacing w:before="60"/>
              <w:ind w:left="137" w:hanging="137"/>
              <w:jc w:val="right"/>
              <w:rPr>
                <w:b/>
              </w:rPr>
            </w:pPr>
            <w:r w:rsidRPr="00D81BEB">
              <w:rPr>
                <w:b/>
                <w:sz w:val="20"/>
              </w:rPr>
              <w:fldChar w:fldCharType="begin"/>
            </w:r>
            <w:r w:rsidRPr="00D81BEB">
              <w:rPr>
                <w:b/>
                <w:sz w:val="20"/>
              </w:rPr>
              <w:instrText xml:space="preserve"> =average(ABOVE) \# "0.0" </w:instrText>
            </w:r>
            <w:r w:rsidRPr="00D81BEB">
              <w:rPr>
                <w:b/>
                <w:sz w:val="20"/>
              </w:rPr>
              <w:fldChar w:fldCharType="separate"/>
            </w:r>
            <w:r>
              <w:rPr>
                <w:b/>
                <w:noProof/>
                <w:sz w:val="20"/>
              </w:rPr>
              <w:t>3.5</w:t>
            </w:r>
            <w:r w:rsidRPr="00D81BEB">
              <w:rPr>
                <w:b/>
                <w:sz w:val="20"/>
              </w:rPr>
              <w:fldChar w:fldCharType="end"/>
            </w:r>
          </w:p>
        </w:tc>
      </w:tr>
      <w:tr w:rsidR="00722E5C" w:rsidRPr="00D07677" w14:paraId="2E976B2A" w14:textId="77777777" w:rsidTr="00440578">
        <w:trPr>
          <w:trHeight w:val="240"/>
          <w:jc w:val="center"/>
        </w:trPr>
        <w:tc>
          <w:tcPr>
            <w:tcW w:w="2110" w:type="dxa"/>
            <w:shd w:val="clear" w:color="auto" w:fill="auto"/>
            <w:noWrap/>
            <w:vAlign w:val="bottom"/>
          </w:tcPr>
          <w:p w14:paraId="37C76B3B" w14:textId="77777777" w:rsidR="00722E5C" w:rsidRPr="00554898" w:rsidRDefault="00722E5C" w:rsidP="00722E5C">
            <w:pPr>
              <w:rPr>
                <w:b/>
                <w:i/>
                <w:sz w:val="20"/>
                <w:szCs w:val="20"/>
              </w:rPr>
            </w:pPr>
          </w:p>
        </w:tc>
        <w:tc>
          <w:tcPr>
            <w:tcW w:w="1559" w:type="dxa"/>
            <w:shd w:val="clear" w:color="auto" w:fill="auto"/>
            <w:noWrap/>
            <w:vAlign w:val="bottom"/>
          </w:tcPr>
          <w:p w14:paraId="78697898" w14:textId="77777777" w:rsidR="00722E5C" w:rsidRPr="00D07677" w:rsidRDefault="00722E5C" w:rsidP="00722E5C">
            <w:pPr>
              <w:rPr>
                <w:sz w:val="20"/>
              </w:rPr>
            </w:pPr>
          </w:p>
        </w:tc>
        <w:tc>
          <w:tcPr>
            <w:tcW w:w="992" w:type="dxa"/>
            <w:shd w:val="clear" w:color="auto" w:fill="auto"/>
            <w:noWrap/>
            <w:vAlign w:val="bottom"/>
          </w:tcPr>
          <w:p w14:paraId="014447F9" w14:textId="77777777" w:rsidR="00722E5C" w:rsidRPr="00D07677" w:rsidRDefault="00722E5C" w:rsidP="00722E5C">
            <w:pPr>
              <w:jc w:val="right"/>
              <w:rPr>
                <w:sz w:val="20"/>
              </w:rPr>
            </w:pPr>
          </w:p>
        </w:tc>
        <w:tc>
          <w:tcPr>
            <w:tcW w:w="709" w:type="dxa"/>
            <w:shd w:val="clear" w:color="auto" w:fill="auto"/>
            <w:noWrap/>
            <w:vAlign w:val="bottom"/>
          </w:tcPr>
          <w:p w14:paraId="3389CC89" w14:textId="77777777" w:rsidR="00722E5C" w:rsidRPr="00D07677" w:rsidRDefault="00722E5C" w:rsidP="00722E5C">
            <w:pPr>
              <w:jc w:val="right"/>
              <w:rPr>
                <w:sz w:val="20"/>
              </w:rPr>
            </w:pPr>
          </w:p>
        </w:tc>
        <w:tc>
          <w:tcPr>
            <w:tcW w:w="567" w:type="dxa"/>
            <w:vAlign w:val="bottom"/>
          </w:tcPr>
          <w:p w14:paraId="48787CA3" w14:textId="77777777" w:rsidR="00722E5C" w:rsidRPr="00D07677" w:rsidRDefault="00722E5C" w:rsidP="00722E5C">
            <w:pPr>
              <w:jc w:val="right"/>
              <w:rPr>
                <w:b/>
                <w:sz w:val="20"/>
              </w:rPr>
            </w:pPr>
          </w:p>
        </w:tc>
        <w:tc>
          <w:tcPr>
            <w:tcW w:w="758" w:type="dxa"/>
            <w:shd w:val="clear" w:color="auto" w:fill="auto"/>
            <w:noWrap/>
            <w:vAlign w:val="bottom"/>
          </w:tcPr>
          <w:p w14:paraId="51524887" w14:textId="77777777" w:rsidR="00722E5C" w:rsidRPr="00D07677" w:rsidRDefault="00722E5C" w:rsidP="00722E5C">
            <w:pPr>
              <w:tabs>
                <w:tab w:val="decimal" w:pos="279"/>
              </w:tabs>
              <w:jc w:val="right"/>
              <w:rPr>
                <w:sz w:val="20"/>
              </w:rPr>
            </w:pPr>
          </w:p>
        </w:tc>
        <w:tc>
          <w:tcPr>
            <w:tcW w:w="709" w:type="dxa"/>
            <w:shd w:val="clear" w:color="auto" w:fill="auto"/>
            <w:noWrap/>
            <w:vAlign w:val="bottom"/>
          </w:tcPr>
          <w:p w14:paraId="5CB533F7" w14:textId="77777777" w:rsidR="00722E5C" w:rsidRPr="00D07677" w:rsidRDefault="00722E5C" w:rsidP="00722E5C">
            <w:pPr>
              <w:jc w:val="right"/>
              <w:rPr>
                <w:b/>
                <w:sz w:val="20"/>
              </w:rPr>
            </w:pPr>
          </w:p>
        </w:tc>
      </w:tr>
      <w:tr w:rsidR="00722E5C" w:rsidRPr="00D07677" w14:paraId="76505B91" w14:textId="77777777" w:rsidTr="00440578">
        <w:trPr>
          <w:trHeight w:val="240"/>
          <w:jc w:val="center"/>
        </w:trPr>
        <w:tc>
          <w:tcPr>
            <w:tcW w:w="2110" w:type="dxa"/>
            <w:shd w:val="clear" w:color="auto" w:fill="auto"/>
            <w:noWrap/>
            <w:vAlign w:val="bottom"/>
          </w:tcPr>
          <w:p w14:paraId="01F6FB56" w14:textId="77777777" w:rsidR="00722E5C" w:rsidRPr="00554898" w:rsidRDefault="00722E5C" w:rsidP="00722E5C">
            <w:pPr>
              <w:rPr>
                <w:b/>
                <w:i/>
                <w:sz w:val="20"/>
                <w:szCs w:val="20"/>
              </w:rPr>
            </w:pPr>
            <w:r w:rsidRPr="00554898">
              <w:rPr>
                <w:b/>
                <w:i/>
                <w:sz w:val="20"/>
                <w:szCs w:val="20"/>
              </w:rPr>
              <w:t>Private label</w:t>
            </w:r>
          </w:p>
        </w:tc>
        <w:tc>
          <w:tcPr>
            <w:tcW w:w="1559" w:type="dxa"/>
            <w:shd w:val="clear" w:color="auto" w:fill="auto"/>
            <w:noWrap/>
            <w:vAlign w:val="bottom"/>
          </w:tcPr>
          <w:p w14:paraId="7B14B3E2" w14:textId="77777777" w:rsidR="00722E5C" w:rsidRPr="00D07677" w:rsidRDefault="00722E5C" w:rsidP="00722E5C">
            <w:pPr>
              <w:rPr>
                <w:sz w:val="20"/>
              </w:rPr>
            </w:pPr>
          </w:p>
        </w:tc>
        <w:tc>
          <w:tcPr>
            <w:tcW w:w="992" w:type="dxa"/>
            <w:shd w:val="clear" w:color="auto" w:fill="auto"/>
            <w:noWrap/>
            <w:vAlign w:val="bottom"/>
          </w:tcPr>
          <w:p w14:paraId="6445D44C" w14:textId="77777777" w:rsidR="00722E5C" w:rsidRPr="00D07677" w:rsidRDefault="00722E5C" w:rsidP="00722E5C">
            <w:pPr>
              <w:jc w:val="right"/>
              <w:rPr>
                <w:sz w:val="20"/>
              </w:rPr>
            </w:pPr>
          </w:p>
        </w:tc>
        <w:tc>
          <w:tcPr>
            <w:tcW w:w="709" w:type="dxa"/>
            <w:shd w:val="clear" w:color="auto" w:fill="auto"/>
            <w:noWrap/>
            <w:vAlign w:val="bottom"/>
          </w:tcPr>
          <w:p w14:paraId="65EE4771" w14:textId="77777777" w:rsidR="00722E5C" w:rsidRPr="00D07677" w:rsidRDefault="00722E5C" w:rsidP="00722E5C">
            <w:pPr>
              <w:jc w:val="right"/>
              <w:rPr>
                <w:sz w:val="20"/>
              </w:rPr>
            </w:pPr>
          </w:p>
        </w:tc>
        <w:tc>
          <w:tcPr>
            <w:tcW w:w="567" w:type="dxa"/>
            <w:vAlign w:val="bottom"/>
          </w:tcPr>
          <w:p w14:paraId="0137A01B" w14:textId="77777777" w:rsidR="00722E5C" w:rsidRPr="00D07677" w:rsidRDefault="00722E5C" w:rsidP="00722E5C">
            <w:pPr>
              <w:jc w:val="right"/>
              <w:rPr>
                <w:b/>
                <w:sz w:val="20"/>
              </w:rPr>
            </w:pPr>
          </w:p>
        </w:tc>
        <w:tc>
          <w:tcPr>
            <w:tcW w:w="758" w:type="dxa"/>
            <w:shd w:val="clear" w:color="auto" w:fill="auto"/>
            <w:noWrap/>
            <w:vAlign w:val="bottom"/>
          </w:tcPr>
          <w:p w14:paraId="4E05EE6B" w14:textId="77777777" w:rsidR="00722E5C" w:rsidRPr="00D07677" w:rsidRDefault="00722E5C" w:rsidP="00722E5C">
            <w:pPr>
              <w:tabs>
                <w:tab w:val="decimal" w:pos="279"/>
              </w:tabs>
              <w:jc w:val="right"/>
              <w:rPr>
                <w:sz w:val="20"/>
              </w:rPr>
            </w:pPr>
          </w:p>
        </w:tc>
        <w:tc>
          <w:tcPr>
            <w:tcW w:w="709" w:type="dxa"/>
            <w:shd w:val="clear" w:color="auto" w:fill="auto"/>
            <w:noWrap/>
            <w:vAlign w:val="bottom"/>
          </w:tcPr>
          <w:p w14:paraId="54986B11" w14:textId="77777777" w:rsidR="00722E5C" w:rsidRPr="00D07677" w:rsidRDefault="00722E5C" w:rsidP="00722E5C">
            <w:pPr>
              <w:jc w:val="right"/>
              <w:rPr>
                <w:b/>
                <w:sz w:val="20"/>
              </w:rPr>
            </w:pPr>
          </w:p>
        </w:tc>
      </w:tr>
      <w:tr w:rsidR="00722E5C" w:rsidRPr="00D07677" w14:paraId="2B747D3E" w14:textId="77777777" w:rsidTr="00440578">
        <w:trPr>
          <w:trHeight w:val="240"/>
          <w:jc w:val="center"/>
        </w:trPr>
        <w:tc>
          <w:tcPr>
            <w:tcW w:w="2110" w:type="dxa"/>
            <w:shd w:val="clear" w:color="auto" w:fill="auto"/>
            <w:noWrap/>
            <w:vAlign w:val="bottom"/>
          </w:tcPr>
          <w:p w14:paraId="03D5B534" w14:textId="77777777" w:rsidR="00722E5C" w:rsidRPr="00D07677" w:rsidRDefault="00722E5C" w:rsidP="00722E5C">
            <w:pPr>
              <w:rPr>
                <w:sz w:val="20"/>
                <w:szCs w:val="20"/>
              </w:rPr>
            </w:pPr>
            <w:r>
              <w:rPr>
                <w:sz w:val="20"/>
                <w:szCs w:val="20"/>
              </w:rPr>
              <w:t xml:space="preserve"> A</w:t>
            </w:r>
            <w:r w:rsidRPr="00D07677">
              <w:rPr>
                <w:sz w:val="20"/>
                <w:szCs w:val="20"/>
              </w:rPr>
              <w:t>nalgesics</w:t>
            </w:r>
          </w:p>
        </w:tc>
        <w:tc>
          <w:tcPr>
            <w:tcW w:w="1559" w:type="dxa"/>
            <w:shd w:val="clear" w:color="auto" w:fill="auto"/>
            <w:noWrap/>
            <w:vAlign w:val="bottom"/>
          </w:tcPr>
          <w:p w14:paraId="3895322E" w14:textId="77777777" w:rsidR="00722E5C" w:rsidRPr="00D07677" w:rsidRDefault="00722E5C" w:rsidP="00722E5C">
            <w:pPr>
              <w:rPr>
                <w:sz w:val="20"/>
              </w:rPr>
            </w:pPr>
            <w:r w:rsidRPr="00D07677">
              <w:rPr>
                <w:sz w:val="20"/>
              </w:rPr>
              <w:t xml:space="preserve"> Asda</w:t>
            </w:r>
          </w:p>
        </w:tc>
        <w:tc>
          <w:tcPr>
            <w:tcW w:w="992" w:type="dxa"/>
            <w:shd w:val="clear" w:color="auto" w:fill="auto"/>
            <w:noWrap/>
            <w:vAlign w:val="bottom"/>
          </w:tcPr>
          <w:p w14:paraId="4EB2E195" w14:textId="77777777" w:rsidR="00722E5C" w:rsidRPr="00D07677" w:rsidRDefault="00722E5C" w:rsidP="00722E5C">
            <w:pPr>
              <w:jc w:val="right"/>
              <w:rPr>
                <w:sz w:val="20"/>
              </w:rPr>
            </w:pPr>
            <w:r w:rsidRPr="00D07677">
              <w:rPr>
                <w:sz w:val="20"/>
              </w:rPr>
              <w:t>16</w:t>
            </w:r>
          </w:p>
        </w:tc>
        <w:tc>
          <w:tcPr>
            <w:tcW w:w="709" w:type="dxa"/>
            <w:shd w:val="clear" w:color="auto" w:fill="auto"/>
            <w:noWrap/>
            <w:vAlign w:val="bottom"/>
          </w:tcPr>
          <w:p w14:paraId="3F84E6EC" w14:textId="77777777" w:rsidR="00722E5C" w:rsidRPr="00D07677" w:rsidRDefault="00722E5C" w:rsidP="00722E5C">
            <w:pPr>
              <w:jc w:val="right"/>
              <w:rPr>
                <w:sz w:val="20"/>
              </w:rPr>
            </w:pPr>
            <w:r w:rsidRPr="00D07677">
              <w:rPr>
                <w:sz w:val="20"/>
              </w:rPr>
              <w:t>13</w:t>
            </w:r>
          </w:p>
        </w:tc>
        <w:tc>
          <w:tcPr>
            <w:tcW w:w="567" w:type="dxa"/>
            <w:vAlign w:val="bottom"/>
          </w:tcPr>
          <w:p w14:paraId="689BC4BF" w14:textId="77777777" w:rsidR="00722E5C" w:rsidRPr="00D07677" w:rsidRDefault="00722E5C" w:rsidP="00722E5C">
            <w:pPr>
              <w:jc w:val="right"/>
              <w:rPr>
                <w:b/>
                <w:sz w:val="20"/>
              </w:rPr>
            </w:pPr>
            <w:r w:rsidRPr="00D07677">
              <w:rPr>
                <w:b/>
                <w:sz w:val="20"/>
              </w:rPr>
              <w:t>17</w:t>
            </w:r>
          </w:p>
        </w:tc>
        <w:tc>
          <w:tcPr>
            <w:tcW w:w="758" w:type="dxa"/>
            <w:shd w:val="clear" w:color="auto" w:fill="auto"/>
            <w:noWrap/>
            <w:vAlign w:val="bottom"/>
          </w:tcPr>
          <w:p w14:paraId="3AD7CB7F" w14:textId="77777777" w:rsidR="00722E5C" w:rsidRPr="00D07677" w:rsidRDefault="00722E5C" w:rsidP="00722E5C">
            <w:pPr>
              <w:tabs>
                <w:tab w:val="decimal" w:pos="279"/>
              </w:tabs>
              <w:jc w:val="right"/>
              <w:rPr>
                <w:sz w:val="20"/>
              </w:rPr>
            </w:pPr>
            <w:r w:rsidRPr="00D07677">
              <w:rPr>
                <w:sz w:val="20"/>
              </w:rPr>
              <w:t>3.7</w:t>
            </w:r>
          </w:p>
        </w:tc>
        <w:tc>
          <w:tcPr>
            <w:tcW w:w="709" w:type="dxa"/>
            <w:shd w:val="clear" w:color="auto" w:fill="auto"/>
            <w:noWrap/>
            <w:vAlign w:val="bottom"/>
          </w:tcPr>
          <w:p w14:paraId="03A6A780" w14:textId="77777777" w:rsidR="00722E5C" w:rsidRPr="00D07677" w:rsidRDefault="00722E5C" w:rsidP="00722E5C">
            <w:pPr>
              <w:jc w:val="right"/>
              <w:rPr>
                <w:b/>
                <w:sz w:val="20"/>
              </w:rPr>
            </w:pPr>
            <w:r w:rsidRPr="00D07677">
              <w:rPr>
                <w:b/>
                <w:sz w:val="20"/>
              </w:rPr>
              <w:t>2.7</w:t>
            </w:r>
          </w:p>
        </w:tc>
      </w:tr>
      <w:tr w:rsidR="00722E5C" w:rsidRPr="00D07677" w14:paraId="694C2C4F" w14:textId="77777777" w:rsidTr="00440578">
        <w:trPr>
          <w:trHeight w:val="240"/>
          <w:jc w:val="center"/>
        </w:trPr>
        <w:tc>
          <w:tcPr>
            <w:tcW w:w="2110" w:type="dxa"/>
            <w:shd w:val="clear" w:color="auto" w:fill="auto"/>
            <w:noWrap/>
            <w:vAlign w:val="bottom"/>
          </w:tcPr>
          <w:p w14:paraId="2EF57FA7" w14:textId="77777777" w:rsidR="00722E5C" w:rsidRPr="00D07677" w:rsidRDefault="00722E5C" w:rsidP="00722E5C">
            <w:pPr>
              <w:rPr>
                <w:sz w:val="20"/>
                <w:szCs w:val="20"/>
              </w:rPr>
            </w:pPr>
            <w:r>
              <w:rPr>
                <w:sz w:val="20"/>
                <w:szCs w:val="20"/>
              </w:rPr>
              <w:t xml:space="preserve"> </w:t>
            </w:r>
            <w:r w:rsidRPr="00D07677">
              <w:rPr>
                <w:sz w:val="20"/>
                <w:szCs w:val="20"/>
              </w:rPr>
              <w:t>Ice Cream</w:t>
            </w:r>
          </w:p>
        </w:tc>
        <w:tc>
          <w:tcPr>
            <w:tcW w:w="1559" w:type="dxa"/>
            <w:shd w:val="clear" w:color="auto" w:fill="auto"/>
            <w:noWrap/>
            <w:vAlign w:val="bottom"/>
          </w:tcPr>
          <w:p w14:paraId="1B2EF220" w14:textId="77777777" w:rsidR="00722E5C" w:rsidRPr="00D07677" w:rsidRDefault="00722E5C" w:rsidP="00722E5C">
            <w:pPr>
              <w:rPr>
                <w:sz w:val="20"/>
              </w:rPr>
            </w:pPr>
            <w:r w:rsidRPr="00D07677">
              <w:rPr>
                <w:sz w:val="20"/>
              </w:rPr>
              <w:t xml:space="preserve"> Morrisons</w:t>
            </w:r>
          </w:p>
        </w:tc>
        <w:tc>
          <w:tcPr>
            <w:tcW w:w="992" w:type="dxa"/>
            <w:shd w:val="clear" w:color="auto" w:fill="auto"/>
            <w:noWrap/>
            <w:vAlign w:val="bottom"/>
          </w:tcPr>
          <w:p w14:paraId="730B81E6" w14:textId="77777777" w:rsidR="00722E5C" w:rsidRPr="00D07677" w:rsidRDefault="00722E5C" w:rsidP="00722E5C">
            <w:pPr>
              <w:jc w:val="right"/>
              <w:rPr>
                <w:sz w:val="20"/>
              </w:rPr>
            </w:pPr>
            <w:r w:rsidRPr="00D07677">
              <w:rPr>
                <w:sz w:val="20"/>
              </w:rPr>
              <w:t>5</w:t>
            </w:r>
          </w:p>
        </w:tc>
        <w:tc>
          <w:tcPr>
            <w:tcW w:w="709" w:type="dxa"/>
            <w:shd w:val="clear" w:color="auto" w:fill="auto"/>
            <w:noWrap/>
            <w:vAlign w:val="bottom"/>
          </w:tcPr>
          <w:p w14:paraId="1B835150" w14:textId="77777777" w:rsidR="00722E5C" w:rsidRPr="00D07677" w:rsidRDefault="00722E5C" w:rsidP="00722E5C">
            <w:pPr>
              <w:jc w:val="right"/>
              <w:rPr>
                <w:sz w:val="20"/>
              </w:rPr>
            </w:pPr>
            <w:r w:rsidRPr="00D07677">
              <w:rPr>
                <w:sz w:val="20"/>
              </w:rPr>
              <w:t>13</w:t>
            </w:r>
          </w:p>
        </w:tc>
        <w:tc>
          <w:tcPr>
            <w:tcW w:w="567" w:type="dxa"/>
            <w:vAlign w:val="bottom"/>
          </w:tcPr>
          <w:p w14:paraId="17D32E2D" w14:textId="77777777" w:rsidR="00722E5C" w:rsidRPr="00D07677" w:rsidRDefault="00722E5C" w:rsidP="00722E5C">
            <w:pPr>
              <w:jc w:val="right"/>
              <w:rPr>
                <w:b/>
                <w:sz w:val="20"/>
              </w:rPr>
            </w:pPr>
            <w:r w:rsidRPr="00D07677">
              <w:rPr>
                <w:b/>
                <w:sz w:val="20"/>
              </w:rPr>
              <w:t>18</w:t>
            </w:r>
          </w:p>
        </w:tc>
        <w:tc>
          <w:tcPr>
            <w:tcW w:w="758" w:type="dxa"/>
            <w:shd w:val="clear" w:color="auto" w:fill="auto"/>
            <w:noWrap/>
            <w:vAlign w:val="bottom"/>
          </w:tcPr>
          <w:p w14:paraId="1B9F2C19" w14:textId="77777777" w:rsidR="00722E5C" w:rsidRPr="00D07677" w:rsidRDefault="00722E5C" w:rsidP="00722E5C">
            <w:pPr>
              <w:tabs>
                <w:tab w:val="decimal" w:pos="279"/>
              </w:tabs>
              <w:jc w:val="right"/>
              <w:rPr>
                <w:sz w:val="20"/>
              </w:rPr>
            </w:pPr>
            <w:r w:rsidRPr="00D07677">
              <w:rPr>
                <w:sz w:val="20"/>
              </w:rPr>
              <w:t>3.7</w:t>
            </w:r>
          </w:p>
        </w:tc>
        <w:tc>
          <w:tcPr>
            <w:tcW w:w="709" w:type="dxa"/>
            <w:shd w:val="clear" w:color="auto" w:fill="auto"/>
            <w:noWrap/>
            <w:vAlign w:val="bottom"/>
          </w:tcPr>
          <w:p w14:paraId="446B73F4" w14:textId="77777777" w:rsidR="00722E5C" w:rsidRPr="00D07677" w:rsidRDefault="00722E5C" w:rsidP="00722E5C">
            <w:pPr>
              <w:jc w:val="right"/>
              <w:rPr>
                <w:b/>
                <w:sz w:val="20"/>
              </w:rPr>
            </w:pPr>
            <w:r w:rsidRPr="00D07677">
              <w:rPr>
                <w:b/>
                <w:sz w:val="20"/>
              </w:rPr>
              <w:t>2.8</w:t>
            </w:r>
          </w:p>
        </w:tc>
      </w:tr>
      <w:tr w:rsidR="00722E5C" w:rsidRPr="00D07677" w14:paraId="66B5249E" w14:textId="77777777" w:rsidTr="00440578">
        <w:trPr>
          <w:trHeight w:val="240"/>
          <w:jc w:val="center"/>
        </w:trPr>
        <w:tc>
          <w:tcPr>
            <w:tcW w:w="2110" w:type="dxa"/>
            <w:shd w:val="clear" w:color="auto" w:fill="auto"/>
            <w:noWrap/>
            <w:vAlign w:val="bottom"/>
          </w:tcPr>
          <w:p w14:paraId="2A4CB648" w14:textId="77777777" w:rsidR="00722E5C" w:rsidRPr="00D07677" w:rsidRDefault="00722E5C" w:rsidP="00722E5C">
            <w:pPr>
              <w:rPr>
                <w:sz w:val="20"/>
                <w:szCs w:val="20"/>
              </w:rPr>
            </w:pPr>
            <w:r>
              <w:rPr>
                <w:sz w:val="20"/>
                <w:szCs w:val="20"/>
              </w:rPr>
              <w:t xml:space="preserve"> </w:t>
            </w:r>
            <w:r w:rsidRPr="00D07677">
              <w:rPr>
                <w:sz w:val="20"/>
                <w:szCs w:val="20"/>
              </w:rPr>
              <w:t>Soup</w:t>
            </w:r>
          </w:p>
        </w:tc>
        <w:tc>
          <w:tcPr>
            <w:tcW w:w="1559" w:type="dxa"/>
            <w:shd w:val="clear" w:color="auto" w:fill="auto"/>
            <w:noWrap/>
            <w:vAlign w:val="bottom"/>
          </w:tcPr>
          <w:p w14:paraId="5BF9AAFE" w14:textId="77777777" w:rsidR="00722E5C" w:rsidRPr="00D07677" w:rsidRDefault="00722E5C" w:rsidP="00722E5C">
            <w:pPr>
              <w:rPr>
                <w:sz w:val="20"/>
              </w:rPr>
            </w:pPr>
            <w:r w:rsidRPr="00D07677">
              <w:rPr>
                <w:sz w:val="20"/>
              </w:rPr>
              <w:t xml:space="preserve"> Tesco</w:t>
            </w:r>
          </w:p>
        </w:tc>
        <w:tc>
          <w:tcPr>
            <w:tcW w:w="992" w:type="dxa"/>
            <w:shd w:val="clear" w:color="auto" w:fill="auto"/>
            <w:noWrap/>
            <w:vAlign w:val="bottom"/>
          </w:tcPr>
          <w:p w14:paraId="1421AD04" w14:textId="77777777" w:rsidR="00722E5C" w:rsidRPr="00D07677" w:rsidRDefault="00722E5C" w:rsidP="00722E5C">
            <w:pPr>
              <w:jc w:val="right"/>
              <w:rPr>
                <w:sz w:val="20"/>
              </w:rPr>
            </w:pPr>
            <w:r w:rsidRPr="00D07677">
              <w:rPr>
                <w:sz w:val="20"/>
              </w:rPr>
              <w:t>7</w:t>
            </w:r>
          </w:p>
        </w:tc>
        <w:tc>
          <w:tcPr>
            <w:tcW w:w="709" w:type="dxa"/>
            <w:shd w:val="clear" w:color="auto" w:fill="auto"/>
            <w:noWrap/>
            <w:vAlign w:val="bottom"/>
          </w:tcPr>
          <w:p w14:paraId="6AF724A7" w14:textId="77777777" w:rsidR="00722E5C" w:rsidRPr="00D07677" w:rsidRDefault="00722E5C" w:rsidP="00722E5C">
            <w:pPr>
              <w:jc w:val="right"/>
              <w:rPr>
                <w:sz w:val="20"/>
              </w:rPr>
            </w:pPr>
            <w:r w:rsidRPr="00D07677">
              <w:rPr>
                <w:sz w:val="20"/>
              </w:rPr>
              <w:t>12</w:t>
            </w:r>
          </w:p>
        </w:tc>
        <w:tc>
          <w:tcPr>
            <w:tcW w:w="567" w:type="dxa"/>
            <w:vAlign w:val="bottom"/>
          </w:tcPr>
          <w:p w14:paraId="26460F55" w14:textId="77777777" w:rsidR="00722E5C" w:rsidRPr="00D07677" w:rsidRDefault="00722E5C" w:rsidP="00722E5C">
            <w:pPr>
              <w:jc w:val="right"/>
              <w:rPr>
                <w:b/>
                <w:sz w:val="20"/>
              </w:rPr>
            </w:pPr>
            <w:r w:rsidRPr="00D07677">
              <w:rPr>
                <w:b/>
                <w:sz w:val="20"/>
              </w:rPr>
              <w:t>15</w:t>
            </w:r>
          </w:p>
        </w:tc>
        <w:tc>
          <w:tcPr>
            <w:tcW w:w="758" w:type="dxa"/>
            <w:shd w:val="clear" w:color="auto" w:fill="auto"/>
            <w:noWrap/>
            <w:vAlign w:val="bottom"/>
          </w:tcPr>
          <w:p w14:paraId="68C702AC" w14:textId="77777777" w:rsidR="00722E5C" w:rsidRPr="00D07677" w:rsidRDefault="00722E5C" w:rsidP="00722E5C">
            <w:pPr>
              <w:tabs>
                <w:tab w:val="decimal" w:pos="279"/>
              </w:tabs>
              <w:jc w:val="right"/>
              <w:rPr>
                <w:sz w:val="20"/>
              </w:rPr>
            </w:pPr>
            <w:r w:rsidRPr="00D07677">
              <w:rPr>
                <w:sz w:val="20"/>
              </w:rPr>
              <w:t>5.6</w:t>
            </w:r>
          </w:p>
        </w:tc>
        <w:tc>
          <w:tcPr>
            <w:tcW w:w="709" w:type="dxa"/>
            <w:shd w:val="clear" w:color="auto" w:fill="auto"/>
            <w:noWrap/>
            <w:vAlign w:val="bottom"/>
          </w:tcPr>
          <w:p w14:paraId="35BE75AC" w14:textId="77777777" w:rsidR="00722E5C" w:rsidRPr="00D07677" w:rsidRDefault="00722E5C" w:rsidP="00722E5C">
            <w:pPr>
              <w:jc w:val="right"/>
              <w:rPr>
                <w:b/>
                <w:sz w:val="20"/>
              </w:rPr>
            </w:pPr>
            <w:r w:rsidRPr="00D07677">
              <w:rPr>
                <w:b/>
                <w:sz w:val="20"/>
              </w:rPr>
              <w:t>4.4</w:t>
            </w:r>
          </w:p>
        </w:tc>
      </w:tr>
      <w:tr w:rsidR="00722E5C" w:rsidRPr="00D07677" w14:paraId="2CE540BB" w14:textId="77777777" w:rsidTr="00440578">
        <w:trPr>
          <w:trHeight w:val="240"/>
          <w:jc w:val="center"/>
        </w:trPr>
        <w:tc>
          <w:tcPr>
            <w:tcW w:w="2110" w:type="dxa"/>
            <w:shd w:val="clear" w:color="auto" w:fill="auto"/>
            <w:noWrap/>
            <w:vAlign w:val="bottom"/>
          </w:tcPr>
          <w:p w14:paraId="4E4AB922" w14:textId="77777777" w:rsidR="00722E5C" w:rsidRPr="00D07677" w:rsidRDefault="00722E5C" w:rsidP="00722E5C">
            <w:pPr>
              <w:rPr>
                <w:sz w:val="20"/>
                <w:szCs w:val="20"/>
              </w:rPr>
            </w:pPr>
            <w:r>
              <w:rPr>
                <w:sz w:val="20"/>
                <w:szCs w:val="20"/>
              </w:rPr>
              <w:t xml:space="preserve"> </w:t>
            </w:r>
            <w:r w:rsidRPr="00D07677">
              <w:rPr>
                <w:sz w:val="20"/>
                <w:szCs w:val="20"/>
              </w:rPr>
              <w:t>Everyday biscuits</w:t>
            </w:r>
          </w:p>
        </w:tc>
        <w:tc>
          <w:tcPr>
            <w:tcW w:w="1559" w:type="dxa"/>
            <w:shd w:val="clear" w:color="auto" w:fill="auto"/>
            <w:noWrap/>
            <w:vAlign w:val="bottom"/>
          </w:tcPr>
          <w:p w14:paraId="23AD313C" w14:textId="77777777" w:rsidR="00722E5C" w:rsidRPr="00D07677" w:rsidRDefault="00722E5C" w:rsidP="00722E5C">
            <w:pPr>
              <w:rPr>
                <w:sz w:val="20"/>
              </w:rPr>
            </w:pPr>
            <w:r w:rsidRPr="00D07677">
              <w:rPr>
                <w:sz w:val="20"/>
              </w:rPr>
              <w:t xml:space="preserve"> Netto</w:t>
            </w:r>
          </w:p>
        </w:tc>
        <w:tc>
          <w:tcPr>
            <w:tcW w:w="992" w:type="dxa"/>
            <w:shd w:val="clear" w:color="auto" w:fill="auto"/>
            <w:noWrap/>
            <w:vAlign w:val="bottom"/>
          </w:tcPr>
          <w:p w14:paraId="46468325" w14:textId="77777777" w:rsidR="00722E5C" w:rsidRPr="00D07677" w:rsidRDefault="00722E5C" w:rsidP="00722E5C">
            <w:pPr>
              <w:jc w:val="right"/>
              <w:rPr>
                <w:sz w:val="20"/>
              </w:rPr>
            </w:pPr>
            <w:r w:rsidRPr="00D07677">
              <w:rPr>
                <w:sz w:val="20"/>
              </w:rPr>
              <w:t>2</w:t>
            </w:r>
          </w:p>
        </w:tc>
        <w:tc>
          <w:tcPr>
            <w:tcW w:w="709" w:type="dxa"/>
            <w:shd w:val="clear" w:color="auto" w:fill="auto"/>
            <w:noWrap/>
            <w:vAlign w:val="bottom"/>
          </w:tcPr>
          <w:p w14:paraId="1A21ECB3" w14:textId="77777777" w:rsidR="00722E5C" w:rsidRPr="00D07677" w:rsidRDefault="00722E5C" w:rsidP="00722E5C">
            <w:pPr>
              <w:jc w:val="right"/>
              <w:rPr>
                <w:sz w:val="20"/>
              </w:rPr>
            </w:pPr>
            <w:r w:rsidRPr="00D07677">
              <w:rPr>
                <w:sz w:val="20"/>
              </w:rPr>
              <w:t>4</w:t>
            </w:r>
          </w:p>
        </w:tc>
        <w:tc>
          <w:tcPr>
            <w:tcW w:w="567" w:type="dxa"/>
            <w:vAlign w:val="bottom"/>
          </w:tcPr>
          <w:p w14:paraId="228242BB" w14:textId="77777777" w:rsidR="00722E5C" w:rsidRPr="00D07677" w:rsidRDefault="00722E5C" w:rsidP="00722E5C">
            <w:pPr>
              <w:jc w:val="right"/>
              <w:rPr>
                <w:b/>
                <w:sz w:val="20"/>
              </w:rPr>
            </w:pPr>
            <w:r w:rsidRPr="00D07677">
              <w:rPr>
                <w:b/>
                <w:sz w:val="20"/>
              </w:rPr>
              <w:t>7</w:t>
            </w:r>
          </w:p>
        </w:tc>
        <w:tc>
          <w:tcPr>
            <w:tcW w:w="758" w:type="dxa"/>
            <w:shd w:val="clear" w:color="auto" w:fill="auto"/>
            <w:noWrap/>
            <w:vAlign w:val="bottom"/>
          </w:tcPr>
          <w:p w14:paraId="7A46C025" w14:textId="77777777" w:rsidR="00722E5C" w:rsidRPr="00D07677" w:rsidRDefault="00722E5C" w:rsidP="00722E5C">
            <w:pPr>
              <w:tabs>
                <w:tab w:val="decimal" w:pos="279"/>
              </w:tabs>
              <w:jc w:val="right"/>
              <w:rPr>
                <w:sz w:val="20"/>
              </w:rPr>
            </w:pPr>
            <w:r w:rsidRPr="00D07677">
              <w:rPr>
                <w:sz w:val="20"/>
              </w:rPr>
              <w:t>7.1</w:t>
            </w:r>
          </w:p>
        </w:tc>
        <w:tc>
          <w:tcPr>
            <w:tcW w:w="709" w:type="dxa"/>
            <w:shd w:val="clear" w:color="auto" w:fill="auto"/>
            <w:noWrap/>
            <w:vAlign w:val="bottom"/>
          </w:tcPr>
          <w:p w14:paraId="07463ED6" w14:textId="77777777" w:rsidR="00722E5C" w:rsidRPr="00D07677" w:rsidRDefault="00722E5C" w:rsidP="00722E5C">
            <w:pPr>
              <w:jc w:val="right"/>
              <w:rPr>
                <w:b/>
                <w:sz w:val="20"/>
              </w:rPr>
            </w:pPr>
            <w:r w:rsidRPr="00D07677">
              <w:rPr>
                <w:b/>
                <w:sz w:val="20"/>
              </w:rPr>
              <w:t>3.5</w:t>
            </w:r>
          </w:p>
        </w:tc>
      </w:tr>
      <w:tr w:rsidR="00722E5C" w:rsidRPr="00D07677" w14:paraId="05CCA999" w14:textId="77777777" w:rsidTr="00440578">
        <w:trPr>
          <w:trHeight w:val="240"/>
          <w:jc w:val="center"/>
        </w:trPr>
        <w:tc>
          <w:tcPr>
            <w:tcW w:w="2110" w:type="dxa"/>
            <w:shd w:val="clear" w:color="auto" w:fill="auto"/>
            <w:noWrap/>
            <w:vAlign w:val="bottom"/>
          </w:tcPr>
          <w:p w14:paraId="71F1071E" w14:textId="77777777" w:rsidR="00722E5C" w:rsidRPr="00D07677" w:rsidRDefault="00722E5C" w:rsidP="00722E5C">
            <w:pPr>
              <w:rPr>
                <w:sz w:val="20"/>
                <w:szCs w:val="20"/>
              </w:rPr>
            </w:pPr>
            <w:r>
              <w:rPr>
                <w:sz w:val="20"/>
                <w:szCs w:val="20"/>
              </w:rPr>
              <w:t xml:space="preserve"> </w:t>
            </w:r>
            <w:r w:rsidRPr="00D07677">
              <w:rPr>
                <w:sz w:val="20"/>
                <w:szCs w:val="20"/>
              </w:rPr>
              <w:t>Choc bisc. bars</w:t>
            </w:r>
          </w:p>
        </w:tc>
        <w:tc>
          <w:tcPr>
            <w:tcW w:w="1559" w:type="dxa"/>
            <w:shd w:val="clear" w:color="auto" w:fill="auto"/>
            <w:noWrap/>
            <w:vAlign w:val="bottom"/>
          </w:tcPr>
          <w:p w14:paraId="46AB0B26" w14:textId="77777777" w:rsidR="00722E5C" w:rsidRPr="00D07677" w:rsidRDefault="00722E5C" w:rsidP="00722E5C">
            <w:pPr>
              <w:rPr>
                <w:sz w:val="20"/>
              </w:rPr>
            </w:pPr>
            <w:r w:rsidRPr="00D07677">
              <w:rPr>
                <w:sz w:val="20"/>
              </w:rPr>
              <w:t xml:space="preserve"> Aldi</w:t>
            </w:r>
          </w:p>
        </w:tc>
        <w:tc>
          <w:tcPr>
            <w:tcW w:w="992" w:type="dxa"/>
            <w:shd w:val="clear" w:color="auto" w:fill="auto"/>
            <w:noWrap/>
            <w:vAlign w:val="bottom"/>
          </w:tcPr>
          <w:p w14:paraId="2AD79762" w14:textId="77777777" w:rsidR="00722E5C" w:rsidRPr="00D07677" w:rsidRDefault="00722E5C" w:rsidP="00722E5C">
            <w:pPr>
              <w:jc w:val="right"/>
              <w:rPr>
                <w:sz w:val="20"/>
              </w:rPr>
            </w:pPr>
            <w:r w:rsidRPr="00D07677">
              <w:rPr>
                <w:sz w:val="20"/>
              </w:rPr>
              <w:t>2</w:t>
            </w:r>
          </w:p>
        </w:tc>
        <w:tc>
          <w:tcPr>
            <w:tcW w:w="709" w:type="dxa"/>
            <w:shd w:val="clear" w:color="auto" w:fill="auto"/>
            <w:noWrap/>
            <w:vAlign w:val="bottom"/>
          </w:tcPr>
          <w:p w14:paraId="2BD757A1" w14:textId="77777777" w:rsidR="00722E5C" w:rsidRPr="00D07677" w:rsidRDefault="00722E5C" w:rsidP="00722E5C">
            <w:pPr>
              <w:jc w:val="right"/>
              <w:rPr>
                <w:sz w:val="20"/>
              </w:rPr>
            </w:pPr>
            <w:r w:rsidRPr="00D07677">
              <w:rPr>
                <w:sz w:val="20"/>
              </w:rPr>
              <w:t>4</w:t>
            </w:r>
          </w:p>
        </w:tc>
        <w:tc>
          <w:tcPr>
            <w:tcW w:w="567" w:type="dxa"/>
            <w:vAlign w:val="bottom"/>
          </w:tcPr>
          <w:p w14:paraId="7F498AD5" w14:textId="77777777" w:rsidR="00722E5C" w:rsidRPr="00D07677" w:rsidRDefault="00722E5C" w:rsidP="00722E5C">
            <w:pPr>
              <w:jc w:val="right"/>
              <w:rPr>
                <w:b/>
                <w:sz w:val="20"/>
              </w:rPr>
            </w:pPr>
            <w:r w:rsidRPr="00D07677">
              <w:rPr>
                <w:b/>
                <w:sz w:val="20"/>
              </w:rPr>
              <w:t>8</w:t>
            </w:r>
          </w:p>
        </w:tc>
        <w:tc>
          <w:tcPr>
            <w:tcW w:w="758" w:type="dxa"/>
            <w:shd w:val="clear" w:color="auto" w:fill="auto"/>
            <w:noWrap/>
            <w:vAlign w:val="bottom"/>
          </w:tcPr>
          <w:p w14:paraId="43601B4B" w14:textId="77777777" w:rsidR="00722E5C" w:rsidRPr="00D07677" w:rsidRDefault="00722E5C" w:rsidP="00722E5C">
            <w:pPr>
              <w:tabs>
                <w:tab w:val="decimal" w:pos="279"/>
              </w:tabs>
              <w:jc w:val="right"/>
              <w:rPr>
                <w:sz w:val="20"/>
              </w:rPr>
            </w:pPr>
            <w:r w:rsidRPr="00D07677">
              <w:rPr>
                <w:sz w:val="20"/>
              </w:rPr>
              <w:t>4.9</w:t>
            </w:r>
          </w:p>
        </w:tc>
        <w:tc>
          <w:tcPr>
            <w:tcW w:w="709" w:type="dxa"/>
            <w:shd w:val="clear" w:color="auto" w:fill="auto"/>
            <w:noWrap/>
            <w:vAlign w:val="bottom"/>
          </w:tcPr>
          <w:p w14:paraId="5903E748" w14:textId="77777777" w:rsidR="00722E5C" w:rsidRPr="00D07677" w:rsidRDefault="00722E5C" w:rsidP="00722E5C">
            <w:pPr>
              <w:jc w:val="right"/>
              <w:rPr>
                <w:b/>
                <w:sz w:val="20"/>
              </w:rPr>
            </w:pPr>
            <w:r w:rsidRPr="00D07677">
              <w:rPr>
                <w:b/>
                <w:sz w:val="20"/>
              </w:rPr>
              <w:t>2.6</w:t>
            </w:r>
          </w:p>
        </w:tc>
      </w:tr>
      <w:tr w:rsidR="00722E5C" w:rsidRPr="00D07677" w14:paraId="13725C66" w14:textId="77777777" w:rsidTr="00440578">
        <w:trPr>
          <w:trHeight w:val="240"/>
          <w:jc w:val="center"/>
        </w:trPr>
        <w:tc>
          <w:tcPr>
            <w:tcW w:w="2110" w:type="dxa"/>
            <w:shd w:val="clear" w:color="auto" w:fill="auto"/>
            <w:noWrap/>
            <w:vAlign w:val="bottom"/>
          </w:tcPr>
          <w:p w14:paraId="17931067" w14:textId="77777777" w:rsidR="00722E5C" w:rsidRPr="00D07677" w:rsidRDefault="00722E5C" w:rsidP="00722E5C">
            <w:pPr>
              <w:rPr>
                <w:sz w:val="20"/>
                <w:szCs w:val="20"/>
              </w:rPr>
            </w:pPr>
            <w:r>
              <w:rPr>
                <w:sz w:val="20"/>
                <w:szCs w:val="20"/>
              </w:rPr>
              <w:t xml:space="preserve"> </w:t>
            </w:r>
            <w:r w:rsidRPr="00D07677">
              <w:rPr>
                <w:sz w:val="20"/>
                <w:szCs w:val="20"/>
              </w:rPr>
              <w:t>Carbonated water</w:t>
            </w:r>
          </w:p>
        </w:tc>
        <w:tc>
          <w:tcPr>
            <w:tcW w:w="1559" w:type="dxa"/>
            <w:shd w:val="clear" w:color="auto" w:fill="auto"/>
            <w:noWrap/>
            <w:vAlign w:val="bottom"/>
          </w:tcPr>
          <w:p w14:paraId="7FE8ED45" w14:textId="77777777" w:rsidR="00722E5C" w:rsidRPr="00D07677" w:rsidRDefault="00722E5C" w:rsidP="00722E5C">
            <w:pPr>
              <w:rPr>
                <w:sz w:val="20"/>
              </w:rPr>
            </w:pPr>
            <w:r w:rsidRPr="00D07677">
              <w:rPr>
                <w:sz w:val="20"/>
              </w:rPr>
              <w:t xml:space="preserve"> Sainsbury</w:t>
            </w:r>
          </w:p>
        </w:tc>
        <w:tc>
          <w:tcPr>
            <w:tcW w:w="992" w:type="dxa"/>
            <w:shd w:val="clear" w:color="auto" w:fill="auto"/>
            <w:noWrap/>
            <w:vAlign w:val="bottom"/>
          </w:tcPr>
          <w:p w14:paraId="25E37691" w14:textId="77777777" w:rsidR="00722E5C" w:rsidRPr="00D07677" w:rsidRDefault="00722E5C" w:rsidP="00722E5C">
            <w:pPr>
              <w:jc w:val="right"/>
              <w:rPr>
                <w:sz w:val="20"/>
              </w:rPr>
            </w:pPr>
            <w:r w:rsidRPr="00D07677">
              <w:rPr>
                <w:sz w:val="20"/>
              </w:rPr>
              <w:t>13</w:t>
            </w:r>
          </w:p>
        </w:tc>
        <w:tc>
          <w:tcPr>
            <w:tcW w:w="709" w:type="dxa"/>
            <w:shd w:val="clear" w:color="auto" w:fill="auto"/>
            <w:noWrap/>
            <w:vAlign w:val="bottom"/>
          </w:tcPr>
          <w:p w14:paraId="22484DF4" w14:textId="77777777" w:rsidR="00722E5C" w:rsidRPr="00D07677" w:rsidRDefault="00722E5C" w:rsidP="00722E5C">
            <w:pPr>
              <w:jc w:val="right"/>
              <w:rPr>
                <w:sz w:val="20"/>
              </w:rPr>
            </w:pPr>
            <w:r w:rsidRPr="00D07677">
              <w:rPr>
                <w:sz w:val="20"/>
              </w:rPr>
              <w:t>3</w:t>
            </w:r>
          </w:p>
        </w:tc>
        <w:tc>
          <w:tcPr>
            <w:tcW w:w="567" w:type="dxa"/>
            <w:vAlign w:val="bottom"/>
          </w:tcPr>
          <w:p w14:paraId="4AE342BC" w14:textId="77777777" w:rsidR="00722E5C" w:rsidRPr="00D07677" w:rsidRDefault="00722E5C" w:rsidP="00722E5C">
            <w:pPr>
              <w:jc w:val="right"/>
              <w:rPr>
                <w:b/>
                <w:sz w:val="20"/>
              </w:rPr>
            </w:pPr>
            <w:r w:rsidRPr="00D07677">
              <w:rPr>
                <w:b/>
                <w:sz w:val="20"/>
              </w:rPr>
              <w:t>3</w:t>
            </w:r>
          </w:p>
        </w:tc>
        <w:tc>
          <w:tcPr>
            <w:tcW w:w="758" w:type="dxa"/>
            <w:shd w:val="clear" w:color="auto" w:fill="auto"/>
            <w:noWrap/>
            <w:vAlign w:val="bottom"/>
          </w:tcPr>
          <w:p w14:paraId="0B840FE0" w14:textId="77777777" w:rsidR="00722E5C" w:rsidRPr="00D07677" w:rsidRDefault="00722E5C" w:rsidP="00722E5C">
            <w:pPr>
              <w:tabs>
                <w:tab w:val="decimal" w:pos="279"/>
              </w:tabs>
              <w:jc w:val="right"/>
              <w:rPr>
                <w:sz w:val="20"/>
              </w:rPr>
            </w:pPr>
            <w:r w:rsidRPr="00D07677">
              <w:rPr>
                <w:sz w:val="20"/>
              </w:rPr>
              <w:t>4.8</w:t>
            </w:r>
          </w:p>
        </w:tc>
        <w:tc>
          <w:tcPr>
            <w:tcW w:w="709" w:type="dxa"/>
            <w:shd w:val="clear" w:color="auto" w:fill="auto"/>
            <w:noWrap/>
            <w:vAlign w:val="bottom"/>
          </w:tcPr>
          <w:p w14:paraId="6461B53A" w14:textId="77777777" w:rsidR="00722E5C" w:rsidRPr="00D07677" w:rsidRDefault="00722E5C" w:rsidP="00722E5C">
            <w:pPr>
              <w:jc w:val="right"/>
              <w:rPr>
                <w:b/>
                <w:sz w:val="20"/>
              </w:rPr>
            </w:pPr>
            <w:r w:rsidRPr="00D07677">
              <w:rPr>
                <w:b/>
                <w:sz w:val="20"/>
              </w:rPr>
              <w:t>3.9</w:t>
            </w:r>
          </w:p>
        </w:tc>
      </w:tr>
      <w:tr w:rsidR="00722E5C" w:rsidRPr="00D07677" w14:paraId="005C6944" w14:textId="77777777" w:rsidTr="00440578">
        <w:trPr>
          <w:trHeight w:val="554"/>
          <w:jc w:val="center"/>
        </w:trPr>
        <w:tc>
          <w:tcPr>
            <w:tcW w:w="2110" w:type="dxa"/>
            <w:shd w:val="clear" w:color="auto" w:fill="auto"/>
            <w:noWrap/>
            <w:vAlign w:val="bottom"/>
          </w:tcPr>
          <w:p w14:paraId="254F5EDE" w14:textId="77777777" w:rsidR="00722E5C" w:rsidRPr="00D07677" w:rsidRDefault="00722E5C" w:rsidP="00722E5C">
            <w:pPr>
              <w:spacing w:before="60"/>
              <w:jc w:val="right"/>
              <w:rPr>
                <w:sz w:val="20"/>
                <w:szCs w:val="20"/>
              </w:rPr>
            </w:pPr>
          </w:p>
        </w:tc>
        <w:tc>
          <w:tcPr>
            <w:tcW w:w="1559" w:type="dxa"/>
            <w:shd w:val="clear" w:color="auto" w:fill="auto"/>
            <w:noWrap/>
            <w:vAlign w:val="bottom"/>
          </w:tcPr>
          <w:p w14:paraId="70F72BC2" w14:textId="77777777" w:rsidR="00722E5C" w:rsidRPr="00D11558" w:rsidRDefault="00722E5C" w:rsidP="00722E5C">
            <w:pPr>
              <w:spacing w:before="60"/>
              <w:rPr>
                <w:b/>
                <w:sz w:val="20"/>
              </w:rPr>
            </w:pPr>
            <w:r w:rsidRPr="00D11558">
              <w:rPr>
                <w:b/>
                <w:sz w:val="20"/>
              </w:rPr>
              <w:t>Average</w:t>
            </w:r>
          </w:p>
        </w:tc>
        <w:tc>
          <w:tcPr>
            <w:tcW w:w="992" w:type="dxa"/>
            <w:shd w:val="clear" w:color="auto" w:fill="auto"/>
            <w:noWrap/>
            <w:vAlign w:val="bottom"/>
          </w:tcPr>
          <w:p w14:paraId="5556ABC2" w14:textId="77777777" w:rsidR="00722E5C" w:rsidRPr="00D81BEB" w:rsidRDefault="00722E5C" w:rsidP="00722E5C">
            <w:pPr>
              <w:spacing w:before="60"/>
              <w:jc w:val="right"/>
              <w:rPr>
                <w:b/>
                <w:sz w:val="20"/>
              </w:rPr>
            </w:pPr>
            <w:r w:rsidRPr="00D81BEB">
              <w:rPr>
                <w:b/>
                <w:sz w:val="20"/>
              </w:rPr>
              <w:fldChar w:fldCharType="begin"/>
            </w:r>
            <w:r w:rsidRPr="00D81BEB">
              <w:rPr>
                <w:b/>
                <w:sz w:val="20"/>
              </w:rPr>
              <w:instrText xml:space="preserve"> =average(ABOVE) \# "0" </w:instrText>
            </w:r>
            <w:r w:rsidRPr="00D81BEB">
              <w:rPr>
                <w:b/>
                <w:sz w:val="20"/>
              </w:rPr>
              <w:fldChar w:fldCharType="separate"/>
            </w:r>
            <w:r>
              <w:rPr>
                <w:b/>
                <w:noProof/>
                <w:sz w:val="20"/>
              </w:rPr>
              <w:t>8</w:t>
            </w:r>
            <w:r w:rsidRPr="00D81BEB">
              <w:rPr>
                <w:b/>
                <w:sz w:val="20"/>
              </w:rPr>
              <w:fldChar w:fldCharType="end"/>
            </w:r>
          </w:p>
        </w:tc>
        <w:tc>
          <w:tcPr>
            <w:tcW w:w="709" w:type="dxa"/>
            <w:shd w:val="clear" w:color="auto" w:fill="auto"/>
            <w:noWrap/>
            <w:vAlign w:val="bottom"/>
          </w:tcPr>
          <w:p w14:paraId="79081C19" w14:textId="77777777" w:rsidR="00722E5C" w:rsidRPr="00D81BEB" w:rsidRDefault="00722E5C" w:rsidP="00722E5C">
            <w:pPr>
              <w:spacing w:before="60"/>
              <w:jc w:val="right"/>
              <w:rPr>
                <w:b/>
              </w:rPr>
            </w:pPr>
            <w:r w:rsidRPr="00D81BEB">
              <w:rPr>
                <w:b/>
                <w:sz w:val="20"/>
              </w:rPr>
              <w:fldChar w:fldCharType="begin"/>
            </w:r>
            <w:r w:rsidRPr="00D81BEB">
              <w:rPr>
                <w:b/>
                <w:sz w:val="20"/>
              </w:rPr>
              <w:instrText xml:space="preserve"> =average(ABOVE) \# "0" </w:instrText>
            </w:r>
            <w:r w:rsidRPr="00D81BEB">
              <w:rPr>
                <w:b/>
                <w:sz w:val="20"/>
              </w:rPr>
              <w:fldChar w:fldCharType="separate"/>
            </w:r>
            <w:r>
              <w:rPr>
                <w:b/>
                <w:noProof/>
                <w:sz w:val="20"/>
              </w:rPr>
              <w:t>8</w:t>
            </w:r>
            <w:r w:rsidRPr="00D81BEB">
              <w:rPr>
                <w:b/>
                <w:sz w:val="20"/>
              </w:rPr>
              <w:fldChar w:fldCharType="end"/>
            </w:r>
          </w:p>
        </w:tc>
        <w:tc>
          <w:tcPr>
            <w:tcW w:w="567" w:type="dxa"/>
            <w:vAlign w:val="bottom"/>
          </w:tcPr>
          <w:p w14:paraId="472AD721" w14:textId="77777777" w:rsidR="00722E5C" w:rsidRPr="00D81BEB" w:rsidRDefault="00722E5C" w:rsidP="00722E5C">
            <w:pPr>
              <w:spacing w:before="60"/>
              <w:jc w:val="right"/>
              <w:rPr>
                <w:b/>
              </w:rPr>
            </w:pPr>
            <w:r w:rsidRPr="00D81BEB">
              <w:rPr>
                <w:b/>
                <w:sz w:val="20"/>
              </w:rPr>
              <w:fldChar w:fldCharType="begin"/>
            </w:r>
            <w:r w:rsidRPr="00D81BEB">
              <w:rPr>
                <w:b/>
                <w:sz w:val="20"/>
              </w:rPr>
              <w:instrText xml:space="preserve"> =average(ABOVE) \# "0" </w:instrText>
            </w:r>
            <w:r w:rsidRPr="00D81BEB">
              <w:rPr>
                <w:b/>
                <w:sz w:val="20"/>
              </w:rPr>
              <w:fldChar w:fldCharType="separate"/>
            </w:r>
            <w:r>
              <w:rPr>
                <w:b/>
                <w:noProof/>
                <w:sz w:val="20"/>
              </w:rPr>
              <w:t>11</w:t>
            </w:r>
            <w:r w:rsidRPr="00D81BEB">
              <w:rPr>
                <w:b/>
                <w:sz w:val="20"/>
              </w:rPr>
              <w:fldChar w:fldCharType="end"/>
            </w:r>
          </w:p>
        </w:tc>
        <w:tc>
          <w:tcPr>
            <w:tcW w:w="758" w:type="dxa"/>
            <w:shd w:val="clear" w:color="auto" w:fill="auto"/>
            <w:noWrap/>
            <w:vAlign w:val="bottom"/>
          </w:tcPr>
          <w:p w14:paraId="518BE421" w14:textId="77777777" w:rsidR="00722E5C" w:rsidRPr="00D81BEB" w:rsidRDefault="00722E5C" w:rsidP="00722E5C">
            <w:pPr>
              <w:tabs>
                <w:tab w:val="decimal" w:pos="279"/>
              </w:tabs>
              <w:spacing w:before="60"/>
              <w:jc w:val="right"/>
              <w:rPr>
                <w:b/>
              </w:rPr>
            </w:pPr>
            <w:r w:rsidRPr="00D81BEB">
              <w:rPr>
                <w:b/>
                <w:sz w:val="20"/>
              </w:rPr>
              <w:fldChar w:fldCharType="begin"/>
            </w:r>
            <w:r w:rsidRPr="00D81BEB">
              <w:rPr>
                <w:b/>
                <w:sz w:val="20"/>
              </w:rPr>
              <w:instrText xml:space="preserve"> =average(ABOVE) \# "0.0" </w:instrText>
            </w:r>
            <w:r w:rsidRPr="00D81BEB">
              <w:rPr>
                <w:b/>
                <w:sz w:val="20"/>
              </w:rPr>
              <w:fldChar w:fldCharType="separate"/>
            </w:r>
            <w:r>
              <w:rPr>
                <w:b/>
                <w:noProof/>
                <w:sz w:val="20"/>
              </w:rPr>
              <w:t>5.0</w:t>
            </w:r>
            <w:r w:rsidRPr="00D81BEB">
              <w:rPr>
                <w:b/>
                <w:sz w:val="20"/>
              </w:rPr>
              <w:fldChar w:fldCharType="end"/>
            </w:r>
          </w:p>
        </w:tc>
        <w:tc>
          <w:tcPr>
            <w:tcW w:w="709" w:type="dxa"/>
            <w:shd w:val="clear" w:color="auto" w:fill="auto"/>
            <w:noWrap/>
            <w:vAlign w:val="bottom"/>
          </w:tcPr>
          <w:p w14:paraId="7EBBA957" w14:textId="77777777" w:rsidR="00722E5C" w:rsidRPr="00D81BEB" w:rsidRDefault="00722E5C" w:rsidP="00722E5C">
            <w:pPr>
              <w:spacing w:before="60"/>
              <w:ind w:left="137" w:hanging="137"/>
              <w:jc w:val="right"/>
              <w:rPr>
                <w:b/>
              </w:rPr>
            </w:pPr>
            <w:r w:rsidRPr="00D81BEB">
              <w:rPr>
                <w:b/>
                <w:sz w:val="20"/>
              </w:rPr>
              <w:fldChar w:fldCharType="begin"/>
            </w:r>
            <w:r w:rsidRPr="00D81BEB">
              <w:rPr>
                <w:b/>
                <w:sz w:val="20"/>
              </w:rPr>
              <w:instrText xml:space="preserve"> =average(ABOVE) \# "0.0" </w:instrText>
            </w:r>
            <w:r w:rsidRPr="00D81BEB">
              <w:rPr>
                <w:b/>
                <w:sz w:val="20"/>
              </w:rPr>
              <w:fldChar w:fldCharType="separate"/>
            </w:r>
            <w:r>
              <w:rPr>
                <w:b/>
                <w:noProof/>
                <w:sz w:val="20"/>
              </w:rPr>
              <w:t>3.3</w:t>
            </w:r>
            <w:r w:rsidRPr="00D81BEB">
              <w:rPr>
                <w:b/>
                <w:sz w:val="20"/>
              </w:rPr>
              <w:fldChar w:fldCharType="end"/>
            </w:r>
          </w:p>
        </w:tc>
      </w:tr>
      <w:tr w:rsidR="00722E5C" w:rsidRPr="00D07677" w14:paraId="49898A88" w14:textId="77777777" w:rsidTr="00440578">
        <w:trPr>
          <w:trHeight w:val="240"/>
          <w:jc w:val="center"/>
        </w:trPr>
        <w:tc>
          <w:tcPr>
            <w:tcW w:w="2110" w:type="dxa"/>
            <w:shd w:val="clear" w:color="auto" w:fill="auto"/>
            <w:noWrap/>
            <w:vAlign w:val="bottom"/>
          </w:tcPr>
          <w:p w14:paraId="743F1683" w14:textId="77777777" w:rsidR="00722E5C" w:rsidRPr="00D11558" w:rsidRDefault="00722E5C" w:rsidP="00722E5C">
            <w:pPr>
              <w:rPr>
                <w:b/>
                <w:i/>
                <w:sz w:val="20"/>
                <w:szCs w:val="20"/>
              </w:rPr>
            </w:pPr>
            <w:r w:rsidRPr="00D11558">
              <w:rPr>
                <w:b/>
                <w:i/>
                <w:sz w:val="20"/>
                <w:szCs w:val="20"/>
              </w:rPr>
              <w:t>Seasonality</w:t>
            </w:r>
          </w:p>
        </w:tc>
        <w:tc>
          <w:tcPr>
            <w:tcW w:w="1559" w:type="dxa"/>
            <w:shd w:val="clear" w:color="auto" w:fill="auto"/>
            <w:noWrap/>
            <w:vAlign w:val="bottom"/>
          </w:tcPr>
          <w:p w14:paraId="334FA45E" w14:textId="77777777" w:rsidR="00722E5C" w:rsidRPr="00D07677" w:rsidRDefault="00722E5C" w:rsidP="00722E5C">
            <w:pPr>
              <w:rPr>
                <w:sz w:val="20"/>
                <w:szCs w:val="20"/>
              </w:rPr>
            </w:pPr>
          </w:p>
        </w:tc>
        <w:tc>
          <w:tcPr>
            <w:tcW w:w="992" w:type="dxa"/>
            <w:shd w:val="clear" w:color="auto" w:fill="auto"/>
            <w:noWrap/>
            <w:vAlign w:val="bottom"/>
          </w:tcPr>
          <w:p w14:paraId="116166EB" w14:textId="77777777" w:rsidR="00722E5C" w:rsidRPr="00D07677" w:rsidRDefault="00722E5C" w:rsidP="00722E5C">
            <w:pPr>
              <w:tabs>
                <w:tab w:val="decimal" w:pos="459"/>
              </w:tabs>
              <w:jc w:val="right"/>
              <w:rPr>
                <w:sz w:val="20"/>
                <w:szCs w:val="20"/>
              </w:rPr>
            </w:pPr>
          </w:p>
        </w:tc>
        <w:tc>
          <w:tcPr>
            <w:tcW w:w="709" w:type="dxa"/>
            <w:shd w:val="clear" w:color="auto" w:fill="auto"/>
            <w:noWrap/>
            <w:vAlign w:val="bottom"/>
          </w:tcPr>
          <w:p w14:paraId="60B604C2" w14:textId="77777777" w:rsidR="00722E5C" w:rsidRPr="00D07677" w:rsidRDefault="00722E5C" w:rsidP="00722E5C">
            <w:pPr>
              <w:tabs>
                <w:tab w:val="decimal" w:pos="459"/>
              </w:tabs>
              <w:jc w:val="right"/>
              <w:rPr>
                <w:sz w:val="20"/>
                <w:szCs w:val="20"/>
              </w:rPr>
            </w:pPr>
          </w:p>
        </w:tc>
        <w:tc>
          <w:tcPr>
            <w:tcW w:w="567" w:type="dxa"/>
          </w:tcPr>
          <w:p w14:paraId="41E179F1" w14:textId="77777777" w:rsidR="00722E5C" w:rsidRPr="00D07677" w:rsidRDefault="00722E5C" w:rsidP="00722E5C">
            <w:pPr>
              <w:tabs>
                <w:tab w:val="decimal" w:pos="459"/>
              </w:tabs>
              <w:jc w:val="right"/>
              <w:rPr>
                <w:sz w:val="20"/>
                <w:szCs w:val="20"/>
              </w:rPr>
            </w:pPr>
          </w:p>
        </w:tc>
        <w:tc>
          <w:tcPr>
            <w:tcW w:w="758" w:type="dxa"/>
            <w:shd w:val="clear" w:color="auto" w:fill="auto"/>
            <w:noWrap/>
            <w:vAlign w:val="bottom"/>
          </w:tcPr>
          <w:p w14:paraId="020FE8DF" w14:textId="77777777" w:rsidR="00722E5C" w:rsidRPr="00D07677" w:rsidRDefault="00722E5C" w:rsidP="00722E5C">
            <w:pPr>
              <w:tabs>
                <w:tab w:val="decimal" w:pos="279"/>
                <w:tab w:val="decimal" w:pos="459"/>
              </w:tabs>
              <w:jc w:val="right"/>
              <w:rPr>
                <w:sz w:val="20"/>
                <w:szCs w:val="20"/>
              </w:rPr>
            </w:pPr>
          </w:p>
        </w:tc>
        <w:tc>
          <w:tcPr>
            <w:tcW w:w="709" w:type="dxa"/>
            <w:shd w:val="clear" w:color="auto" w:fill="auto"/>
            <w:noWrap/>
            <w:vAlign w:val="bottom"/>
          </w:tcPr>
          <w:p w14:paraId="37657014" w14:textId="77777777" w:rsidR="00722E5C" w:rsidRPr="00D07677" w:rsidRDefault="00722E5C" w:rsidP="00722E5C">
            <w:pPr>
              <w:tabs>
                <w:tab w:val="decimal" w:pos="459"/>
              </w:tabs>
              <w:jc w:val="right"/>
              <w:rPr>
                <w:b/>
                <w:sz w:val="20"/>
                <w:szCs w:val="20"/>
              </w:rPr>
            </w:pPr>
          </w:p>
        </w:tc>
      </w:tr>
      <w:tr w:rsidR="00722E5C" w:rsidRPr="00D07677" w14:paraId="7E998428" w14:textId="77777777" w:rsidTr="00440578">
        <w:trPr>
          <w:trHeight w:val="240"/>
          <w:jc w:val="center"/>
        </w:trPr>
        <w:tc>
          <w:tcPr>
            <w:tcW w:w="2110" w:type="dxa"/>
            <w:shd w:val="clear" w:color="auto" w:fill="auto"/>
            <w:noWrap/>
            <w:vAlign w:val="bottom"/>
          </w:tcPr>
          <w:p w14:paraId="3C945707" w14:textId="77777777" w:rsidR="00722E5C" w:rsidRPr="00D07677" w:rsidRDefault="00722E5C" w:rsidP="00722E5C">
            <w:pPr>
              <w:rPr>
                <w:sz w:val="20"/>
                <w:szCs w:val="20"/>
              </w:rPr>
            </w:pPr>
            <w:r>
              <w:rPr>
                <w:sz w:val="20"/>
                <w:szCs w:val="20"/>
              </w:rPr>
              <w:t xml:space="preserve"> </w:t>
            </w:r>
            <w:r w:rsidRPr="00D07677">
              <w:rPr>
                <w:sz w:val="20"/>
                <w:szCs w:val="20"/>
              </w:rPr>
              <w:t>Choc</w:t>
            </w:r>
            <w:r>
              <w:rPr>
                <w:sz w:val="20"/>
                <w:szCs w:val="20"/>
              </w:rPr>
              <w:t>olate</w:t>
            </w:r>
            <w:r w:rsidRPr="00D07677">
              <w:rPr>
                <w:sz w:val="20"/>
                <w:szCs w:val="20"/>
              </w:rPr>
              <w:t xml:space="preserve"> Confect</w:t>
            </w:r>
            <w:r>
              <w:rPr>
                <w:sz w:val="20"/>
                <w:szCs w:val="20"/>
              </w:rPr>
              <w:t>.</w:t>
            </w:r>
          </w:p>
        </w:tc>
        <w:tc>
          <w:tcPr>
            <w:tcW w:w="1559" w:type="dxa"/>
            <w:shd w:val="clear" w:color="auto" w:fill="auto"/>
            <w:noWrap/>
            <w:vAlign w:val="bottom"/>
          </w:tcPr>
          <w:p w14:paraId="21DB764B" w14:textId="77777777" w:rsidR="00722E5C" w:rsidRPr="00D07677" w:rsidRDefault="00722E5C" w:rsidP="00722E5C">
            <w:pPr>
              <w:rPr>
                <w:sz w:val="20"/>
                <w:szCs w:val="20"/>
              </w:rPr>
            </w:pPr>
            <w:r w:rsidRPr="00D07677">
              <w:rPr>
                <w:sz w:val="20"/>
                <w:szCs w:val="20"/>
              </w:rPr>
              <w:t xml:space="preserve"> Creme Egg</w:t>
            </w:r>
          </w:p>
        </w:tc>
        <w:tc>
          <w:tcPr>
            <w:tcW w:w="992" w:type="dxa"/>
            <w:shd w:val="clear" w:color="auto" w:fill="auto"/>
            <w:noWrap/>
            <w:vAlign w:val="bottom"/>
          </w:tcPr>
          <w:p w14:paraId="7B55F169" w14:textId="77777777" w:rsidR="00722E5C" w:rsidRPr="00D07677" w:rsidRDefault="00722E5C" w:rsidP="00722E5C">
            <w:pPr>
              <w:jc w:val="right"/>
              <w:rPr>
                <w:sz w:val="20"/>
              </w:rPr>
            </w:pPr>
            <w:r w:rsidRPr="00D07677">
              <w:rPr>
                <w:sz w:val="20"/>
              </w:rPr>
              <w:t>2</w:t>
            </w:r>
          </w:p>
        </w:tc>
        <w:tc>
          <w:tcPr>
            <w:tcW w:w="709" w:type="dxa"/>
            <w:shd w:val="clear" w:color="auto" w:fill="auto"/>
            <w:noWrap/>
            <w:vAlign w:val="bottom"/>
          </w:tcPr>
          <w:p w14:paraId="2B1B4501" w14:textId="77777777" w:rsidR="00722E5C" w:rsidRPr="00D07677" w:rsidRDefault="00722E5C" w:rsidP="00722E5C">
            <w:pPr>
              <w:jc w:val="right"/>
              <w:rPr>
                <w:sz w:val="20"/>
                <w:szCs w:val="20"/>
              </w:rPr>
            </w:pPr>
            <w:r w:rsidRPr="00D07677">
              <w:rPr>
                <w:sz w:val="20"/>
                <w:szCs w:val="20"/>
              </w:rPr>
              <w:t>19</w:t>
            </w:r>
          </w:p>
        </w:tc>
        <w:tc>
          <w:tcPr>
            <w:tcW w:w="567" w:type="dxa"/>
            <w:vAlign w:val="bottom"/>
          </w:tcPr>
          <w:p w14:paraId="5032F494" w14:textId="77777777" w:rsidR="00722E5C" w:rsidRPr="00D07677" w:rsidRDefault="00722E5C" w:rsidP="00722E5C">
            <w:pPr>
              <w:jc w:val="right"/>
              <w:rPr>
                <w:b/>
                <w:sz w:val="20"/>
                <w:szCs w:val="20"/>
              </w:rPr>
            </w:pPr>
            <w:r w:rsidRPr="00D07677">
              <w:rPr>
                <w:b/>
                <w:sz w:val="20"/>
                <w:szCs w:val="20"/>
              </w:rPr>
              <w:t>12</w:t>
            </w:r>
          </w:p>
        </w:tc>
        <w:tc>
          <w:tcPr>
            <w:tcW w:w="758" w:type="dxa"/>
            <w:shd w:val="clear" w:color="auto" w:fill="auto"/>
            <w:noWrap/>
            <w:vAlign w:val="bottom"/>
          </w:tcPr>
          <w:p w14:paraId="4DDDBAF7" w14:textId="77777777" w:rsidR="00722E5C" w:rsidRPr="00D07677" w:rsidRDefault="00722E5C" w:rsidP="00722E5C">
            <w:pPr>
              <w:tabs>
                <w:tab w:val="decimal" w:pos="279"/>
              </w:tabs>
              <w:jc w:val="right"/>
              <w:rPr>
                <w:sz w:val="20"/>
                <w:szCs w:val="20"/>
              </w:rPr>
            </w:pPr>
            <w:r w:rsidRPr="00D07677">
              <w:rPr>
                <w:sz w:val="20"/>
                <w:szCs w:val="20"/>
              </w:rPr>
              <w:t>2.2</w:t>
            </w:r>
          </w:p>
        </w:tc>
        <w:tc>
          <w:tcPr>
            <w:tcW w:w="709" w:type="dxa"/>
            <w:shd w:val="clear" w:color="auto" w:fill="auto"/>
            <w:noWrap/>
            <w:vAlign w:val="bottom"/>
          </w:tcPr>
          <w:p w14:paraId="4E5A7078" w14:textId="77777777" w:rsidR="00722E5C" w:rsidRPr="00D07677" w:rsidRDefault="00722E5C" w:rsidP="00722E5C">
            <w:pPr>
              <w:jc w:val="right"/>
              <w:rPr>
                <w:b/>
                <w:sz w:val="20"/>
                <w:szCs w:val="20"/>
              </w:rPr>
            </w:pPr>
            <w:r w:rsidRPr="00D07677">
              <w:rPr>
                <w:b/>
                <w:sz w:val="20"/>
                <w:szCs w:val="20"/>
              </w:rPr>
              <w:t>3.5</w:t>
            </w:r>
          </w:p>
        </w:tc>
      </w:tr>
      <w:tr w:rsidR="00722E5C" w:rsidRPr="00D07677" w14:paraId="46ADD4D3" w14:textId="77777777" w:rsidTr="00440578">
        <w:trPr>
          <w:trHeight w:val="240"/>
          <w:jc w:val="center"/>
        </w:trPr>
        <w:tc>
          <w:tcPr>
            <w:tcW w:w="2110" w:type="dxa"/>
            <w:shd w:val="clear" w:color="auto" w:fill="auto"/>
            <w:noWrap/>
            <w:vAlign w:val="bottom"/>
          </w:tcPr>
          <w:p w14:paraId="626FE731" w14:textId="77777777" w:rsidR="00722E5C" w:rsidRPr="00D07677" w:rsidRDefault="00722E5C" w:rsidP="00722E5C">
            <w:pPr>
              <w:rPr>
                <w:sz w:val="20"/>
                <w:szCs w:val="20"/>
              </w:rPr>
            </w:pPr>
          </w:p>
        </w:tc>
        <w:tc>
          <w:tcPr>
            <w:tcW w:w="1559" w:type="dxa"/>
            <w:shd w:val="clear" w:color="auto" w:fill="auto"/>
            <w:noWrap/>
            <w:vAlign w:val="bottom"/>
          </w:tcPr>
          <w:p w14:paraId="7A053BF5" w14:textId="77777777" w:rsidR="00722E5C" w:rsidRPr="00D07677" w:rsidRDefault="00722E5C" w:rsidP="00722E5C">
            <w:pPr>
              <w:rPr>
                <w:sz w:val="20"/>
                <w:szCs w:val="20"/>
              </w:rPr>
            </w:pPr>
          </w:p>
        </w:tc>
        <w:tc>
          <w:tcPr>
            <w:tcW w:w="992" w:type="dxa"/>
            <w:shd w:val="clear" w:color="auto" w:fill="auto"/>
            <w:noWrap/>
            <w:vAlign w:val="bottom"/>
          </w:tcPr>
          <w:p w14:paraId="35DA1B31" w14:textId="77777777" w:rsidR="00722E5C" w:rsidRPr="00D07677" w:rsidRDefault="00722E5C" w:rsidP="00722E5C">
            <w:pPr>
              <w:jc w:val="right"/>
              <w:rPr>
                <w:sz w:val="20"/>
              </w:rPr>
            </w:pPr>
          </w:p>
        </w:tc>
        <w:tc>
          <w:tcPr>
            <w:tcW w:w="709" w:type="dxa"/>
            <w:shd w:val="clear" w:color="auto" w:fill="auto"/>
            <w:noWrap/>
            <w:vAlign w:val="bottom"/>
          </w:tcPr>
          <w:p w14:paraId="0B5203F1" w14:textId="77777777" w:rsidR="00722E5C" w:rsidRPr="00D07677" w:rsidRDefault="00722E5C" w:rsidP="00722E5C">
            <w:pPr>
              <w:jc w:val="right"/>
              <w:rPr>
                <w:sz w:val="20"/>
                <w:szCs w:val="20"/>
              </w:rPr>
            </w:pPr>
          </w:p>
        </w:tc>
        <w:tc>
          <w:tcPr>
            <w:tcW w:w="567" w:type="dxa"/>
            <w:vAlign w:val="bottom"/>
          </w:tcPr>
          <w:p w14:paraId="646DDF8F" w14:textId="77777777" w:rsidR="00722E5C" w:rsidRPr="00D07677" w:rsidRDefault="00722E5C" w:rsidP="00722E5C">
            <w:pPr>
              <w:jc w:val="right"/>
              <w:rPr>
                <w:b/>
                <w:sz w:val="20"/>
                <w:szCs w:val="20"/>
              </w:rPr>
            </w:pPr>
          </w:p>
        </w:tc>
        <w:tc>
          <w:tcPr>
            <w:tcW w:w="758" w:type="dxa"/>
            <w:shd w:val="clear" w:color="auto" w:fill="auto"/>
            <w:noWrap/>
            <w:vAlign w:val="bottom"/>
          </w:tcPr>
          <w:p w14:paraId="662654D4" w14:textId="77777777" w:rsidR="00722E5C" w:rsidRPr="00D07677" w:rsidRDefault="00722E5C" w:rsidP="00722E5C">
            <w:pPr>
              <w:tabs>
                <w:tab w:val="decimal" w:pos="279"/>
              </w:tabs>
              <w:jc w:val="right"/>
              <w:rPr>
                <w:sz w:val="20"/>
                <w:szCs w:val="20"/>
              </w:rPr>
            </w:pPr>
          </w:p>
        </w:tc>
        <w:tc>
          <w:tcPr>
            <w:tcW w:w="709" w:type="dxa"/>
            <w:shd w:val="clear" w:color="auto" w:fill="auto"/>
            <w:noWrap/>
            <w:vAlign w:val="bottom"/>
          </w:tcPr>
          <w:p w14:paraId="679127B9" w14:textId="77777777" w:rsidR="00722E5C" w:rsidRPr="00D07677" w:rsidRDefault="00722E5C" w:rsidP="00722E5C">
            <w:pPr>
              <w:jc w:val="right"/>
              <w:rPr>
                <w:b/>
                <w:sz w:val="20"/>
                <w:szCs w:val="20"/>
              </w:rPr>
            </w:pPr>
          </w:p>
        </w:tc>
      </w:tr>
    </w:tbl>
    <w:p w14:paraId="15CA7CB8" w14:textId="77777777" w:rsidR="00722E5C" w:rsidRPr="00722E5C" w:rsidRDefault="00722E5C" w:rsidP="00722E5C">
      <w:pPr>
        <w:spacing w:before="120"/>
        <w:jc w:val="center"/>
        <w:rPr>
          <w:rFonts w:cs="Arial"/>
          <w:sz w:val="18"/>
          <w:szCs w:val="18"/>
        </w:rPr>
      </w:pPr>
      <w:r w:rsidRPr="00491D4A">
        <w:rPr>
          <w:rFonts w:cs="Arial"/>
          <w:i/>
          <w:sz w:val="18"/>
          <w:szCs w:val="18"/>
        </w:rPr>
        <w:t>Kantar Worldpanel: 52 weeks to Jan 2005.</w:t>
      </w:r>
      <w:r>
        <w:rPr>
          <w:rFonts w:cs="Arial"/>
          <w:i/>
          <w:sz w:val="18"/>
          <w:szCs w:val="18"/>
        </w:rPr>
        <w:t xml:space="preserve"> </w:t>
      </w:r>
    </w:p>
    <w:p w14:paraId="141F5F0F" w14:textId="77777777" w:rsidR="00722E5C" w:rsidRDefault="00722E5C" w:rsidP="00722E5C">
      <w:pPr>
        <w:jc w:val="center"/>
        <w:rPr>
          <w:rFonts w:cs="Arial"/>
        </w:rPr>
      </w:pPr>
    </w:p>
    <w:p w14:paraId="128E8F7B" w14:textId="77777777" w:rsidR="00722E5C" w:rsidRDefault="00722E5C" w:rsidP="00722E5C">
      <w:pPr>
        <w:jc w:val="center"/>
        <w:rPr>
          <w:rFonts w:cs="Arial"/>
        </w:rPr>
      </w:pPr>
    </w:p>
    <w:p w14:paraId="02230AAC" w14:textId="086BA733" w:rsidR="00722E5C" w:rsidRPr="00D81BEB" w:rsidRDefault="00722E5C" w:rsidP="00722E5C">
      <w:pPr>
        <w:spacing w:after="120" w:line="480" w:lineRule="auto"/>
        <w:jc w:val="center"/>
        <w:outlineLvl w:val="0"/>
        <w:rPr>
          <w:i/>
        </w:rPr>
      </w:pPr>
      <w:r>
        <w:rPr>
          <w:b/>
        </w:rPr>
        <w:t xml:space="preserve">Table </w:t>
      </w:r>
      <w:r w:rsidR="001B79A6">
        <w:rPr>
          <w:b/>
        </w:rPr>
        <w:t>7</w:t>
      </w:r>
      <w:r>
        <w:rPr>
          <w:b/>
        </w:rPr>
        <w:t>.</w:t>
      </w:r>
      <w:r w:rsidRPr="00D81BEB">
        <w:rPr>
          <w:b/>
        </w:rPr>
        <w:t xml:space="preserve">    Deviations due to </w:t>
      </w:r>
      <w:r>
        <w:rPr>
          <w:b/>
        </w:rPr>
        <w:t>p</w:t>
      </w:r>
      <w:r w:rsidRPr="00D81BEB">
        <w:rPr>
          <w:b/>
        </w:rPr>
        <w:t>ositioning/</w:t>
      </w:r>
      <w:r>
        <w:rPr>
          <w:b/>
        </w:rPr>
        <w:t>f</w:t>
      </w:r>
      <w:r w:rsidRPr="00D81BEB">
        <w:rPr>
          <w:b/>
        </w:rPr>
        <w:t>unctionality</w:t>
      </w:r>
    </w:p>
    <w:tbl>
      <w:tblPr>
        <w:tblW w:w="5679" w:type="dxa"/>
        <w:jc w:val="center"/>
        <w:tblLayout w:type="fixed"/>
        <w:tblLook w:val="0000" w:firstRow="0" w:lastRow="0" w:firstColumn="0" w:lastColumn="0" w:noHBand="0" w:noVBand="0"/>
      </w:tblPr>
      <w:tblGrid>
        <w:gridCol w:w="2135"/>
        <w:gridCol w:w="992"/>
        <w:gridCol w:w="567"/>
        <w:gridCol w:w="709"/>
        <w:gridCol w:w="709"/>
        <w:gridCol w:w="567"/>
      </w:tblGrid>
      <w:tr w:rsidR="00722E5C" w:rsidRPr="00D07677" w14:paraId="0CC30D7F" w14:textId="77777777" w:rsidTr="00440578">
        <w:trPr>
          <w:trHeight w:val="240"/>
          <w:jc w:val="center"/>
        </w:trPr>
        <w:tc>
          <w:tcPr>
            <w:tcW w:w="2135" w:type="dxa"/>
            <w:tcBorders>
              <w:top w:val="single" w:sz="4" w:space="0" w:color="auto"/>
            </w:tcBorders>
            <w:shd w:val="clear" w:color="auto" w:fill="auto"/>
            <w:noWrap/>
            <w:vAlign w:val="center"/>
          </w:tcPr>
          <w:p w14:paraId="155D29AD" w14:textId="77777777" w:rsidR="00722E5C" w:rsidRPr="00AF214E" w:rsidRDefault="00722E5C" w:rsidP="00722E5C">
            <w:pPr>
              <w:spacing w:after="120"/>
              <w:rPr>
                <w:sz w:val="20"/>
                <w:szCs w:val="20"/>
              </w:rPr>
            </w:pPr>
            <w:r w:rsidRPr="00AF214E">
              <w:rPr>
                <w:sz w:val="20"/>
                <w:szCs w:val="20"/>
              </w:rPr>
              <w:t xml:space="preserve">Brand </w:t>
            </w:r>
          </w:p>
        </w:tc>
        <w:tc>
          <w:tcPr>
            <w:tcW w:w="992" w:type="dxa"/>
            <w:vMerge w:val="restart"/>
            <w:tcBorders>
              <w:top w:val="single" w:sz="4" w:space="0" w:color="auto"/>
            </w:tcBorders>
            <w:shd w:val="clear" w:color="auto" w:fill="auto"/>
            <w:noWrap/>
            <w:vAlign w:val="center"/>
          </w:tcPr>
          <w:p w14:paraId="32148660" w14:textId="77777777" w:rsidR="00722E5C" w:rsidRPr="00AF214E" w:rsidRDefault="00722E5C" w:rsidP="00722E5C">
            <w:pPr>
              <w:spacing w:after="120"/>
              <w:jc w:val="right"/>
              <w:rPr>
                <w:sz w:val="20"/>
                <w:szCs w:val="20"/>
              </w:rPr>
            </w:pPr>
            <w:r w:rsidRPr="00AF214E">
              <w:rPr>
                <w:sz w:val="20"/>
                <w:szCs w:val="20"/>
              </w:rPr>
              <w:t>Market Share</w:t>
            </w:r>
          </w:p>
        </w:tc>
        <w:tc>
          <w:tcPr>
            <w:tcW w:w="1276" w:type="dxa"/>
            <w:gridSpan w:val="2"/>
            <w:vMerge w:val="restart"/>
            <w:tcBorders>
              <w:top w:val="single" w:sz="4" w:space="0" w:color="auto"/>
            </w:tcBorders>
            <w:shd w:val="clear" w:color="auto" w:fill="auto"/>
            <w:noWrap/>
            <w:vAlign w:val="center"/>
          </w:tcPr>
          <w:p w14:paraId="5873E804" w14:textId="77777777" w:rsidR="00722E5C" w:rsidRPr="00AF214E" w:rsidRDefault="00722E5C" w:rsidP="00722E5C">
            <w:pPr>
              <w:spacing w:after="120"/>
              <w:jc w:val="right"/>
              <w:rPr>
                <w:sz w:val="20"/>
                <w:szCs w:val="20"/>
              </w:rPr>
            </w:pPr>
            <w:r w:rsidRPr="00AF214E">
              <w:rPr>
                <w:sz w:val="20"/>
                <w:szCs w:val="20"/>
              </w:rPr>
              <w:t>Penetration %</w:t>
            </w:r>
          </w:p>
        </w:tc>
        <w:tc>
          <w:tcPr>
            <w:tcW w:w="1276" w:type="dxa"/>
            <w:gridSpan w:val="2"/>
            <w:vMerge w:val="restart"/>
            <w:tcBorders>
              <w:top w:val="single" w:sz="4" w:space="0" w:color="auto"/>
            </w:tcBorders>
            <w:shd w:val="clear" w:color="auto" w:fill="auto"/>
            <w:noWrap/>
            <w:vAlign w:val="center"/>
          </w:tcPr>
          <w:p w14:paraId="7198C4CE" w14:textId="77777777" w:rsidR="00722E5C" w:rsidRPr="00AF214E" w:rsidRDefault="00722E5C" w:rsidP="00722E5C">
            <w:pPr>
              <w:spacing w:after="120"/>
              <w:jc w:val="right"/>
              <w:rPr>
                <w:rFonts w:ascii="Arial" w:hAnsi="Arial"/>
                <w:sz w:val="20"/>
                <w:szCs w:val="20"/>
              </w:rPr>
            </w:pPr>
            <w:r w:rsidRPr="00AF214E">
              <w:rPr>
                <w:sz w:val="20"/>
                <w:szCs w:val="20"/>
              </w:rPr>
              <w:t>Purchase per buyer</w:t>
            </w:r>
          </w:p>
        </w:tc>
      </w:tr>
      <w:tr w:rsidR="00722E5C" w:rsidRPr="00D07677" w14:paraId="03CD6D8F" w14:textId="77777777" w:rsidTr="00440578">
        <w:trPr>
          <w:trHeight w:val="240"/>
          <w:jc w:val="center"/>
        </w:trPr>
        <w:tc>
          <w:tcPr>
            <w:tcW w:w="2135" w:type="dxa"/>
            <w:tcBorders>
              <w:bottom w:val="single" w:sz="4" w:space="0" w:color="auto"/>
            </w:tcBorders>
            <w:shd w:val="clear" w:color="auto" w:fill="auto"/>
            <w:noWrap/>
            <w:vAlign w:val="bottom"/>
          </w:tcPr>
          <w:p w14:paraId="31E981F3" w14:textId="77777777" w:rsidR="00722E5C" w:rsidRPr="00AF214E" w:rsidRDefault="00722E5C" w:rsidP="00722E5C">
            <w:pPr>
              <w:rPr>
                <w:rFonts w:ascii="Arial" w:hAnsi="Arial"/>
                <w:sz w:val="20"/>
                <w:szCs w:val="20"/>
              </w:rPr>
            </w:pPr>
            <w:r w:rsidRPr="00AF214E">
              <w:rPr>
                <w:sz w:val="20"/>
                <w:szCs w:val="20"/>
              </w:rPr>
              <w:t> </w:t>
            </w:r>
          </w:p>
        </w:tc>
        <w:tc>
          <w:tcPr>
            <w:tcW w:w="992" w:type="dxa"/>
            <w:vMerge/>
            <w:tcBorders>
              <w:bottom w:val="single" w:sz="4" w:space="0" w:color="auto"/>
            </w:tcBorders>
            <w:shd w:val="clear" w:color="auto" w:fill="auto"/>
            <w:noWrap/>
            <w:vAlign w:val="bottom"/>
          </w:tcPr>
          <w:p w14:paraId="662B25AF" w14:textId="77777777" w:rsidR="00722E5C" w:rsidRPr="00AF214E" w:rsidRDefault="00722E5C" w:rsidP="00722E5C">
            <w:pPr>
              <w:jc w:val="right"/>
              <w:rPr>
                <w:b/>
                <w:sz w:val="20"/>
                <w:szCs w:val="20"/>
              </w:rPr>
            </w:pPr>
          </w:p>
        </w:tc>
        <w:tc>
          <w:tcPr>
            <w:tcW w:w="1276" w:type="dxa"/>
            <w:gridSpan w:val="2"/>
            <w:vMerge/>
            <w:tcBorders>
              <w:bottom w:val="single" w:sz="4" w:space="0" w:color="auto"/>
            </w:tcBorders>
            <w:shd w:val="clear" w:color="auto" w:fill="auto"/>
            <w:noWrap/>
            <w:vAlign w:val="bottom"/>
          </w:tcPr>
          <w:p w14:paraId="2051A5AF" w14:textId="77777777" w:rsidR="00722E5C" w:rsidRPr="00AF214E" w:rsidRDefault="00722E5C" w:rsidP="00722E5C">
            <w:pPr>
              <w:jc w:val="right"/>
              <w:rPr>
                <w:b/>
                <w:sz w:val="20"/>
                <w:szCs w:val="20"/>
              </w:rPr>
            </w:pPr>
          </w:p>
        </w:tc>
        <w:tc>
          <w:tcPr>
            <w:tcW w:w="1276" w:type="dxa"/>
            <w:gridSpan w:val="2"/>
            <w:vMerge/>
            <w:tcBorders>
              <w:bottom w:val="single" w:sz="4" w:space="0" w:color="auto"/>
            </w:tcBorders>
            <w:shd w:val="clear" w:color="auto" w:fill="auto"/>
            <w:noWrap/>
            <w:vAlign w:val="bottom"/>
          </w:tcPr>
          <w:p w14:paraId="774DEEC2" w14:textId="77777777" w:rsidR="00722E5C" w:rsidRPr="00AF214E" w:rsidRDefault="00722E5C" w:rsidP="00722E5C">
            <w:pPr>
              <w:jc w:val="right"/>
              <w:rPr>
                <w:rFonts w:ascii="Arial" w:hAnsi="Arial"/>
                <w:sz w:val="20"/>
                <w:szCs w:val="20"/>
              </w:rPr>
            </w:pPr>
          </w:p>
        </w:tc>
      </w:tr>
      <w:tr w:rsidR="00722E5C" w:rsidRPr="00D07677" w14:paraId="3C22D82C" w14:textId="77777777" w:rsidTr="00440578">
        <w:trPr>
          <w:trHeight w:val="283"/>
          <w:jc w:val="center"/>
        </w:trPr>
        <w:tc>
          <w:tcPr>
            <w:tcW w:w="2135" w:type="dxa"/>
            <w:tcBorders>
              <w:top w:val="single" w:sz="4" w:space="0" w:color="auto"/>
            </w:tcBorders>
            <w:shd w:val="clear" w:color="auto" w:fill="auto"/>
            <w:noWrap/>
            <w:vAlign w:val="bottom"/>
          </w:tcPr>
          <w:p w14:paraId="7AF0BBC5" w14:textId="77777777" w:rsidR="00722E5C" w:rsidRPr="00AF214E" w:rsidRDefault="00722E5C" w:rsidP="00722E5C">
            <w:pPr>
              <w:jc w:val="center"/>
              <w:rPr>
                <w:rFonts w:ascii="Arial" w:hAnsi="Arial"/>
                <w:sz w:val="20"/>
                <w:szCs w:val="20"/>
              </w:rPr>
            </w:pPr>
          </w:p>
        </w:tc>
        <w:tc>
          <w:tcPr>
            <w:tcW w:w="992" w:type="dxa"/>
            <w:tcBorders>
              <w:top w:val="single" w:sz="4" w:space="0" w:color="auto"/>
            </w:tcBorders>
            <w:shd w:val="clear" w:color="auto" w:fill="auto"/>
            <w:noWrap/>
            <w:vAlign w:val="bottom"/>
          </w:tcPr>
          <w:p w14:paraId="006076F2" w14:textId="77777777" w:rsidR="00722E5C" w:rsidRPr="00AF214E" w:rsidRDefault="00722E5C" w:rsidP="00722E5C">
            <w:pPr>
              <w:jc w:val="right"/>
              <w:rPr>
                <w:b/>
                <w:sz w:val="20"/>
                <w:szCs w:val="20"/>
              </w:rPr>
            </w:pPr>
            <w:r w:rsidRPr="00AF214E">
              <w:rPr>
                <w:b/>
                <w:sz w:val="20"/>
                <w:szCs w:val="20"/>
              </w:rPr>
              <w:t>%</w:t>
            </w:r>
          </w:p>
        </w:tc>
        <w:tc>
          <w:tcPr>
            <w:tcW w:w="567" w:type="dxa"/>
            <w:tcBorders>
              <w:top w:val="single" w:sz="4" w:space="0" w:color="auto"/>
            </w:tcBorders>
            <w:shd w:val="clear" w:color="auto" w:fill="auto"/>
            <w:noWrap/>
            <w:vAlign w:val="bottom"/>
          </w:tcPr>
          <w:p w14:paraId="0FBFD77E" w14:textId="77777777" w:rsidR="00722E5C" w:rsidRPr="00AF214E" w:rsidRDefault="00722E5C" w:rsidP="00722E5C">
            <w:pPr>
              <w:jc w:val="right"/>
              <w:rPr>
                <w:sz w:val="20"/>
                <w:szCs w:val="20"/>
              </w:rPr>
            </w:pPr>
            <w:r w:rsidRPr="00AF214E">
              <w:rPr>
                <w:sz w:val="20"/>
                <w:szCs w:val="20"/>
              </w:rPr>
              <w:t>O</w:t>
            </w:r>
          </w:p>
        </w:tc>
        <w:tc>
          <w:tcPr>
            <w:tcW w:w="709" w:type="dxa"/>
            <w:tcBorders>
              <w:top w:val="single" w:sz="4" w:space="0" w:color="auto"/>
            </w:tcBorders>
            <w:vAlign w:val="bottom"/>
          </w:tcPr>
          <w:p w14:paraId="4DBAAB61" w14:textId="77777777" w:rsidR="00722E5C" w:rsidRPr="00AF214E" w:rsidRDefault="00722E5C" w:rsidP="00722E5C">
            <w:pPr>
              <w:jc w:val="right"/>
              <w:rPr>
                <w:b/>
                <w:sz w:val="20"/>
                <w:szCs w:val="20"/>
              </w:rPr>
            </w:pPr>
            <w:r w:rsidRPr="00AF214E">
              <w:rPr>
                <w:b/>
                <w:sz w:val="20"/>
                <w:szCs w:val="20"/>
              </w:rPr>
              <w:t>T</w:t>
            </w:r>
          </w:p>
        </w:tc>
        <w:tc>
          <w:tcPr>
            <w:tcW w:w="709" w:type="dxa"/>
            <w:tcBorders>
              <w:top w:val="single" w:sz="4" w:space="0" w:color="auto"/>
            </w:tcBorders>
            <w:shd w:val="clear" w:color="auto" w:fill="auto"/>
            <w:noWrap/>
            <w:vAlign w:val="bottom"/>
          </w:tcPr>
          <w:p w14:paraId="0D4D8FB3" w14:textId="77777777" w:rsidR="00722E5C" w:rsidRPr="00AF214E" w:rsidRDefault="00722E5C" w:rsidP="00722E5C">
            <w:pPr>
              <w:jc w:val="right"/>
              <w:rPr>
                <w:sz w:val="20"/>
                <w:szCs w:val="20"/>
              </w:rPr>
            </w:pPr>
            <w:r w:rsidRPr="00AF214E">
              <w:rPr>
                <w:sz w:val="20"/>
                <w:szCs w:val="20"/>
              </w:rPr>
              <w:t>O</w:t>
            </w:r>
          </w:p>
        </w:tc>
        <w:tc>
          <w:tcPr>
            <w:tcW w:w="567" w:type="dxa"/>
            <w:tcBorders>
              <w:top w:val="single" w:sz="4" w:space="0" w:color="auto"/>
            </w:tcBorders>
            <w:shd w:val="clear" w:color="auto" w:fill="auto"/>
            <w:noWrap/>
            <w:vAlign w:val="bottom"/>
          </w:tcPr>
          <w:p w14:paraId="738E7B73" w14:textId="77777777" w:rsidR="00722E5C" w:rsidRPr="00AF214E" w:rsidRDefault="00722E5C" w:rsidP="00722E5C">
            <w:pPr>
              <w:jc w:val="right"/>
              <w:rPr>
                <w:b/>
                <w:sz w:val="20"/>
                <w:szCs w:val="20"/>
              </w:rPr>
            </w:pPr>
            <w:r w:rsidRPr="00AF214E">
              <w:rPr>
                <w:b/>
                <w:sz w:val="20"/>
                <w:szCs w:val="20"/>
              </w:rPr>
              <w:t>T</w:t>
            </w:r>
          </w:p>
        </w:tc>
      </w:tr>
      <w:tr w:rsidR="00722E5C" w:rsidRPr="00D07677" w14:paraId="19051765" w14:textId="77777777" w:rsidTr="00440578">
        <w:trPr>
          <w:trHeight w:val="240"/>
          <w:jc w:val="center"/>
        </w:trPr>
        <w:tc>
          <w:tcPr>
            <w:tcW w:w="2135" w:type="dxa"/>
            <w:shd w:val="clear" w:color="auto" w:fill="auto"/>
            <w:noWrap/>
            <w:vAlign w:val="bottom"/>
          </w:tcPr>
          <w:p w14:paraId="1FCBF152" w14:textId="77777777" w:rsidR="00722E5C" w:rsidRPr="00AF214E" w:rsidRDefault="00722E5C" w:rsidP="00722E5C">
            <w:pPr>
              <w:rPr>
                <w:rFonts w:eastAsia="MS PGothic"/>
                <w:color w:val="000000" w:themeColor="text1"/>
                <w:kern w:val="24"/>
                <w:sz w:val="20"/>
                <w:szCs w:val="20"/>
              </w:rPr>
            </w:pPr>
          </w:p>
        </w:tc>
        <w:tc>
          <w:tcPr>
            <w:tcW w:w="992" w:type="dxa"/>
            <w:shd w:val="clear" w:color="auto" w:fill="auto"/>
            <w:noWrap/>
            <w:vAlign w:val="bottom"/>
          </w:tcPr>
          <w:p w14:paraId="6DF58864" w14:textId="77777777" w:rsidR="00722E5C" w:rsidRPr="00AF214E" w:rsidRDefault="00722E5C" w:rsidP="00722E5C">
            <w:pPr>
              <w:jc w:val="right"/>
              <w:rPr>
                <w:rFonts w:eastAsia="MS PGothic"/>
                <w:color w:val="000000" w:themeColor="text1"/>
                <w:kern w:val="24"/>
                <w:sz w:val="20"/>
                <w:szCs w:val="20"/>
              </w:rPr>
            </w:pPr>
          </w:p>
        </w:tc>
        <w:tc>
          <w:tcPr>
            <w:tcW w:w="567" w:type="dxa"/>
            <w:shd w:val="clear" w:color="auto" w:fill="auto"/>
            <w:noWrap/>
            <w:vAlign w:val="bottom"/>
          </w:tcPr>
          <w:p w14:paraId="7F7E479B" w14:textId="77777777" w:rsidR="00722E5C" w:rsidRPr="00AF214E" w:rsidRDefault="00722E5C" w:rsidP="00722E5C">
            <w:pPr>
              <w:jc w:val="right"/>
              <w:rPr>
                <w:rFonts w:eastAsia="MS PGothic"/>
                <w:color w:val="000000" w:themeColor="text1"/>
                <w:kern w:val="24"/>
                <w:sz w:val="20"/>
                <w:szCs w:val="20"/>
                <w:lang w:val="is-IS"/>
              </w:rPr>
            </w:pPr>
          </w:p>
        </w:tc>
        <w:tc>
          <w:tcPr>
            <w:tcW w:w="709" w:type="dxa"/>
            <w:vAlign w:val="bottom"/>
          </w:tcPr>
          <w:p w14:paraId="2A8DF913" w14:textId="77777777" w:rsidR="00722E5C" w:rsidRPr="00AF214E" w:rsidRDefault="00722E5C" w:rsidP="00722E5C">
            <w:pPr>
              <w:jc w:val="right"/>
              <w:rPr>
                <w:rFonts w:eastAsia="MS PGothic"/>
                <w:b/>
                <w:bCs/>
                <w:color w:val="000000" w:themeColor="text1"/>
                <w:kern w:val="24"/>
                <w:sz w:val="20"/>
                <w:szCs w:val="20"/>
              </w:rPr>
            </w:pPr>
          </w:p>
        </w:tc>
        <w:tc>
          <w:tcPr>
            <w:tcW w:w="709" w:type="dxa"/>
            <w:shd w:val="clear" w:color="auto" w:fill="auto"/>
            <w:noWrap/>
            <w:vAlign w:val="bottom"/>
          </w:tcPr>
          <w:p w14:paraId="239919CF" w14:textId="77777777" w:rsidR="00722E5C" w:rsidRPr="00AF214E" w:rsidRDefault="00722E5C" w:rsidP="00722E5C">
            <w:pPr>
              <w:tabs>
                <w:tab w:val="decimal" w:pos="279"/>
              </w:tabs>
              <w:jc w:val="right"/>
              <w:rPr>
                <w:rFonts w:eastAsia="MS PGothic"/>
                <w:color w:val="000000" w:themeColor="text1"/>
                <w:kern w:val="24"/>
                <w:sz w:val="20"/>
                <w:szCs w:val="20"/>
                <w:lang w:val="nb-NO"/>
              </w:rPr>
            </w:pPr>
          </w:p>
        </w:tc>
        <w:tc>
          <w:tcPr>
            <w:tcW w:w="567" w:type="dxa"/>
            <w:shd w:val="clear" w:color="auto" w:fill="auto"/>
            <w:noWrap/>
            <w:vAlign w:val="bottom"/>
          </w:tcPr>
          <w:p w14:paraId="437FCDC0" w14:textId="77777777" w:rsidR="00722E5C" w:rsidRPr="00AF214E" w:rsidRDefault="00722E5C" w:rsidP="00722E5C">
            <w:pPr>
              <w:ind w:left="137" w:hanging="137"/>
              <w:jc w:val="right"/>
              <w:rPr>
                <w:rFonts w:eastAsia="MS PGothic"/>
                <w:b/>
                <w:bCs/>
                <w:color w:val="000000" w:themeColor="text1"/>
                <w:kern w:val="24"/>
                <w:sz w:val="20"/>
                <w:szCs w:val="20"/>
                <w:lang w:val="hr-HR"/>
              </w:rPr>
            </w:pPr>
          </w:p>
        </w:tc>
      </w:tr>
      <w:tr w:rsidR="00722E5C" w:rsidRPr="00D07677" w14:paraId="4A17D364" w14:textId="77777777" w:rsidTr="00440578">
        <w:trPr>
          <w:trHeight w:val="240"/>
          <w:jc w:val="center"/>
        </w:trPr>
        <w:tc>
          <w:tcPr>
            <w:tcW w:w="2135" w:type="dxa"/>
            <w:shd w:val="clear" w:color="auto" w:fill="auto"/>
            <w:noWrap/>
            <w:vAlign w:val="bottom"/>
          </w:tcPr>
          <w:p w14:paraId="735F2C98" w14:textId="77777777" w:rsidR="00722E5C" w:rsidRPr="00AF214E" w:rsidRDefault="00722E5C" w:rsidP="00722E5C">
            <w:pPr>
              <w:rPr>
                <w:sz w:val="20"/>
                <w:szCs w:val="20"/>
              </w:rPr>
            </w:pPr>
            <w:r w:rsidRPr="00AF214E">
              <w:rPr>
                <w:rFonts w:eastAsia="MS PGothic"/>
                <w:color w:val="000000" w:themeColor="text1"/>
                <w:kern w:val="24"/>
                <w:sz w:val="20"/>
                <w:szCs w:val="20"/>
              </w:rPr>
              <w:t xml:space="preserve"> Quaker Crackers</w:t>
            </w:r>
          </w:p>
        </w:tc>
        <w:tc>
          <w:tcPr>
            <w:tcW w:w="992" w:type="dxa"/>
            <w:shd w:val="clear" w:color="auto" w:fill="auto"/>
            <w:noWrap/>
            <w:vAlign w:val="bottom"/>
          </w:tcPr>
          <w:p w14:paraId="253EB82F" w14:textId="77777777" w:rsidR="00722E5C" w:rsidRPr="00AF214E" w:rsidRDefault="00722E5C" w:rsidP="00722E5C">
            <w:pPr>
              <w:jc w:val="right"/>
              <w:rPr>
                <w:sz w:val="20"/>
                <w:szCs w:val="20"/>
              </w:rPr>
            </w:pPr>
            <w:r w:rsidRPr="00AF214E">
              <w:rPr>
                <w:rFonts w:eastAsia="MS PGothic"/>
                <w:color w:val="000000" w:themeColor="text1"/>
                <w:kern w:val="24"/>
                <w:sz w:val="20"/>
                <w:szCs w:val="20"/>
              </w:rPr>
              <w:t>16</w:t>
            </w:r>
          </w:p>
        </w:tc>
        <w:tc>
          <w:tcPr>
            <w:tcW w:w="567" w:type="dxa"/>
            <w:shd w:val="clear" w:color="auto" w:fill="auto"/>
            <w:noWrap/>
            <w:vAlign w:val="bottom"/>
          </w:tcPr>
          <w:p w14:paraId="722CAB61" w14:textId="77777777" w:rsidR="00722E5C" w:rsidRPr="00AF214E" w:rsidRDefault="00722E5C" w:rsidP="00722E5C">
            <w:pPr>
              <w:jc w:val="right"/>
              <w:rPr>
                <w:sz w:val="20"/>
                <w:szCs w:val="20"/>
              </w:rPr>
            </w:pPr>
            <w:r w:rsidRPr="00AF214E">
              <w:rPr>
                <w:rFonts w:eastAsia="MS PGothic"/>
                <w:color w:val="000000" w:themeColor="text1"/>
                <w:kern w:val="24"/>
                <w:sz w:val="20"/>
                <w:szCs w:val="20"/>
                <w:lang w:val="is-IS"/>
              </w:rPr>
              <w:t>25</w:t>
            </w:r>
          </w:p>
        </w:tc>
        <w:tc>
          <w:tcPr>
            <w:tcW w:w="709" w:type="dxa"/>
            <w:vAlign w:val="bottom"/>
          </w:tcPr>
          <w:p w14:paraId="36B78CF1" w14:textId="77777777" w:rsidR="00722E5C" w:rsidRPr="00AF214E" w:rsidRDefault="00722E5C" w:rsidP="00722E5C">
            <w:pPr>
              <w:jc w:val="right"/>
              <w:rPr>
                <w:b/>
                <w:sz w:val="20"/>
                <w:szCs w:val="20"/>
              </w:rPr>
            </w:pPr>
            <w:r w:rsidRPr="00AF214E">
              <w:rPr>
                <w:rFonts w:eastAsia="MS PGothic"/>
                <w:b/>
                <w:bCs/>
                <w:color w:val="000000" w:themeColor="text1"/>
                <w:kern w:val="24"/>
                <w:sz w:val="20"/>
                <w:szCs w:val="20"/>
              </w:rPr>
              <w:t>38</w:t>
            </w:r>
          </w:p>
        </w:tc>
        <w:tc>
          <w:tcPr>
            <w:tcW w:w="709" w:type="dxa"/>
            <w:shd w:val="clear" w:color="auto" w:fill="auto"/>
            <w:noWrap/>
            <w:vAlign w:val="bottom"/>
          </w:tcPr>
          <w:p w14:paraId="3AA6D830" w14:textId="77777777" w:rsidR="00722E5C" w:rsidRPr="00AF214E" w:rsidRDefault="00722E5C" w:rsidP="00722E5C">
            <w:pPr>
              <w:tabs>
                <w:tab w:val="decimal" w:pos="279"/>
              </w:tabs>
              <w:jc w:val="right"/>
              <w:rPr>
                <w:sz w:val="20"/>
                <w:szCs w:val="20"/>
              </w:rPr>
            </w:pPr>
            <w:r w:rsidRPr="00AF214E">
              <w:rPr>
                <w:rFonts w:eastAsia="MS PGothic"/>
                <w:color w:val="000000" w:themeColor="text1"/>
                <w:kern w:val="24"/>
                <w:sz w:val="20"/>
                <w:szCs w:val="20"/>
                <w:lang w:val="nb-NO"/>
              </w:rPr>
              <w:t>5.1</w:t>
            </w:r>
          </w:p>
        </w:tc>
        <w:tc>
          <w:tcPr>
            <w:tcW w:w="567" w:type="dxa"/>
            <w:shd w:val="clear" w:color="auto" w:fill="auto"/>
            <w:noWrap/>
            <w:vAlign w:val="bottom"/>
          </w:tcPr>
          <w:p w14:paraId="2DC06CB9" w14:textId="77777777" w:rsidR="00722E5C" w:rsidRPr="00AF214E" w:rsidRDefault="00722E5C" w:rsidP="00722E5C">
            <w:pPr>
              <w:ind w:left="137" w:hanging="137"/>
              <w:jc w:val="right"/>
              <w:rPr>
                <w:b/>
                <w:sz w:val="20"/>
                <w:szCs w:val="20"/>
              </w:rPr>
            </w:pPr>
            <w:r w:rsidRPr="00AF214E">
              <w:rPr>
                <w:rFonts w:eastAsia="MS PGothic"/>
                <w:b/>
                <w:bCs/>
                <w:color w:val="000000" w:themeColor="text1"/>
                <w:kern w:val="24"/>
                <w:sz w:val="20"/>
                <w:szCs w:val="20"/>
                <w:lang w:val="hr-HR"/>
              </w:rPr>
              <w:t>3.3</w:t>
            </w:r>
          </w:p>
        </w:tc>
      </w:tr>
      <w:tr w:rsidR="00722E5C" w:rsidRPr="00D07677" w14:paraId="3A560AEE" w14:textId="77777777" w:rsidTr="00440578">
        <w:trPr>
          <w:trHeight w:val="240"/>
          <w:jc w:val="center"/>
        </w:trPr>
        <w:tc>
          <w:tcPr>
            <w:tcW w:w="2135" w:type="dxa"/>
            <w:shd w:val="clear" w:color="auto" w:fill="auto"/>
            <w:noWrap/>
            <w:vAlign w:val="bottom"/>
          </w:tcPr>
          <w:p w14:paraId="0F158989" w14:textId="77777777" w:rsidR="00722E5C" w:rsidRPr="00AF214E" w:rsidRDefault="00722E5C" w:rsidP="00722E5C">
            <w:pPr>
              <w:rPr>
                <w:sz w:val="20"/>
                <w:szCs w:val="20"/>
              </w:rPr>
            </w:pPr>
            <w:r w:rsidRPr="00AF214E">
              <w:rPr>
                <w:rFonts w:eastAsia="MS PGothic"/>
                <w:color w:val="000000" w:themeColor="text1"/>
                <w:kern w:val="24"/>
                <w:sz w:val="20"/>
                <w:szCs w:val="20"/>
              </w:rPr>
              <w:t xml:space="preserve"> Warburtons Bread</w:t>
            </w:r>
          </w:p>
        </w:tc>
        <w:tc>
          <w:tcPr>
            <w:tcW w:w="992" w:type="dxa"/>
            <w:shd w:val="clear" w:color="auto" w:fill="auto"/>
            <w:noWrap/>
            <w:vAlign w:val="bottom"/>
          </w:tcPr>
          <w:p w14:paraId="4849F6F4" w14:textId="77777777" w:rsidR="00722E5C" w:rsidRPr="00AF214E" w:rsidRDefault="00722E5C" w:rsidP="00722E5C">
            <w:pPr>
              <w:jc w:val="right"/>
              <w:rPr>
                <w:sz w:val="20"/>
                <w:szCs w:val="20"/>
              </w:rPr>
            </w:pPr>
            <w:r w:rsidRPr="00AF214E">
              <w:rPr>
                <w:rFonts w:eastAsia="MS PGothic"/>
                <w:color w:val="000000" w:themeColor="text1"/>
                <w:kern w:val="24"/>
                <w:sz w:val="20"/>
                <w:szCs w:val="20"/>
              </w:rPr>
              <w:t>15</w:t>
            </w:r>
          </w:p>
        </w:tc>
        <w:tc>
          <w:tcPr>
            <w:tcW w:w="567" w:type="dxa"/>
            <w:shd w:val="clear" w:color="auto" w:fill="auto"/>
            <w:noWrap/>
            <w:vAlign w:val="bottom"/>
          </w:tcPr>
          <w:p w14:paraId="5893D298" w14:textId="77777777" w:rsidR="00722E5C" w:rsidRPr="00AF214E" w:rsidRDefault="00722E5C" w:rsidP="00722E5C">
            <w:pPr>
              <w:jc w:val="right"/>
              <w:rPr>
                <w:sz w:val="20"/>
                <w:szCs w:val="20"/>
              </w:rPr>
            </w:pPr>
            <w:r w:rsidRPr="00AF214E">
              <w:rPr>
                <w:rFonts w:eastAsia="MS PGothic"/>
                <w:color w:val="000000" w:themeColor="text1"/>
                <w:kern w:val="24"/>
                <w:sz w:val="20"/>
                <w:szCs w:val="20"/>
                <w:lang w:val="cs-CZ"/>
              </w:rPr>
              <w:t>49</w:t>
            </w:r>
          </w:p>
        </w:tc>
        <w:tc>
          <w:tcPr>
            <w:tcW w:w="709" w:type="dxa"/>
            <w:vAlign w:val="bottom"/>
          </w:tcPr>
          <w:p w14:paraId="3A02F6E6" w14:textId="77777777" w:rsidR="00722E5C" w:rsidRPr="00AF214E" w:rsidRDefault="00722E5C" w:rsidP="00722E5C">
            <w:pPr>
              <w:jc w:val="right"/>
              <w:rPr>
                <w:b/>
                <w:sz w:val="20"/>
                <w:szCs w:val="20"/>
              </w:rPr>
            </w:pPr>
            <w:r w:rsidRPr="00AF214E">
              <w:rPr>
                <w:rFonts w:eastAsia="MS PGothic"/>
                <w:b/>
                <w:bCs/>
                <w:color w:val="000000" w:themeColor="text1"/>
                <w:kern w:val="24"/>
                <w:sz w:val="20"/>
                <w:szCs w:val="20"/>
                <w:lang w:val="is-IS"/>
              </w:rPr>
              <w:t>66</w:t>
            </w:r>
          </w:p>
        </w:tc>
        <w:tc>
          <w:tcPr>
            <w:tcW w:w="709" w:type="dxa"/>
            <w:shd w:val="clear" w:color="auto" w:fill="auto"/>
            <w:noWrap/>
            <w:vAlign w:val="bottom"/>
          </w:tcPr>
          <w:p w14:paraId="1EC69BB1" w14:textId="77777777" w:rsidR="00722E5C" w:rsidRPr="00AF214E" w:rsidRDefault="00722E5C" w:rsidP="00722E5C">
            <w:pPr>
              <w:tabs>
                <w:tab w:val="decimal" w:pos="279"/>
              </w:tabs>
              <w:jc w:val="right"/>
              <w:rPr>
                <w:sz w:val="20"/>
                <w:szCs w:val="20"/>
              </w:rPr>
            </w:pPr>
            <w:r w:rsidRPr="00AF214E">
              <w:rPr>
                <w:rFonts w:eastAsia="MS PGothic"/>
                <w:color w:val="000000" w:themeColor="text1"/>
                <w:kern w:val="24"/>
                <w:sz w:val="20"/>
                <w:szCs w:val="20"/>
                <w:lang w:val="hr-HR"/>
              </w:rPr>
              <w:t>12.6</w:t>
            </w:r>
          </w:p>
        </w:tc>
        <w:tc>
          <w:tcPr>
            <w:tcW w:w="567" w:type="dxa"/>
            <w:shd w:val="clear" w:color="auto" w:fill="auto"/>
            <w:noWrap/>
            <w:vAlign w:val="bottom"/>
          </w:tcPr>
          <w:p w14:paraId="444F8960" w14:textId="77777777" w:rsidR="00722E5C" w:rsidRPr="00AF214E" w:rsidRDefault="00722E5C" w:rsidP="00722E5C">
            <w:pPr>
              <w:ind w:left="137" w:hanging="137"/>
              <w:jc w:val="right"/>
              <w:rPr>
                <w:b/>
                <w:sz w:val="20"/>
                <w:szCs w:val="20"/>
              </w:rPr>
            </w:pPr>
            <w:r w:rsidRPr="00AF214E">
              <w:rPr>
                <w:rFonts w:eastAsia="MS PGothic"/>
                <w:b/>
                <w:bCs/>
                <w:color w:val="000000" w:themeColor="text1"/>
                <w:kern w:val="24"/>
                <w:sz w:val="20"/>
                <w:szCs w:val="20"/>
                <w:lang w:val="hr-HR"/>
              </w:rPr>
              <w:t>9.4</w:t>
            </w:r>
          </w:p>
        </w:tc>
      </w:tr>
      <w:tr w:rsidR="00722E5C" w:rsidRPr="00D07677" w14:paraId="6BDA303C" w14:textId="77777777" w:rsidTr="00440578">
        <w:trPr>
          <w:trHeight w:val="240"/>
          <w:jc w:val="center"/>
        </w:trPr>
        <w:tc>
          <w:tcPr>
            <w:tcW w:w="2135" w:type="dxa"/>
            <w:shd w:val="clear" w:color="auto" w:fill="auto"/>
            <w:noWrap/>
            <w:vAlign w:val="bottom"/>
          </w:tcPr>
          <w:p w14:paraId="11EE2B40" w14:textId="77777777" w:rsidR="00722E5C" w:rsidRPr="00AF214E" w:rsidRDefault="00722E5C" w:rsidP="00722E5C">
            <w:pPr>
              <w:rPr>
                <w:sz w:val="20"/>
                <w:szCs w:val="20"/>
              </w:rPr>
            </w:pPr>
            <w:r w:rsidRPr="00AF214E">
              <w:rPr>
                <w:rFonts w:eastAsia="MS PGothic"/>
                <w:color w:val="000000" w:themeColor="text1"/>
                <w:kern w:val="24"/>
                <w:sz w:val="20"/>
                <w:szCs w:val="20"/>
              </w:rPr>
              <w:t xml:space="preserve"> Muller Light Yoghurt</w:t>
            </w:r>
          </w:p>
        </w:tc>
        <w:tc>
          <w:tcPr>
            <w:tcW w:w="992" w:type="dxa"/>
            <w:shd w:val="clear" w:color="auto" w:fill="auto"/>
            <w:noWrap/>
            <w:vAlign w:val="bottom"/>
          </w:tcPr>
          <w:p w14:paraId="78FDE11B" w14:textId="77777777" w:rsidR="00722E5C" w:rsidRPr="00AF214E" w:rsidRDefault="00722E5C" w:rsidP="00722E5C">
            <w:pPr>
              <w:jc w:val="right"/>
              <w:rPr>
                <w:sz w:val="20"/>
                <w:szCs w:val="20"/>
              </w:rPr>
            </w:pPr>
            <w:r w:rsidRPr="00AF214E">
              <w:rPr>
                <w:rFonts w:eastAsia="MS PGothic"/>
                <w:color w:val="000000" w:themeColor="text1"/>
                <w:kern w:val="24"/>
                <w:sz w:val="20"/>
                <w:szCs w:val="20"/>
              </w:rPr>
              <w:t>14</w:t>
            </w:r>
          </w:p>
        </w:tc>
        <w:tc>
          <w:tcPr>
            <w:tcW w:w="567" w:type="dxa"/>
            <w:shd w:val="clear" w:color="auto" w:fill="auto"/>
            <w:noWrap/>
            <w:vAlign w:val="bottom"/>
          </w:tcPr>
          <w:p w14:paraId="3EB1C51D" w14:textId="77777777" w:rsidR="00722E5C" w:rsidRPr="00AF214E" w:rsidRDefault="00722E5C" w:rsidP="00722E5C">
            <w:pPr>
              <w:jc w:val="right"/>
              <w:rPr>
                <w:sz w:val="20"/>
                <w:szCs w:val="20"/>
              </w:rPr>
            </w:pPr>
            <w:r w:rsidRPr="00AF214E">
              <w:rPr>
                <w:rFonts w:eastAsia="MS PGothic"/>
                <w:color w:val="000000" w:themeColor="text1"/>
                <w:kern w:val="24"/>
                <w:sz w:val="20"/>
                <w:szCs w:val="20"/>
                <w:lang w:val="ru-RU"/>
              </w:rPr>
              <w:t>34</w:t>
            </w:r>
          </w:p>
        </w:tc>
        <w:tc>
          <w:tcPr>
            <w:tcW w:w="709" w:type="dxa"/>
            <w:vAlign w:val="bottom"/>
          </w:tcPr>
          <w:p w14:paraId="44E3D090" w14:textId="77777777" w:rsidR="00722E5C" w:rsidRPr="00AF214E" w:rsidRDefault="00722E5C" w:rsidP="00722E5C">
            <w:pPr>
              <w:jc w:val="right"/>
              <w:rPr>
                <w:b/>
                <w:sz w:val="20"/>
                <w:szCs w:val="20"/>
              </w:rPr>
            </w:pPr>
            <w:r w:rsidRPr="00AF214E">
              <w:rPr>
                <w:rFonts w:eastAsia="MS PGothic"/>
                <w:b/>
                <w:bCs/>
                <w:color w:val="000000" w:themeColor="text1"/>
                <w:kern w:val="24"/>
                <w:sz w:val="20"/>
                <w:szCs w:val="20"/>
              </w:rPr>
              <w:t>47</w:t>
            </w:r>
          </w:p>
        </w:tc>
        <w:tc>
          <w:tcPr>
            <w:tcW w:w="709" w:type="dxa"/>
            <w:shd w:val="clear" w:color="auto" w:fill="auto"/>
            <w:noWrap/>
            <w:vAlign w:val="bottom"/>
          </w:tcPr>
          <w:p w14:paraId="72C4F4C8" w14:textId="77777777" w:rsidR="00722E5C" w:rsidRPr="00AF214E" w:rsidRDefault="00722E5C" w:rsidP="00722E5C">
            <w:pPr>
              <w:tabs>
                <w:tab w:val="decimal" w:pos="279"/>
              </w:tabs>
              <w:jc w:val="right"/>
              <w:rPr>
                <w:sz w:val="20"/>
                <w:szCs w:val="20"/>
              </w:rPr>
            </w:pPr>
            <w:r w:rsidRPr="00AF214E">
              <w:rPr>
                <w:rFonts w:eastAsia="MS PGothic"/>
                <w:color w:val="000000" w:themeColor="text1"/>
                <w:kern w:val="24"/>
                <w:sz w:val="20"/>
                <w:szCs w:val="20"/>
                <w:lang w:val="nb-NO"/>
              </w:rPr>
              <w:t>11.0</w:t>
            </w:r>
          </w:p>
        </w:tc>
        <w:tc>
          <w:tcPr>
            <w:tcW w:w="567" w:type="dxa"/>
            <w:shd w:val="clear" w:color="auto" w:fill="auto"/>
            <w:noWrap/>
            <w:vAlign w:val="bottom"/>
          </w:tcPr>
          <w:p w14:paraId="08EFA002" w14:textId="77777777" w:rsidR="00722E5C" w:rsidRPr="00AF214E" w:rsidRDefault="00722E5C" w:rsidP="00722E5C">
            <w:pPr>
              <w:ind w:left="137" w:hanging="137"/>
              <w:jc w:val="right"/>
              <w:rPr>
                <w:b/>
                <w:sz w:val="20"/>
                <w:szCs w:val="20"/>
              </w:rPr>
            </w:pPr>
            <w:r w:rsidRPr="00AF214E">
              <w:rPr>
                <w:rFonts w:eastAsia="MS PGothic"/>
                <w:b/>
                <w:bCs/>
                <w:color w:val="000000" w:themeColor="text1"/>
                <w:kern w:val="24"/>
                <w:sz w:val="20"/>
                <w:szCs w:val="20"/>
                <w:lang w:val="nb-NO"/>
              </w:rPr>
              <w:t>7.9</w:t>
            </w:r>
          </w:p>
        </w:tc>
      </w:tr>
      <w:tr w:rsidR="00722E5C" w:rsidRPr="00D07677" w14:paraId="2FDF6B38" w14:textId="77777777" w:rsidTr="00440578">
        <w:trPr>
          <w:trHeight w:val="240"/>
          <w:jc w:val="center"/>
        </w:trPr>
        <w:tc>
          <w:tcPr>
            <w:tcW w:w="2135" w:type="dxa"/>
            <w:shd w:val="clear" w:color="auto" w:fill="auto"/>
            <w:noWrap/>
            <w:vAlign w:val="bottom"/>
          </w:tcPr>
          <w:p w14:paraId="2C7960E3" w14:textId="77777777" w:rsidR="00722E5C" w:rsidRPr="00AF214E" w:rsidRDefault="00722E5C" w:rsidP="00722E5C">
            <w:pPr>
              <w:rPr>
                <w:sz w:val="20"/>
                <w:szCs w:val="20"/>
              </w:rPr>
            </w:pPr>
            <w:r w:rsidRPr="00AF214E">
              <w:rPr>
                <w:rFonts w:eastAsia="MS PGothic"/>
                <w:color w:val="000000" w:themeColor="text1"/>
                <w:kern w:val="24"/>
                <w:sz w:val="20"/>
                <w:szCs w:val="20"/>
              </w:rPr>
              <w:t xml:space="preserve"> Sensodyne T’paste</w:t>
            </w:r>
          </w:p>
        </w:tc>
        <w:tc>
          <w:tcPr>
            <w:tcW w:w="992" w:type="dxa"/>
            <w:shd w:val="clear" w:color="auto" w:fill="auto"/>
            <w:noWrap/>
            <w:vAlign w:val="bottom"/>
          </w:tcPr>
          <w:p w14:paraId="4786BE4E" w14:textId="77777777" w:rsidR="00722E5C" w:rsidRPr="00AF214E" w:rsidRDefault="00722E5C" w:rsidP="00722E5C">
            <w:pPr>
              <w:jc w:val="right"/>
              <w:rPr>
                <w:sz w:val="20"/>
                <w:szCs w:val="20"/>
              </w:rPr>
            </w:pPr>
            <w:r w:rsidRPr="00AF214E">
              <w:rPr>
                <w:rFonts w:eastAsia="MS PGothic"/>
                <w:color w:val="000000" w:themeColor="text1"/>
                <w:kern w:val="24"/>
                <w:sz w:val="20"/>
                <w:szCs w:val="20"/>
              </w:rPr>
              <w:t>9</w:t>
            </w:r>
          </w:p>
        </w:tc>
        <w:tc>
          <w:tcPr>
            <w:tcW w:w="567" w:type="dxa"/>
            <w:shd w:val="clear" w:color="auto" w:fill="auto"/>
            <w:noWrap/>
            <w:vAlign w:val="bottom"/>
          </w:tcPr>
          <w:p w14:paraId="173F8803" w14:textId="77777777" w:rsidR="00722E5C" w:rsidRPr="00AF214E" w:rsidRDefault="00722E5C" w:rsidP="00722E5C">
            <w:pPr>
              <w:jc w:val="right"/>
              <w:rPr>
                <w:sz w:val="20"/>
                <w:szCs w:val="20"/>
              </w:rPr>
            </w:pPr>
            <w:r w:rsidRPr="00AF214E">
              <w:rPr>
                <w:rFonts w:eastAsia="MS PGothic"/>
                <w:color w:val="000000" w:themeColor="text1"/>
                <w:kern w:val="24"/>
                <w:sz w:val="20"/>
                <w:szCs w:val="20"/>
                <w:lang w:val="is-IS"/>
              </w:rPr>
              <w:t>12</w:t>
            </w:r>
          </w:p>
        </w:tc>
        <w:tc>
          <w:tcPr>
            <w:tcW w:w="709" w:type="dxa"/>
            <w:vAlign w:val="bottom"/>
          </w:tcPr>
          <w:p w14:paraId="7B518E1D" w14:textId="77777777" w:rsidR="00722E5C" w:rsidRPr="00AF214E" w:rsidRDefault="00722E5C" w:rsidP="00722E5C">
            <w:pPr>
              <w:jc w:val="right"/>
              <w:rPr>
                <w:b/>
                <w:sz w:val="20"/>
                <w:szCs w:val="20"/>
              </w:rPr>
            </w:pPr>
            <w:r w:rsidRPr="00AF214E">
              <w:rPr>
                <w:rFonts w:eastAsia="MS PGothic"/>
                <w:b/>
                <w:bCs/>
                <w:color w:val="000000" w:themeColor="text1"/>
                <w:kern w:val="24"/>
                <w:sz w:val="20"/>
                <w:szCs w:val="20"/>
              </w:rPr>
              <w:t>16</w:t>
            </w:r>
          </w:p>
        </w:tc>
        <w:tc>
          <w:tcPr>
            <w:tcW w:w="709" w:type="dxa"/>
            <w:shd w:val="clear" w:color="auto" w:fill="auto"/>
            <w:noWrap/>
            <w:vAlign w:val="bottom"/>
          </w:tcPr>
          <w:p w14:paraId="02C5E321" w14:textId="77777777" w:rsidR="00722E5C" w:rsidRPr="00AF214E" w:rsidRDefault="00722E5C" w:rsidP="00722E5C">
            <w:pPr>
              <w:tabs>
                <w:tab w:val="decimal" w:pos="279"/>
              </w:tabs>
              <w:jc w:val="right"/>
              <w:rPr>
                <w:sz w:val="20"/>
                <w:szCs w:val="20"/>
              </w:rPr>
            </w:pPr>
            <w:r w:rsidRPr="00AF214E">
              <w:rPr>
                <w:rFonts w:eastAsia="MS PGothic"/>
                <w:color w:val="000000" w:themeColor="text1"/>
                <w:kern w:val="24"/>
                <w:sz w:val="20"/>
                <w:szCs w:val="20"/>
                <w:lang w:val="hr-HR"/>
              </w:rPr>
              <w:t>3.2</w:t>
            </w:r>
          </w:p>
        </w:tc>
        <w:tc>
          <w:tcPr>
            <w:tcW w:w="567" w:type="dxa"/>
            <w:shd w:val="clear" w:color="auto" w:fill="auto"/>
            <w:noWrap/>
            <w:vAlign w:val="bottom"/>
          </w:tcPr>
          <w:p w14:paraId="7CA70E60" w14:textId="77777777" w:rsidR="00722E5C" w:rsidRPr="00AF214E" w:rsidRDefault="00722E5C" w:rsidP="00722E5C">
            <w:pPr>
              <w:ind w:left="137" w:hanging="137"/>
              <w:jc w:val="right"/>
              <w:rPr>
                <w:b/>
                <w:sz w:val="20"/>
                <w:szCs w:val="20"/>
              </w:rPr>
            </w:pPr>
            <w:r w:rsidRPr="00AF214E">
              <w:rPr>
                <w:rFonts w:eastAsia="MS PGothic"/>
                <w:b/>
                <w:bCs/>
                <w:color w:val="000000" w:themeColor="text1"/>
                <w:kern w:val="24"/>
                <w:sz w:val="20"/>
                <w:szCs w:val="20"/>
                <w:lang w:val="hr-HR"/>
              </w:rPr>
              <w:t>2.4</w:t>
            </w:r>
          </w:p>
        </w:tc>
      </w:tr>
      <w:tr w:rsidR="00722E5C" w:rsidRPr="00D07677" w14:paraId="5591D10C" w14:textId="77777777" w:rsidTr="00440578">
        <w:trPr>
          <w:trHeight w:val="240"/>
          <w:jc w:val="center"/>
        </w:trPr>
        <w:tc>
          <w:tcPr>
            <w:tcW w:w="2135" w:type="dxa"/>
            <w:shd w:val="clear" w:color="auto" w:fill="auto"/>
            <w:noWrap/>
            <w:vAlign w:val="bottom"/>
          </w:tcPr>
          <w:p w14:paraId="292114F1" w14:textId="77777777" w:rsidR="00722E5C" w:rsidRPr="00AF214E" w:rsidRDefault="00722E5C" w:rsidP="00722E5C">
            <w:pPr>
              <w:rPr>
                <w:sz w:val="20"/>
                <w:szCs w:val="20"/>
              </w:rPr>
            </w:pPr>
            <w:r w:rsidRPr="00AF214E">
              <w:rPr>
                <w:rFonts w:eastAsia="MS PGothic"/>
                <w:color w:val="000000" w:themeColor="text1"/>
                <w:kern w:val="24"/>
                <w:sz w:val="20"/>
                <w:szCs w:val="20"/>
              </w:rPr>
              <w:t xml:space="preserve"> K.P. Space Raiders</w:t>
            </w:r>
          </w:p>
        </w:tc>
        <w:tc>
          <w:tcPr>
            <w:tcW w:w="992" w:type="dxa"/>
            <w:shd w:val="clear" w:color="auto" w:fill="auto"/>
            <w:noWrap/>
            <w:vAlign w:val="bottom"/>
          </w:tcPr>
          <w:p w14:paraId="752D33F8" w14:textId="77777777" w:rsidR="00722E5C" w:rsidRPr="00AF214E" w:rsidRDefault="00722E5C" w:rsidP="00722E5C">
            <w:pPr>
              <w:jc w:val="right"/>
              <w:rPr>
                <w:sz w:val="20"/>
                <w:szCs w:val="20"/>
              </w:rPr>
            </w:pPr>
            <w:r w:rsidRPr="00AF214E">
              <w:rPr>
                <w:rFonts w:eastAsia="MS PGothic"/>
                <w:color w:val="000000" w:themeColor="text1"/>
                <w:kern w:val="24"/>
                <w:sz w:val="20"/>
                <w:szCs w:val="20"/>
                <w:lang w:val="is-IS"/>
              </w:rPr>
              <w:t>2</w:t>
            </w:r>
          </w:p>
        </w:tc>
        <w:tc>
          <w:tcPr>
            <w:tcW w:w="567" w:type="dxa"/>
            <w:shd w:val="clear" w:color="auto" w:fill="auto"/>
            <w:noWrap/>
            <w:vAlign w:val="bottom"/>
          </w:tcPr>
          <w:p w14:paraId="622FA9CD" w14:textId="77777777" w:rsidR="00722E5C" w:rsidRPr="00AF214E" w:rsidRDefault="00722E5C" w:rsidP="00722E5C">
            <w:pPr>
              <w:jc w:val="right"/>
              <w:rPr>
                <w:sz w:val="20"/>
                <w:szCs w:val="20"/>
              </w:rPr>
            </w:pPr>
            <w:r w:rsidRPr="00AF214E">
              <w:rPr>
                <w:rFonts w:eastAsia="MS PGothic"/>
                <w:color w:val="000000" w:themeColor="text1"/>
                <w:kern w:val="24"/>
                <w:sz w:val="20"/>
                <w:szCs w:val="20"/>
              </w:rPr>
              <w:t>3</w:t>
            </w:r>
          </w:p>
        </w:tc>
        <w:tc>
          <w:tcPr>
            <w:tcW w:w="709" w:type="dxa"/>
            <w:vAlign w:val="bottom"/>
          </w:tcPr>
          <w:p w14:paraId="59920F4A" w14:textId="77777777" w:rsidR="00722E5C" w:rsidRPr="00AF214E" w:rsidRDefault="00722E5C" w:rsidP="00722E5C">
            <w:pPr>
              <w:jc w:val="right"/>
              <w:rPr>
                <w:b/>
                <w:sz w:val="20"/>
                <w:szCs w:val="20"/>
              </w:rPr>
            </w:pPr>
            <w:r w:rsidRPr="00AF214E">
              <w:rPr>
                <w:rFonts w:eastAsia="MS PGothic"/>
                <w:b/>
                <w:bCs/>
                <w:color w:val="000000" w:themeColor="text1"/>
                <w:kern w:val="24"/>
                <w:sz w:val="20"/>
                <w:szCs w:val="20"/>
              </w:rPr>
              <w:t>5</w:t>
            </w:r>
          </w:p>
        </w:tc>
        <w:tc>
          <w:tcPr>
            <w:tcW w:w="709" w:type="dxa"/>
            <w:shd w:val="clear" w:color="auto" w:fill="auto"/>
            <w:noWrap/>
            <w:vAlign w:val="bottom"/>
          </w:tcPr>
          <w:p w14:paraId="53616059" w14:textId="77777777" w:rsidR="00722E5C" w:rsidRPr="00AF214E" w:rsidRDefault="00722E5C" w:rsidP="00722E5C">
            <w:pPr>
              <w:tabs>
                <w:tab w:val="decimal" w:pos="279"/>
              </w:tabs>
              <w:jc w:val="right"/>
              <w:rPr>
                <w:sz w:val="20"/>
                <w:szCs w:val="20"/>
              </w:rPr>
            </w:pPr>
            <w:r w:rsidRPr="00AF214E">
              <w:rPr>
                <w:rFonts w:eastAsia="MS PGothic"/>
                <w:color w:val="000000" w:themeColor="text1"/>
                <w:kern w:val="24"/>
                <w:sz w:val="20"/>
                <w:szCs w:val="20"/>
                <w:lang w:val="hr-HR"/>
              </w:rPr>
              <w:t>4.8</w:t>
            </w:r>
          </w:p>
        </w:tc>
        <w:tc>
          <w:tcPr>
            <w:tcW w:w="567" w:type="dxa"/>
            <w:shd w:val="clear" w:color="auto" w:fill="auto"/>
            <w:noWrap/>
            <w:vAlign w:val="bottom"/>
          </w:tcPr>
          <w:p w14:paraId="59BA27B3" w14:textId="77777777" w:rsidR="00722E5C" w:rsidRPr="00AF214E" w:rsidRDefault="00722E5C" w:rsidP="00722E5C">
            <w:pPr>
              <w:ind w:left="137" w:hanging="137"/>
              <w:jc w:val="right"/>
              <w:rPr>
                <w:b/>
                <w:sz w:val="20"/>
                <w:szCs w:val="20"/>
              </w:rPr>
            </w:pPr>
            <w:r w:rsidRPr="00AF214E">
              <w:rPr>
                <w:rFonts w:eastAsia="MS PGothic"/>
                <w:b/>
                <w:bCs/>
                <w:color w:val="000000" w:themeColor="text1"/>
                <w:kern w:val="24"/>
                <w:sz w:val="20"/>
                <w:szCs w:val="20"/>
                <w:lang w:val="hr-HR"/>
              </w:rPr>
              <w:t>3.2</w:t>
            </w:r>
          </w:p>
        </w:tc>
      </w:tr>
      <w:tr w:rsidR="00722E5C" w:rsidRPr="00D07677" w14:paraId="2EF1EC9E" w14:textId="77777777" w:rsidTr="00440578">
        <w:trPr>
          <w:trHeight w:val="240"/>
          <w:jc w:val="center"/>
        </w:trPr>
        <w:tc>
          <w:tcPr>
            <w:tcW w:w="2135" w:type="dxa"/>
            <w:shd w:val="clear" w:color="auto" w:fill="auto"/>
            <w:noWrap/>
            <w:vAlign w:val="center"/>
          </w:tcPr>
          <w:p w14:paraId="560D9D17" w14:textId="77777777" w:rsidR="00722E5C" w:rsidRPr="00AF214E" w:rsidRDefault="00722E5C" w:rsidP="00722E5C">
            <w:pPr>
              <w:rPr>
                <w:sz w:val="20"/>
                <w:szCs w:val="20"/>
              </w:rPr>
            </w:pPr>
            <w:r w:rsidRPr="00AF214E">
              <w:rPr>
                <w:rFonts w:eastAsia="MS PGothic"/>
                <w:color w:val="000000" w:themeColor="text1"/>
                <w:kern w:val="24"/>
                <w:sz w:val="20"/>
                <w:szCs w:val="20"/>
              </w:rPr>
              <w:t xml:space="preserve"> Ecover laundry</w:t>
            </w:r>
          </w:p>
        </w:tc>
        <w:tc>
          <w:tcPr>
            <w:tcW w:w="992" w:type="dxa"/>
            <w:shd w:val="clear" w:color="auto" w:fill="auto"/>
            <w:noWrap/>
            <w:vAlign w:val="bottom"/>
          </w:tcPr>
          <w:p w14:paraId="63504C20" w14:textId="77777777" w:rsidR="00722E5C" w:rsidRPr="00AF214E" w:rsidRDefault="00722E5C" w:rsidP="00722E5C">
            <w:pPr>
              <w:jc w:val="right"/>
              <w:rPr>
                <w:sz w:val="20"/>
                <w:szCs w:val="20"/>
              </w:rPr>
            </w:pPr>
            <w:r w:rsidRPr="00AF214E">
              <w:rPr>
                <w:rFonts w:eastAsia="MS PGothic"/>
                <w:color w:val="000000" w:themeColor="text1"/>
                <w:kern w:val="24"/>
                <w:sz w:val="20"/>
                <w:szCs w:val="20"/>
              </w:rPr>
              <w:t>1</w:t>
            </w:r>
          </w:p>
        </w:tc>
        <w:tc>
          <w:tcPr>
            <w:tcW w:w="567" w:type="dxa"/>
            <w:shd w:val="clear" w:color="auto" w:fill="auto"/>
            <w:noWrap/>
            <w:vAlign w:val="bottom"/>
          </w:tcPr>
          <w:p w14:paraId="1A85607D" w14:textId="77777777" w:rsidR="00722E5C" w:rsidRPr="00AF214E" w:rsidRDefault="00722E5C" w:rsidP="00722E5C">
            <w:pPr>
              <w:jc w:val="right"/>
              <w:rPr>
                <w:sz w:val="20"/>
                <w:szCs w:val="20"/>
              </w:rPr>
            </w:pPr>
            <w:r w:rsidRPr="00AF214E">
              <w:rPr>
                <w:rFonts w:eastAsia="MS PGothic"/>
                <w:color w:val="000000" w:themeColor="text1"/>
                <w:kern w:val="24"/>
                <w:sz w:val="20"/>
                <w:szCs w:val="20"/>
                <w:lang w:val="is-IS"/>
              </w:rPr>
              <w:t>2</w:t>
            </w:r>
          </w:p>
        </w:tc>
        <w:tc>
          <w:tcPr>
            <w:tcW w:w="709" w:type="dxa"/>
            <w:vAlign w:val="bottom"/>
          </w:tcPr>
          <w:p w14:paraId="09D34E5D" w14:textId="77777777" w:rsidR="00722E5C" w:rsidRPr="00AF214E" w:rsidRDefault="00722E5C" w:rsidP="00722E5C">
            <w:pPr>
              <w:jc w:val="right"/>
              <w:rPr>
                <w:b/>
                <w:sz w:val="20"/>
                <w:szCs w:val="20"/>
              </w:rPr>
            </w:pPr>
            <w:r w:rsidRPr="00AF214E">
              <w:rPr>
                <w:rFonts w:eastAsia="MS PGothic"/>
                <w:b/>
                <w:bCs/>
                <w:color w:val="000000" w:themeColor="text1"/>
                <w:kern w:val="24"/>
                <w:sz w:val="20"/>
                <w:szCs w:val="20"/>
                <w:lang w:val="is-IS"/>
              </w:rPr>
              <w:t>2</w:t>
            </w:r>
          </w:p>
        </w:tc>
        <w:tc>
          <w:tcPr>
            <w:tcW w:w="709" w:type="dxa"/>
            <w:shd w:val="clear" w:color="auto" w:fill="auto"/>
            <w:noWrap/>
            <w:vAlign w:val="bottom"/>
          </w:tcPr>
          <w:p w14:paraId="0A720D0C" w14:textId="77777777" w:rsidR="00722E5C" w:rsidRPr="00AF214E" w:rsidRDefault="00722E5C" w:rsidP="00722E5C">
            <w:pPr>
              <w:tabs>
                <w:tab w:val="decimal" w:pos="279"/>
              </w:tabs>
              <w:jc w:val="right"/>
              <w:rPr>
                <w:sz w:val="20"/>
                <w:szCs w:val="20"/>
              </w:rPr>
            </w:pPr>
            <w:r w:rsidRPr="00AF214E">
              <w:rPr>
                <w:rFonts w:eastAsia="MS PGothic"/>
                <w:color w:val="000000" w:themeColor="text1"/>
                <w:kern w:val="24"/>
                <w:sz w:val="20"/>
                <w:szCs w:val="20"/>
                <w:lang w:val="hr-HR"/>
              </w:rPr>
              <w:t>3.9</w:t>
            </w:r>
          </w:p>
        </w:tc>
        <w:tc>
          <w:tcPr>
            <w:tcW w:w="567" w:type="dxa"/>
            <w:shd w:val="clear" w:color="auto" w:fill="auto"/>
            <w:noWrap/>
            <w:vAlign w:val="bottom"/>
          </w:tcPr>
          <w:p w14:paraId="546B2EDE" w14:textId="77777777" w:rsidR="00722E5C" w:rsidRPr="00AF214E" w:rsidRDefault="00722E5C" w:rsidP="00722E5C">
            <w:pPr>
              <w:ind w:left="137" w:hanging="137"/>
              <w:jc w:val="right"/>
              <w:rPr>
                <w:b/>
                <w:sz w:val="20"/>
                <w:szCs w:val="20"/>
              </w:rPr>
            </w:pPr>
            <w:r w:rsidRPr="00AF214E">
              <w:rPr>
                <w:rFonts w:eastAsia="MS PGothic"/>
                <w:b/>
                <w:bCs/>
                <w:color w:val="000000" w:themeColor="text1"/>
                <w:kern w:val="24"/>
                <w:sz w:val="20"/>
                <w:szCs w:val="20"/>
                <w:lang w:val="hr-HR"/>
              </w:rPr>
              <w:t>3.2</w:t>
            </w:r>
          </w:p>
        </w:tc>
      </w:tr>
      <w:tr w:rsidR="00722E5C" w:rsidRPr="00D07677" w14:paraId="0190AFE7" w14:textId="77777777" w:rsidTr="00440578">
        <w:trPr>
          <w:trHeight w:val="227"/>
          <w:jc w:val="center"/>
        </w:trPr>
        <w:tc>
          <w:tcPr>
            <w:tcW w:w="2135" w:type="dxa"/>
            <w:shd w:val="clear" w:color="auto" w:fill="auto"/>
            <w:noWrap/>
            <w:vAlign w:val="bottom"/>
          </w:tcPr>
          <w:p w14:paraId="120F2771" w14:textId="77777777" w:rsidR="00722E5C" w:rsidRPr="00AF214E" w:rsidRDefault="00722E5C" w:rsidP="00722E5C">
            <w:pPr>
              <w:spacing w:before="60"/>
              <w:rPr>
                <w:sz w:val="20"/>
                <w:szCs w:val="20"/>
              </w:rPr>
            </w:pPr>
          </w:p>
        </w:tc>
        <w:tc>
          <w:tcPr>
            <w:tcW w:w="992" w:type="dxa"/>
            <w:shd w:val="clear" w:color="auto" w:fill="auto"/>
            <w:noWrap/>
            <w:vAlign w:val="bottom"/>
          </w:tcPr>
          <w:p w14:paraId="6A68DCCF" w14:textId="77777777" w:rsidR="00722E5C" w:rsidRPr="00AF214E" w:rsidRDefault="00722E5C" w:rsidP="00722E5C">
            <w:pPr>
              <w:spacing w:before="60"/>
              <w:jc w:val="right"/>
              <w:rPr>
                <w:rFonts w:eastAsia="MS PGothic"/>
                <w:color w:val="000000" w:themeColor="text1"/>
                <w:kern w:val="24"/>
                <w:sz w:val="20"/>
                <w:szCs w:val="20"/>
              </w:rPr>
            </w:pPr>
          </w:p>
        </w:tc>
        <w:tc>
          <w:tcPr>
            <w:tcW w:w="567" w:type="dxa"/>
            <w:shd w:val="clear" w:color="auto" w:fill="auto"/>
            <w:noWrap/>
            <w:vAlign w:val="bottom"/>
          </w:tcPr>
          <w:p w14:paraId="53EBEB55" w14:textId="77777777" w:rsidR="00722E5C" w:rsidRPr="00AF214E" w:rsidRDefault="00722E5C" w:rsidP="00722E5C">
            <w:pPr>
              <w:spacing w:before="60"/>
              <w:jc w:val="right"/>
              <w:rPr>
                <w:rFonts w:eastAsia="MS PGothic"/>
                <w:color w:val="000000" w:themeColor="text1"/>
                <w:kern w:val="24"/>
                <w:sz w:val="20"/>
                <w:szCs w:val="20"/>
                <w:lang w:val="cs-CZ"/>
              </w:rPr>
            </w:pPr>
          </w:p>
        </w:tc>
        <w:tc>
          <w:tcPr>
            <w:tcW w:w="709" w:type="dxa"/>
            <w:vAlign w:val="bottom"/>
          </w:tcPr>
          <w:p w14:paraId="1CAFF891" w14:textId="77777777" w:rsidR="00722E5C" w:rsidRPr="00AF214E" w:rsidRDefault="00722E5C" w:rsidP="00722E5C">
            <w:pPr>
              <w:spacing w:before="60"/>
              <w:jc w:val="right"/>
              <w:rPr>
                <w:rFonts w:eastAsia="MS PGothic"/>
                <w:b/>
                <w:color w:val="000000" w:themeColor="text1"/>
                <w:kern w:val="24"/>
                <w:sz w:val="20"/>
                <w:szCs w:val="20"/>
                <w:lang w:val="is-IS"/>
              </w:rPr>
            </w:pPr>
          </w:p>
        </w:tc>
        <w:tc>
          <w:tcPr>
            <w:tcW w:w="709" w:type="dxa"/>
            <w:shd w:val="clear" w:color="auto" w:fill="auto"/>
            <w:noWrap/>
            <w:vAlign w:val="bottom"/>
          </w:tcPr>
          <w:p w14:paraId="25DFA09A" w14:textId="77777777" w:rsidR="00722E5C" w:rsidRPr="00AF214E" w:rsidRDefault="00722E5C" w:rsidP="00722E5C">
            <w:pPr>
              <w:tabs>
                <w:tab w:val="decimal" w:pos="279"/>
              </w:tabs>
              <w:spacing w:before="60"/>
              <w:jc w:val="right"/>
              <w:rPr>
                <w:rFonts w:eastAsia="MS PGothic"/>
                <w:color w:val="000000" w:themeColor="text1"/>
                <w:kern w:val="24"/>
                <w:sz w:val="20"/>
                <w:szCs w:val="20"/>
                <w:lang w:val="hr-HR"/>
              </w:rPr>
            </w:pPr>
          </w:p>
        </w:tc>
        <w:tc>
          <w:tcPr>
            <w:tcW w:w="567" w:type="dxa"/>
            <w:shd w:val="clear" w:color="auto" w:fill="auto"/>
            <w:noWrap/>
            <w:vAlign w:val="bottom"/>
          </w:tcPr>
          <w:p w14:paraId="0F210A31" w14:textId="77777777" w:rsidR="00722E5C" w:rsidRPr="00AF214E" w:rsidRDefault="00722E5C" w:rsidP="00722E5C">
            <w:pPr>
              <w:spacing w:before="60"/>
              <w:ind w:left="137" w:hanging="137"/>
              <w:jc w:val="right"/>
              <w:rPr>
                <w:rFonts w:eastAsia="MS PGothic"/>
                <w:b/>
                <w:color w:val="000000" w:themeColor="text1"/>
                <w:kern w:val="24"/>
                <w:sz w:val="20"/>
                <w:szCs w:val="20"/>
                <w:lang w:val="hr-HR"/>
              </w:rPr>
            </w:pPr>
          </w:p>
        </w:tc>
      </w:tr>
      <w:tr w:rsidR="00722E5C" w:rsidRPr="00D81BEB" w14:paraId="16832980" w14:textId="77777777" w:rsidTr="00440578">
        <w:trPr>
          <w:trHeight w:val="459"/>
          <w:jc w:val="center"/>
        </w:trPr>
        <w:tc>
          <w:tcPr>
            <w:tcW w:w="2135" w:type="dxa"/>
            <w:tcBorders>
              <w:bottom w:val="single" w:sz="4" w:space="0" w:color="auto"/>
            </w:tcBorders>
            <w:shd w:val="clear" w:color="auto" w:fill="auto"/>
            <w:noWrap/>
            <w:vAlign w:val="center"/>
          </w:tcPr>
          <w:p w14:paraId="26B8E9F1" w14:textId="77777777" w:rsidR="00722E5C" w:rsidRPr="00AF214E" w:rsidRDefault="00722E5C" w:rsidP="00722E5C">
            <w:pPr>
              <w:spacing w:before="60"/>
              <w:rPr>
                <w:b/>
                <w:sz w:val="20"/>
                <w:szCs w:val="20"/>
              </w:rPr>
            </w:pPr>
            <w:r w:rsidRPr="00AF214E">
              <w:rPr>
                <w:b/>
                <w:sz w:val="20"/>
                <w:szCs w:val="20"/>
              </w:rPr>
              <w:t>Average</w:t>
            </w:r>
          </w:p>
        </w:tc>
        <w:tc>
          <w:tcPr>
            <w:tcW w:w="992" w:type="dxa"/>
            <w:tcBorders>
              <w:bottom w:val="single" w:sz="4" w:space="0" w:color="auto"/>
            </w:tcBorders>
            <w:shd w:val="clear" w:color="auto" w:fill="auto"/>
            <w:noWrap/>
            <w:vAlign w:val="center"/>
          </w:tcPr>
          <w:p w14:paraId="1EF37ECC" w14:textId="77777777" w:rsidR="00722E5C" w:rsidRPr="00AF214E" w:rsidRDefault="00722E5C" w:rsidP="00722E5C">
            <w:pPr>
              <w:spacing w:before="60"/>
              <w:jc w:val="right"/>
              <w:rPr>
                <w:b/>
                <w:sz w:val="20"/>
                <w:szCs w:val="20"/>
              </w:rPr>
            </w:pPr>
            <w:r w:rsidRPr="00AF214E">
              <w:rPr>
                <w:rFonts w:eastAsia="MS PGothic"/>
                <w:b/>
                <w:color w:val="000000" w:themeColor="text1"/>
                <w:kern w:val="24"/>
                <w:sz w:val="20"/>
                <w:szCs w:val="20"/>
              </w:rPr>
              <w:t>9</w:t>
            </w:r>
          </w:p>
        </w:tc>
        <w:tc>
          <w:tcPr>
            <w:tcW w:w="567" w:type="dxa"/>
            <w:tcBorders>
              <w:bottom w:val="single" w:sz="4" w:space="0" w:color="auto"/>
            </w:tcBorders>
            <w:shd w:val="clear" w:color="auto" w:fill="auto"/>
            <w:noWrap/>
            <w:vAlign w:val="center"/>
          </w:tcPr>
          <w:p w14:paraId="7E541895" w14:textId="77777777" w:rsidR="00722E5C" w:rsidRPr="00AF214E" w:rsidRDefault="00722E5C" w:rsidP="00722E5C">
            <w:pPr>
              <w:spacing w:before="60"/>
              <w:jc w:val="right"/>
              <w:rPr>
                <w:b/>
                <w:sz w:val="20"/>
                <w:szCs w:val="20"/>
              </w:rPr>
            </w:pPr>
            <w:r w:rsidRPr="00AF214E">
              <w:rPr>
                <w:rFonts w:eastAsia="MS PGothic"/>
                <w:b/>
                <w:color w:val="000000" w:themeColor="text1"/>
                <w:kern w:val="24"/>
                <w:sz w:val="20"/>
                <w:szCs w:val="20"/>
                <w:lang w:val="cs-CZ"/>
              </w:rPr>
              <w:t>21</w:t>
            </w:r>
          </w:p>
        </w:tc>
        <w:tc>
          <w:tcPr>
            <w:tcW w:w="709" w:type="dxa"/>
            <w:tcBorders>
              <w:bottom w:val="single" w:sz="4" w:space="0" w:color="auto"/>
            </w:tcBorders>
            <w:vAlign w:val="center"/>
          </w:tcPr>
          <w:p w14:paraId="7B4004B9" w14:textId="77777777" w:rsidR="00722E5C" w:rsidRPr="00AF214E" w:rsidRDefault="00722E5C" w:rsidP="00722E5C">
            <w:pPr>
              <w:spacing w:before="60"/>
              <w:jc w:val="right"/>
              <w:rPr>
                <w:b/>
                <w:sz w:val="20"/>
                <w:szCs w:val="20"/>
              </w:rPr>
            </w:pPr>
            <w:r w:rsidRPr="00AF214E">
              <w:rPr>
                <w:rFonts w:eastAsia="MS PGothic"/>
                <w:b/>
                <w:color w:val="000000" w:themeColor="text1"/>
                <w:kern w:val="24"/>
                <w:sz w:val="20"/>
                <w:szCs w:val="20"/>
                <w:lang w:val="is-IS"/>
              </w:rPr>
              <w:t>29</w:t>
            </w:r>
          </w:p>
        </w:tc>
        <w:tc>
          <w:tcPr>
            <w:tcW w:w="709" w:type="dxa"/>
            <w:tcBorders>
              <w:bottom w:val="single" w:sz="4" w:space="0" w:color="auto"/>
            </w:tcBorders>
            <w:shd w:val="clear" w:color="auto" w:fill="auto"/>
            <w:noWrap/>
            <w:vAlign w:val="center"/>
          </w:tcPr>
          <w:p w14:paraId="620227B7" w14:textId="77777777" w:rsidR="00722E5C" w:rsidRPr="00AF214E" w:rsidRDefault="00722E5C" w:rsidP="00722E5C">
            <w:pPr>
              <w:tabs>
                <w:tab w:val="decimal" w:pos="279"/>
              </w:tabs>
              <w:spacing w:before="60"/>
              <w:jc w:val="right"/>
              <w:rPr>
                <w:b/>
                <w:sz w:val="20"/>
                <w:szCs w:val="20"/>
              </w:rPr>
            </w:pPr>
            <w:r w:rsidRPr="00AF214E">
              <w:rPr>
                <w:rFonts w:eastAsia="MS PGothic"/>
                <w:b/>
                <w:color w:val="000000" w:themeColor="text1"/>
                <w:kern w:val="24"/>
                <w:sz w:val="20"/>
                <w:szCs w:val="20"/>
                <w:lang w:val="hr-HR"/>
              </w:rPr>
              <w:t>6.8</w:t>
            </w:r>
          </w:p>
        </w:tc>
        <w:tc>
          <w:tcPr>
            <w:tcW w:w="567" w:type="dxa"/>
            <w:tcBorders>
              <w:bottom w:val="single" w:sz="4" w:space="0" w:color="auto"/>
            </w:tcBorders>
            <w:shd w:val="clear" w:color="auto" w:fill="auto"/>
            <w:noWrap/>
            <w:vAlign w:val="center"/>
          </w:tcPr>
          <w:p w14:paraId="07BA70B9" w14:textId="77777777" w:rsidR="00722E5C" w:rsidRPr="00AF214E" w:rsidRDefault="00722E5C" w:rsidP="00722E5C">
            <w:pPr>
              <w:spacing w:before="60"/>
              <w:ind w:left="137" w:hanging="137"/>
              <w:jc w:val="right"/>
              <w:rPr>
                <w:b/>
                <w:sz w:val="20"/>
                <w:szCs w:val="20"/>
              </w:rPr>
            </w:pPr>
            <w:r w:rsidRPr="00AF214E">
              <w:rPr>
                <w:rFonts w:eastAsia="MS PGothic"/>
                <w:b/>
                <w:color w:val="000000" w:themeColor="text1"/>
                <w:kern w:val="24"/>
                <w:sz w:val="20"/>
                <w:szCs w:val="20"/>
                <w:lang w:val="hr-HR"/>
              </w:rPr>
              <w:t>4.9</w:t>
            </w:r>
          </w:p>
        </w:tc>
      </w:tr>
    </w:tbl>
    <w:p w14:paraId="40DBC122" w14:textId="77777777" w:rsidR="00722E5C" w:rsidRPr="00491D4A" w:rsidRDefault="00722E5C" w:rsidP="00722E5C">
      <w:pPr>
        <w:spacing w:before="120"/>
        <w:jc w:val="center"/>
        <w:rPr>
          <w:rFonts w:cs="Arial"/>
          <w:sz w:val="18"/>
          <w:szCs w:val="18"/>
        </w:rPr>
      </w:pPr>
      <w:r w:rsidRPr="00491D4A">
        <w:rPr>
          <w:rFonts w:cs="Arial"/>
          <w:i/>
          <w:sz w:val="18"/>
          <w:szCs w:val="18"/>
        </w:rPr>
        <w:t>Kantar Worldpanel: 52 weeks to Jan 2005.</w:t>
      </w:r>
      <w:r>
        <w:rPr>
          <w:rFonts w:cs="Arial"/>
          <w:i/>
          <w:sz w:val="18"/>
          <w:szCs w:val="18"/>
        </w:rPr>
        <w:t xml:space="preserve"> </w:t>
      </w:r>
    </w:p>
    <w:p w14:paraId="498D0094" w14:textId="77777777" w:rsidR="00722E5C" w:rsidRDefault="00722E5C" w:rsidP="00722E5C">
      <w:pPr>
        <w:jc w:val="center"/>
        <w:rPr>
          <w:rFonts w:cs="Arial"/>
        </w:rPr>
      </w:pPr>
    </w:p>
    <w:p w14:paraId="415C15B1" w14:textId="77777777" w:rsidR="00722E5C" w:rsidRDefault="00722E5C" w:rsidP="00722E5C">
      <w:pPr>
        <w:jc w:val="center"/>
        <w:rPr>
          <w:rFonts w:cs="Arial"/>
        </w:rPr>
      </w:pPr>
    </w:p>
    <w:p w14:paraId="04B8FEAC" w14:textId="77777777" w:rsidR="00722E5C" w:rsidRDefault="00722E5C" w:rsidP="00722E5C">
      <w:pPr>
        <w:jc w:val="center"/>
        <w:rPr>
          <w:rFonts w:cs="Arial"/>
        </w:rPr>
      </w:pPr>
    </w:p>
    <w:p w14:paraId="480EB804" w14:textId="77777777" w:rsidR="00722E5C" w:rsidRDefault="00722E5C" w:rsidP="00722E5C">
      <w:pPr>
        <w:jc w:val="center"/>
        <w:rPr>
          <w:rFonts w:cs="Arial"/>
        </w:rPr>
      </w:pPr>
    </w:p>
    <w:p w14:paraId="77B65FBF" w14:textId="77777777" w:rsidR="00722E5C" w:rsidRDefault="00722E5C" w:rsidP="00722E5C">
      <w:pPr>
        <w:jc w:val="center"/>
        <w:rPr>
          <w:rFonts w:cs="Arial"/>
        </w:rPr>
      </w:pPr>
    </w:p>
    <w:p w14:paraId="2A840A9D" w14:textId="77777777" w:rsidR="00722E5C" w:rsidRDefault="00722E5C" w:rsidP="00722E5C">
      <w:pPr>
        <w:jc w:val="center"/>
        <w:rPr>
          <w:rFonts w:cs="Arial"/>
        </w:rPr>
      </w:pPr>
    </w:p>
    <w:p w14:paraId="2697F5FD" w14:textId="77777777" w:rsidR="00722E5C" w:rsidRDefault="00722E5C" w:rsidP="00722E5C">
      <w:pPr>
        <w:jc w:val="center"/>
        <w:rPr>
          <w:rFonts w:cs="Arial"/>
        </w:rPr>
      </w:pPr>
    </w:p>
    <w:p w14:paraId="2EC4B34B" w14:textId="77777777" w:rsidR="00722E5C" w:rsidRDefault="00722E5C" w:rsidP="00722E5C">
      <w:pPr>
        <w:jc w:val="center"/>
        <w:rPr>
          <w:rFonts w:cs="Arial"/>
        </w:rPr>
      </w:pPr>
    </w:p>
    <w:p w14:paraId="4B1F098E" w14:textId="77777777" w:rsidR="00722E5C" w:rsidRDefault="00722E5C" w:rsidP="00722E5C">
      <w:pPr>
        <w:jc w:val="center"/>
        <w:rPr>
          <w:rFonts w:cs="Arial"/>
        </w:rPr>
      </w:pPr>
    </w:p>
    <w:p w14:paraId="00BE671A" w14:textId="77777777" w:rsidR="00722E5C" w:rsidRDefault="00722E5C" w:rsidP="00722E5C">
      <w:pPr>
        <w:jc w:val="center"/>
        <w:rPr>
          <w:rFonts w:cs="Arial"/>
        </w:rPr>
      </w:pPr>
    </w:p>
    <w:p w14:paraId="2386141C" w14:textId="77777777" w:rsidR="00722E5C" w:rsidRDefault="00722E5C" w:rsidP="00722E5C">
      <w:pPr>
        <w:jc w:val="center"/>
        <w:rPr>
          <w:rFonts w:cs="Arial"/>
        </w:rPr>
      </w:pPr>
    </w:p>
    <w:p w14:paraId="69BE2A79" w14:textId="77777777" w:rsidR="00722E5C" w:rsidRDefault="00722E5C" w:rsidP="00722E5C">
      <w:pPr>
        <w:rPr>
          <w:rFonts w:cs="Arial"/>
        </w:rPr>
      </w:pPr>
    </w:p>
    <w:p w14:paraId="3F70410E" w14:textId="77777777" w:rsidR="00722E5C" w:rsidRDefault="00722E5C" w:rsidP="00722E5C">
      <w:pPr>
        <w:jc w:val="center"/>
        <w:rPr>
          <w:rFonts w:cs="Arial"/>
        </w:rPr>
      </w:pPr>
    </w:p>
    <w:p w14:paraId="507C9731" w14:textId="77777777" w:rsidR="00722E5C" w:rsidRDefault="00722E5C" w:rsidP="00722E5C">
      <w:pPr>
        <w:jc w:val="center"/>
        <w:rPr>
          <w:rFonts w:cs="Arial"/>
        </w:rPr>
      </w:pPr>
    </w:p>
    <w:p w14:paraId="56C11C39" w14:textId="77777777" w:rsidR="00722E5C" w:rsidRDefault="00722E5C" w:rsidP="00722E5C">
      <w:pPr>
        <w:spacing w:after="120"/>
        <w:jc w:val="center"/>
        <w:outlineLvl w:val="0"/>
        <w:rPr>
          <w:b/>
          <w:u w:val="single"/>
        </w:rPr>
      </w:pPr>
    </w:p>
    <w:p w14:paraId="4964A65A" w14:textId="24F9FEF5" w:rsidR="00722E5C" w:rsidRPr="00D81BEB" w:rsidRDefault="00722E5C" w:rsidP="00722E5C">
      <w:pPr>
        <w:spacing w:after="120" w:line="480" w:lineRule="auto"/>
        <w:jc w:val="center"/>
        <w:outlineLvl w:val="0"/>
        <w:rPr>
          <w:i/>
        </w:rPr>
      </w:pPr>
      <w:r>
        <w:rPr>
          <w:b/>
        </w:rPr>
        <w:t>Table</w:t>
      </w:r>
      <w:r w:rsidRPr="00D81BEB">
        <w:rPr>
          <w:b/>
        </w:rPr>
        <w:t xml:space="preserve"> </w:t>
      </w:r>
      <w:r w:rsidR="001B79A6">
        <w:rPr>
          <w:b/>
        </w:rPr>
        <w:t>8</w:t>
      </w:r>
      <w:r>
        <w:rPr>
          <w:b/>
        </w:rPr>
        <w:t>.</w:t>
      </w:r>
      <w:r w:rsidRPr="00D81BEB">
        <w:rPr>
          <w:b/>
        </w:rPr>
        <w:t xml:space="preserve"> Change of Pace </w:t>
      </w:r>
      <w:r>
        <w:rPr>
          <w:b/>
        </w:rPr>
        <w:t>B</w:t>
      </w:r>
      <w:r w:rsidRPr="00D81BEB">
        <w:rPr>
          <w:b/>
        </w:rPr>
        <w:t>rands</w:t>
      </w:r>
    </w:p>
    <w:tbl>
      <w:tblPr>
        <w:tblW w:w="6075" w:type="dxa"/>
        <w:jc w:val="center"/>
        <w:tblLayout w:type="fixed"/>
        <w:tblLook w:val="0000" w:firstRow="0" w:lastRow="0" w:firstColumn="0" w:lastColumn="0" w:noHBand="0" w:noVBand="0"/>
      </w:tblPr>
      <w:tblGrid>
        <w:gridCol w:w="2433"/>
        <w:gridCol w:w="964"/>
        <w:gridCol w:w="595"/>
        <w:gridCol w:w="709"/>
        <w:gridCol w:w="709"/>
        <w:gridCol w:w="665"/>
      </w:tblGrid>
      <w:tr w:rsidR="00722E5C" w:rsidRPr="00D07677" w14:paraId="4102A463" w14:textId="77777777" w:rsidTr="00AD5986">
        <w:trPr>
          <w:trHeight w:val="240"/>
          <w:jc w:val="center"/>
        </w:trPr>
        <w:tc>
          <w:tcPr>
            <w:tcW w:w="2433" w:type="dxa"/>
            <w:tcBorders>
              <w:top w:val="single" w:sz="4" w:space="0" w:color="auto"/>
            </w:tcBorders>
            <w:shd w:val="clear" w:color="auto" w:fill="auto"/>
            <w:noWrap/>
            <w:vAlign w:val="bottom"/>
          </w:tcPr>
          <w:p w14:paraId="354E96E6" w14:textId="77777777" w:rsidR="00722E5C" w:rsidRPr="00D81BEB" w:rsidRDefault="00722E5C" w:rsidP="00722E5C">
            <w:pPr>
              <w:spacing w:after="120"/>
              <w:rPr>
                <w:sz w:val="20"/>
                <w:szCs w:val="20"/>
              </w:rPr>
            </w:pPr>
            <w:r w:rsidRPr="00D81BEB">
              <w:rPr>
                <w:sz w:val="20"/>
                <w:szCs w:val="20"/>
              </w:rPr>
              <w:t xml:space="preserve">Brand </w:t>
            </w:r>
          </w:p>
        </w:tc>
        <w:tc>
          <w:tcPr>
            <w:tcW w:w="964" w:type="dxa"/>
            <w:vMerge w:val="restart"/>
            <w:tcBorders>
              <w:top w:val="single" w:sz="4" w:space="0" w:color="auto"/>
            </w:tcBorders>
            <w:shd w:val="clear" w:color="auto" w:fill="auto"/>
            <w:noWrap/>
            <w:vAlign w:val="bottom"/>
          </w:tcPr>
          <w:p w14:paraId="22FFC4FB" w14:textId="77777777" w:rsidR="00722E5C" w:rsidRPr="00D81BEB" w:rsidRDefault="00722E5C" w:rsidP="00722E5C">
            <w:pPr>
              <w:spacing w:after="120"/>
              <w:jc w:val="right"/>
              <w:rPr>
                <w:sz w:val="20"/>
                <w:szCs w:val="20"/>
              </w:rPr>
            </w:pPr>
            <w:r w:rsidRPr="00D81BEB">
              <w:rPr>
                <w:sz w:val="20"/>
                <w:szCs w:val="20"/>
              </w:rPr>
              <w:t xml:space="preserve">Market Share </w:t>
            </w:r>
          </w:p>
        </w:tc>
        <w:tc>
          <w:tcPr>
            <w:tcW w:w="1304" w:type="dxa"/>
            <w:gridSpan w:val="2"/>
            <w:vMerge w:val="restart"/>
            <w:tcBorders>
              <w:top w:val="single" w:sz="4" w:space="0" w:color="auto"/>
            </w:tcBorders>
            <w:shd w:val="clear" w:color="auto" w:fill="auto"/>
            <w:noWrap/>
            <w:vAlign w:val="bottom"/>
          </w:tcPr>
          <w:p w14:paraId="49349957" w14:textId="77777777" w:rsidR="00722E5C" w:rsidRPr="00D81BEB" w:rsidRDefault="00722E5C" w:rsidP="00722E5C">
            <w:pPr>
              <w:spacing w:after="120"/>
              <w:jc w:val="right"/>
              <w:rPr>
                <w:sz w:val="20"/>
                <w:szCs w:val="20"/>
              </w:rPr>
            </w:pPr>
            <w:r w:rsidRPr="00D81BEB">
              <w:rPr>
                <w:sz w:val="20"/>
                <w:szCs w:val="20"/>
              </w:rPr>
              <w:t>Penetration %</w:t>
            </w:r>
          </w:p>
        </w:tc>
        <w:tc>
          <w:tcPr>
            <w:tcW w:w="1374" w:type="dxa"/>
            <w:gridSpan w:val="2"/>
            <w:vMerge w:val="restart"/>
            <w:tcBorders>
              <w:top w:val="single" w:sz="4" w:space="0" w:color="auto"/>
            </w:tcBorders>
            <w:shd w:val="clear" w:color="auto" w:fill="auto"/>
            <w:noWrap/>
            <w:vAlign w:val="bottom"/>
          </w:tcPr>
          <w:p w14:paraId="01EB7560" w14:textId="77777777" w:rsidR="00722E5C" w:rsidRPr="00D81BEB" w:rsidRDefault="00722E5C" w:rsidP="00722E5C">
            <w:pPr>
              <w:spacing w:after="120"/>
              <w:jc w:val="right"/>
              <w:rPr>
                <w:rFonts w:ascii="Arial" w:hAnsi="Arial"/>
                <w:sz w:val="20"/>
                <w:szCs w:val="20"/>
              </w:rPr>
            </w:pPr>
            <w:r w:rsidRPr="00D81BEB">
              <w:rPr>
                <w:sz w:val="20"/>
                <w:szCs w:val="20"/>
              </w:rPr>
              <w:t xml:space="preserve"> Purchase per buyer </w:t>
            </w:r>
          </w:p>
        </w:tc>
      </w:tr>
      <w:tr w:rsidR="00722E5C" w:rsidRPr="00D07677" w14:paraId="571CB32A" w14:textId="77777777" w:rsidTr="00AD5986">
        <w:trPr>
          <w:trHeight w:val="240"/>
          <w:jc w:val="center"/>
        </w:trPr>
        <w:tc>
          <w:tcPr>
            <w:tcW w:w="2433" w:type="dxa"/>
            <w:tcBorders>
              <w:bottom w:val="single" w:sz="4" w:space="0" w:color="auto"/>
            </w:tcBorders>
            <w:shd w:val="clear" w:color="auto" w:fill="auto"/>
            <w:noWrap/>
            <w:vAlign w:val="bottom"/>
          </w:tcPr>
          <w:p w14:paraId="1D6952DF" w14:textId="77777777" w:rsidR="00722E5C" w:rsidRPr="00D07677" w:rsidRDefault="00722E5C" w:rsidP="00722E5C">
            <w:pPr>
              <w:rPr>
                <w:rFonts w:ascii="Arial" w:hAnsi="Arial"/>
                <w:sz w:val="20"/>
                <w:szCs w:val="20"/>
              </w:rPr>
            </w:pPr>
            <w:r w:rsidRPr="00D07677">
              <w:rPr>
                <w:sz w:val="20"/>
                <w:szCs w:val="20"/>
              </w:rPr>
              <w:t> </w:t>
            </w:r>
          </w:p>
        </w:tc>
        <w:tc>
          <w:tcPr>
            <w:tcW w:w="964" w:type="dxa"/>
            <w:vMerge/>
            <w:tcBorders>
              <w:bottom w:val="single" w:sz="4" w:space="0" w:color="auto"/>
            </w:tcBorders>
            <w:shd w:val="clear" w:color="auto" w:fill="auto"/>
            <w:noWrap/>
            <w:vAlign w:val="bottom"/>
          </w:tcPr>
          <w:p w14:paraId="6C9CE484" w14:textId="77777777" w:rsidR="00722E5C" w:rsidRPr="00D07677" w:rsidRDefault="00722E5C" w:rsidP="00722E5C">
            <w:pPr>
              <w:jc w:val="right"/>
              <w:rPr>
                <w:b/>
                <w:sz w:val="20"/>
                <w:szCs w:val="20"/>
              </w:rPr>
            </w:pPr>
          </w:p>
        </w:tc>
        <w:tc>
          <w:tcPr>
            <w:tcW w:w="1304" w:type="dxa"/>
            <w:gridSpan w:val="2"/>
            <w:vMerge/>
            <w:tcBorders>
              <w:bottom w:val="single" w:sz="4" w:space="0" w:color="auto"/>
            </w:tcBorders>
            <w:shd w:val="clear" w:color="auto" w:fill="auto"/>
            <w:noWrap/>
            <w:vAlign w:val="bottom"/>
          </w:tcPr>
          <w:p w14:paraId="59F77BEF" w14:textId="77777777" w:rsidR="00722E5C" w:rsidRPr="00D07677" w:rsidRDefault="00722E5C" w:rsidP="00722E5C">
            <w:pPr>
              <w:jc w:val="right"/>
              <w:rPr>
                <w:b/>
                <w:sz w:val="20"/>
                <w:szCs w:val="20"/>
              </w:rPr>
            </w:pPr>
          </w:p>
        </w:tc>
        <w:tc>
          <w:tcPr>
            <w:tcW w:w="1374" w:type="dxa"/>
            <w:gridSpan w:val="2"/>
            <w:vMerge/>
            <w:tcBorders>
              <w:bottom w:val="single" w:sz="4" w:space="0" w:color="auto"/>
            </w:tcBorders>
            <w:shd w:val="clear" w:color="auto" w:fill="auto"/>
            <w:noWrap/>
            <w:vAlign w:val="bottom"/>
          </w:tcPr>
          <w:p w14:paraId="065A73E4" w14:textId="77777777" w:rsidR="00722E5C" w:rsidRPr="00D07677" w:rsidRDefault="00722E5C" w:rsidP="00722E5C">
            <w:pPr>
              <w:jc w:val="right"/>
              <w:rPr>
                <w:rFonts w:ascii="Arial" w:hAnsi="Arial"/>
                <w:sz w:val="20"/>
                <w:szCs w:val="20"/>
              </w:rPr>
            </w:pPr>
          </w:p>
        </w:tc>
      </w:tr>
      <w:tr w:rsidR="00722E5C" w:rsidRPr="00D07677" w14:paraId="2E24F3D4" w14:textId="77777777" w:rsidTr="00AD5986">
        <w:trPr>
          <w:trHeight w:val="283"/>
          <w:jc w:val="center"/>
        </w:trPr>
        <w:tc>
          <w:tcPr>
            <w:tcW w:w="2433" w:type="dxa"/>
            <w:tcBorders>
              <w:top w:val="single" w:sz="4" w:space="0" w:color="auto"/>
            </w:tcBorders>
            <w:shd w:val="clear" w:color="auto" w:fill="auto"/>
            <w:noWrap/>
            <w:vAlign w:val="bottom"/>
          </w:tcPr>
          <w:p w14:paraId="03123B16" w14:textId="77777777" w:rsidR="00722E5C" w:rsidRPr="00D07677" w:rsidRDefault="00722E5C" w:rsidP="00722E5C">
            <w:pPr>
              <w:jc w:val="center"/>
              <w:rPr>
                <w:rFonts w:ascii="Arial" w:hAnsi="Arial"/>
                <w:sz w:val="20"/>
                <w:szCs w:val="20"/>
              </w:rPr>
            </w:pPr>
          </w:p>
        </w:tc>
        <w:tc>
          <w:tcPr>
            <w:tcW w:w="964" w:type="dxa"/>
            <w:tcBorders>
              <w:top w:val="single" w:sz="4" w:space="0" w:color="auto"/>
            </w:tcBorders>
            <w:shd w:val="clear" w:color="auto" w:fill="auto"/>
            <w:noWrap/>
            <w:vAlign w:val="center"/>
          </w:tcPr>
          <w:p w14:paraId="6D7172E3" w14:textId="77777777" w:rsidR="00722E5C" w:rsidRPr="00D81BEB" w:rsidRDefault="00722E5C" w:rsidP="00722E5C">
            <w:pPr>
              <w:jc w:val="right"/>
              <w:rPr>
                <w:b/>
                <w:i/>
                <w:sz w:val="20"/>
                <w:szCs w:val="20"/>
              </w:rPr>
            </w:pPr>
            <w:r w:rsidRPr="00D81BEB">
              <w:rPr>
                <w:b/>
                <w:i/>
                <w:sz w:val="20"/>
                <w:szCs w:val="20"/>
              </w:rPr>
              <w:t>%</w:t>
            </w:r>
          </w:p>
        </w:tc>
        <w:tc>
          <w:tcPr>
            <w:tcW w:w="595" w:type="dxa"/>
            <w:tcBorders>
              <w:top w:val="single" w:sz="4" w:space="0" w:color="auto"/>
            </w:tcBorders>
            <w:shd w:val="clear" w:color="auto" w:fill="auto"/>
            <w:noWrap/>
            <w:vAlign w:val="center"/>
          </w:tcPr>
          <w:p w14:paraId="34515BA4" w14:textId="77777777" w:rsidR="00722E5C" w:rsidRPr="00D07677" w:rsidRDefault="00722E5C" w:rsidP="00722E5C">
            <w:pPr>
              <w:jc w:val="right"/>
              <w:rPr>
                <w:sz w:val="20"/>
                <w:szCs w:val="20"/>
              </w:rPr>
            </w:pPr>
            <w:r w:rsidRPr="00D07677">
              <w:rPr>
                <w:sz w:val="20"/>
                <w:szCs w:val="20"/>
              </w:rPr>
              <w:t>O</w:t>
            </w:r>
          </w:p>
        </w:tc>
        <w:tc>
          <w:tcPr>
            <w:tcW w:w="709" w:type="dxa"/>
            <w:tcBorders>
              <w:top w:val="single" w:sz="4" w:space="0" w:color="auto"/>
            </w:tcBorders>
            <w:vAlign w:val="center"/>
          </w:tcPr>
          <w:p w14:paraId="30355FA5" w14:textId="77777777" w:rsidR="00722E5C" w:rsidRPr="00D07677" w:rsidRDefault="00722E5C" w:rsidP="00722E5C">
            <w:pPr>
              <w:jc w:val="right"/>
              <w:rPr>
                <w:b/>
                <w:sz w:val="20"/>
                <w:szCs w:val="20"/>
              </w:rPr>
            </w:pPr>
            <w:r w:rsidRPr="00D07677">
              <w:rPr>
                <w:b/>
                <w:sz w:val="20"/>
                <w:szCs w:val="20"/>
              </w:rPr>
              <w:t>T</w:t>
            </w:r>
          </w:p>
        </w:tc>
        <w:tc>
          <w:tcPr>
            <w:tcW w:w="709" w:type="dxa"/>
            <w:tcBorders>
              <w:top w:val="single" w:sz="4" w:space="0" w:color="auto"/>
            </w:tcBorders>
            <w:shd w:val="clear" w:color="auto" w:fill="auto"/>
            <w:noWrap/>
            <w:vAlign w:val="center"/>
          </w:tcPr>
          <w:p w14:paraId="0AA31835" w14:textId="77777777" w:rsidR="00722E5C" w:rsidRPr="00D07677" w:rsidRDefault="00722E5C" w:rsidP="00722E5C">
            <w:pPr>
              <w:jc w:val="right"/>
              <w:rPr>
                <w:sz w:val="20"/>
                <w:szCs w:val="20"/>
              </w:rPr>
            </w:pPr>
            <w:r w:rsidRPr="00D07677">
              <w:rPr>
                <w:sz w:val="20"/>
                <w:szCs w:val="20"/>
              </w:rPr>
              <w:t>O</w:t>
            </w:r>
          </w:p>
        </w:tc>
        <w:tc>
          <w:tcPr>
            <w:tcW w:w="665" w:type="dxa"/>
            <w:tcBorders>
              <w:top w:val="single" w:sz="4" w:space="0" w:color="auto"/>
            </w:tcBorders>
            <w:shd w:val="clear" w:color="auto" w:fill="auto"/>
            <w:noWrap/>
            <w:vAlign w:val="center"/>
          </w:tcPr>
          <w:p w14:paraId="2DE465DF" w14:textId="77777777" w:rsidR="00722E5C" w:rsidRPr="00D07677" w:rsidRDefault="00722E5C" w:rsidP="00722E5C">
            <w:pPr>
              <w:jc w:val="right"/>
              <w:rPr>
                <w:b/>
                <w:sz w:val="20"/>
                <w:szCs w:val="20"/>
              </w:rPr>
            </w:pPr>
            <w:r w:rsidRPr="00D07677">
              <w:rPr>
                <w:b/>
                <w:sz w:val="20"/>
                <w:szCs w:val="20"/>
              </w:rPr>
              <w:t>T</w:t>
            </w:r>
          </w:p>
        </w:tc>
      </w:tr>
      <w:tr w:rsidR="00722E5C" w:rsidRPr="00D07677" w14:paraId="772F615D" w14:textId="77777777" w:rsidTr="00AD5986">
        <w:trPr>
          <w:trHeight w:val="283"/>
          <w:jc w:val="center"/>
        </w:trPr>
        <w:tc>
          <w:tcPr>
            <w:tcW w:w="2433" w:type="dxa"/>
            <w:shd w:val="clear" w:color="auto" w:fill="auto"/>
            <w:noWrap/>
            <w:vAlign w:val="bottom"/>
          </w:tcPr>
          <w:p w14:paraId="5AAAE15C" w14:textId="77777777" w:rsidR="00722E5C" w:rsidRPr="00D07677" w:rsidRDefault="00722E5C" w:rsidP="00722E5C">
            <w:pPr>
              <w:rPr>
                <w:sz w:val="20"/>
                <w:szCs w:val="20"/>
              </w:rPr>
            </w:pPr>
          </w:p>
        </w:tc>
        <w:tc>
          <w:tcPr>
            <w:tcW w:w="964" w:type="dxa"/>
            <w:shd w:val="clear" w:color="auto" w:fill="auto"/>
            <w:noWrap/>
            <w:vAlign w:val="center"/>
          </w:tcPr>
          <w:p w14:paraId="68945BFD" w14:textId="77777777" w:rsidR="00722E5C" w:rsidRPr="00D07677" w:rsidRDefault="00722E5C" w:rsidP="00722E5C">
            <w:pPr>
              <w:jc w:val="right"/>
              <w:rPr>
                <w:b/>
                <w:sz w:val="20"/>
                <w:szCs w:val="20"/>
              </w:rPr>
            </w:pPr>
          </w:p>
        </w:tc>
        <w:tc>
          <w:tcPr>
            <w:tcW w:w="595" w:type="dxa"/>
            <w:shd w:val="clear" w:color="auto" w:fill="auto"/>
            <w:noWrap/>
            <w:vAlign w:val="center"/>
          </w:tcPr>
          <w:p w14:paraId="1E99E363" w14:textId="77777777" w:rsidR="00722E5C" w:rsidRPr="00D07677" w:rsidRDefault="00722E5C" w:rsidP="00722E5C">
            <w:pPr>
              <w:jc w:val="right"/>
              <w:rPr>
                <w:sz w:val="20"/>
                <w:szCs w:val="20"/>
              </w:rPr>
            </w:pPr>
          </w:p>
        </w:tc>
        <w:tc>
          <w:tcPr>
            <w:tcW w:w="709" w:type="dxa"/>
            <w:vAlign w:val="center"/>
          </w:tcPr>
          <w:p w14:paraId="10B504B7" w14:textId="77777777" w:rsidR="00722E5C" w:rsidRPr="00D07677" w:rsidRDefault="00722E5C" w:rsidP="00722E5C">
            <w:pPr>
              <w:jc w:val="right"/>
              <w:rPr>
                <w:b/>
                <w:sz w:val="20"/>
                <w:szCs w:val="20"/>
              </w:rPr>
            </w:pPr>
          </w:p>
        </w:tc>
        <w:tc>
          <w:tcPr>
            <w:tcW w:w="709" w:type="dxa"/>
            <w:shd w:val="clear" w:color="auto" w:fill="auto"/>
            <w:noWrap/>
            <w:vAlign w:val="center"/>
          </w:tcPr>
          <w:p w14:paraId="0B82995B" w14:textId="77777777" w:rsidR="00722E5C" w:rsidRPr="00D07677" w:rsidRDefault="00722E5C" w:rsidP="00722E5C">
            <w:pPr>
              <w:jc w:val="right"/>
              <w:rPr>
                <w:sz w:val="20"/>
                <w:szCs w:val="20"/>
              </w:rPr>
            </w:pPr>
          </w:p>
        </w:tc>
        <w:tc>
          <w:tcPr>
            <w:tcW w:w="665" w:type="dxa"/>
            <w:shd w:val="clear" w:color="auto" w:fill="auto"/>
            <w:noWrap/>
            <w:vAlign w:val="center"/>
          </w:tcPr>
          <w:p w14:paraId="2C41E65E" w14:textId="77777777" w:rsidR="00722E5C" w:rsidRPr="00D07677" w:rsidRDefault="00722E5C" w:rsidP="00722E5C">
            <w:pPr>
              <w:jc w:val="right"/>
              <w:rPr>
                <w:b/>
                <w:sz w:val="20"/>
                <w:szCs w:val="20"/>
              </w:rPr>
            </w:pPr>
          </w:p>
        </w:tc>
      </w:tr>
      <w:tr w:rsidR="00722E5C" w:rsidRPr="00D07677" w14:paraId="517364E7" w14:textId="77777777" w:rsidTr="00AD5986">
        <w:trPr>
          <w:trHeight w:val="240"/>
          <w:jc w:val="center"/>
        </w:trPr>
        <w:tc>
          <w:tcPr>
            <w:tcW w:w="2433" w:type="dxa"/>
            <w:shd w:val="clear" w:color="auto" w:fill="auto"/>
            <w:noWrap/>
            <w:vAlign w:val="bottom"/>
          </w:tcPr>
          <w:p w14:paraId="6FB715FB" w14:textId="77777777" w:rsidR="00722E5C" w:rsidRPr="00107F0A" w:rsidRDefault="00722E5C" w:rsidP="00722E5C">
            <w:pPr>
              <w:rPr>
                <w:rFonts w:eastAsia="MS PGothic"/>
                <w:color w:val="000000" w:themeColor="text1"/>
                <w:kern w:val="24"/>
                <w:sz w:val="20"/>
                <w:szCs w:val="20"/>
              </w:rPr>
            </w:pPr>
            <w:r>
              <w:rPr>
                <w:sz w:val="20"/>
                <w:szCs w:val="20"/>
              </w:rPr>
              <w:t xml:space="preserve"> Schweppes Lemonade</w:t>
            </w:r>
          </w:p>
        </w:tc>
        <w:tc>
          <w:tcPr>
            <w:tcW w:w="964" w:type="dxa"/>
            <w:shd w:val="clear" w:color="auto" w:fill="auto"/>
            <w:noWrap/>
            <w:vAlign w:val="center"/>
          </w:tcPr>
          <w:p w14:paraId="5DD33F49" w14:textId="77777777" w:rsidR="00722E5C" w:rsidRPr="00107F0A" w:rsidRDefault="00722E5C" w:rsidP="00722E5C">
            <w:pPr>
              <w:jc w:val="right"/>
              <w:rPr>
                <w:rFonts w:eastAsia="MS PGothic"/>
                <w:color w:val="000000" w:themeColor="text1"/>
                <w:kern w:val="24"/>
                <w:sz w:val="20"/>
                <w:szCs w:val="20"/>
              </w:rPr>
            </w:pPr>
            <w:r>
              <w:rPr>
                <w:sz w:val="20"/>
                <w:szCs w:val="20"/>
              </w:rPr>
              <w:t>12</w:t>
            </w:r>
          </w:p>
        </w:tc>
        <w:tc>
          <w:tcPr>
            <w:tcW w:w="595" w:type="dxa"/>
            <w:shd w:val="clear" w:color="auto" w:fill="auto"/>
            <w:noWrap/>
            <w:vAlign w:val="center"/>
          </w:tcPr>
          <w:p w14:paraId="0C2FAC2A" w14:textId="77777777" w:rsidR="00722E5C" w:rsidRPr="00107F0A" w:rsidRDefault="00722E5C" w:rsidP="00722E5C">
            <w:pPr>
              <w:jc w:val="right"/>
              <w:rPr>
                <w:rFonts w:eastAsia="MS PGothic"/>
                <w:color w:val="000000" w:themeColor="text1"/>
                <w:kern w:val="24"/>
                <w:sz w:val="20"/>
                <w:szCs w:val="20"/>
                <w:lang w:val="cs-CZ"/>
              </w:rPr>
            </w:pPr>
            <w:r>
              <w:rPr>
                <w:sz w:val="20"/>
                <w:szCs w:val="20"/>
              </w:rPr>
              <w:t>14</w:t>
            </w:r>
          </w:p>
        </w:tc>
        <w:tc>
          <w:tcPr>
            <w:tcW w:w="709" w:type="dxa"/>
            <w:vAlign w:val="center"/>
          </w:tcPr>
          <w:p w14:paraId="1BEC762A" w14:textId="77777777" w:rsidR="00722E5C" w:rsidRPr="00107F0A" w:rsidRDefault="00722E5C" w:rsidP="00722E5C">
            <w:pPr>
              <w:jc w:val="right"/>
              <w:rPr>
                <w:rFonts w:eastAsia="MS PGothic"/>
                <w:b/>
                <w:bCs/>
                <w:color w:val="000000" w:themeColor="text1"/>
                <w:kern w:val="24"/>
                <w:sz w:val="20"/>
                <w:szCs w:val="20"/>
                <w:lang w:val="is-IS"/>
              </w:rPr>
            </w:pPr>
            <w:r>
              <w:rPr>
                <w:b/>
                <w:bCs/>
                <w:sz w:val="20"/>
                <w:szCs w:val="20"/>
              </w:rPr>
              <w:t>11</w:t>
            </w:r>
          </w:p>
        </w:tc>
        <w:tc>
          <w:tcPr>
            <w:tcW w:w="709" w:type="dxa"/>
            <w:shd w:val="clear" w:color="auto" w:fill="auto"/>
            <w:noWrap/>
            <w:vAlign w:val="center"/>
          </w:tcPr>
          <w:p w14:paraId="597DF7DB" w14:textId="77777777" w:rsidR="00722E5C" w:rsidRPr="00107F0A" w:rsidRDefault="00722E5C" w:rsidP="00722E5C">
            <w:pPr>
              <w:tabs>
                <w:tab w:val="decimal" w:pos="279"/>
              </w:tabs>
              <w:jc w:val="right"/>
              <w:rPr>
                <w:rFonts w:eastAsia="MS PGothic"/>
                <w:color w:val="000000" w:themeColor="text1"/>
                <w:kern w:val="24"/>
                <w:sz w:val="20"/>
                <w:szCs w:val="20"/>
                <w:lang w:val="hr-HR"/>
              </w:rPr>
            </w:pPr>
            <w:r>
              <w:rPr>
                <w:sz w:val="20"/>
                <w:szCs w:val="20"/>
              </w:rPr>
              <w:t>3.2</w:t>
            </w:r>
          </w:p>
        </w:tc>
        <w:tc>
          <w:tcPr>
            <w:tcW w:w="665" w:type="dxa"/>
            <w:shd w:val="clear" w:color="auto" w:fill="auto"/>
            <w:noWrap/>
            <w:vAlign w:val="center"/>
          </w:tcPr>
          <w:p w14:paraId="509A7B27" w14:textId="77777777" w:rsidR="00722E5C" w:rsidRPr="00107F0A" w:rsidRDefault="00722E5C" w:rsidP="00722E5C">
            <w:pPr>
              <w:ind w:left="137" w:hanging="137"/>
              <w:jc w:val="right"/>
              <w:rPr>
                <w:rFonts w:eastAsia="MS PGothic"/>
                <w:b/>
                <w:bCs/>
                <w:color w:val="000000" w:themeColor="text1"/>
                <w:kern w:val="24"/>
                <w:sz w:val="20"/>
                <w:szCs w:val="20"/>
                <w:lang w:val="hr-HR"/>
              </w:rPr>
            </w:pPr>
            <w:r>
              <w:rPr>
                <w:b/>
                <w:bCs/>
                <w:sz w:val="20"/>
                <w:szCs w:val="20"/>
              </w:rPr>
              <w:t>4.2</w:t>
            </w:r>
          </w:p>
        </w:tc>
      </w:tr>
      <w:tr w:rsidR="00722E5C" w:rsidRPr="00D07677" w14:paraId="3585E092" w14:textId="77777777" w:rsidTr="00AD5986">
        <w:trPr>
          <w:trHeight w:val="240"/>
          <w:jc w:val="center"/>
        </w:trPr>
        <w:tc>
          <w:tcPr>
            <w:tcW w:w="2433" w:type="dxa"/>
            <w:shd w:val="clear" w:color="auto" w:fill="auto"/>
            <w:noWrap/>
            <w:vAlign w:val="bottom"/>
          </w:tcPr>
          <w:p w14:paraId="52F2D4AC" w14:textId="77777777" w:rsidR="00722E5C" w:rsidRPr="00107F0A" w:rsidRDefault="00722E5C" w:rsidP="00722E5C">
            <w:pPr>
              <w:rPr>
                <w:rFonts w:eastAsia="MS PGothic"/>
                <w:color w:val="000000" w:themeColor="text1"/>
                <w:kern w:val="24"/>
                <w:sz w:val="20"/>
                <w:szCs w:val="20"/>
              </w:rPr>
            </w:pPr>
            <w:r>
              <w:rPr>
                <w:sz w:val="20"/>
                <w:szCs w:val="20"/>
              </w:rPr>
              <w:t xml:space="preserve"> K.P. Crisps</w:t>
            </w:r>
          </w:p>
        </w:tc>
        <w:tc>
          <w:tcPr>
            <w:tcW w:w="964" w:type="dxa"/>
            <w:shd w:val="clear" w:color="auto" w:fill="auto"/>
            <w:noWrap/>
            <w:vAlign w:val="center"/>
          </w:tcPr>
          <w:p w14:paraId="48D5B3C2" w14:textId="77777777" w:rsidR="00722E5C" w:rsidRPr="00107F0A" w:rsidRDefault="00722E5C" w:rsidP="00722E5C">
            <w:pPr>
              <w:jc w:val="right"/>
              <w:rPr>
                <w:rFonts w:eastAsia="MS PGothic"/>
                <w:color w:val="000000" w:themeColor="text1"/>
                <w:kern w:val="24"/>
                <w:sz w:val="20"/>
                <w:szCs w:val="20"/>
              </w:rPr>
            </w:pPr>
            <w:r>
              <w:rPr>
                <w:sz w:val="20"/>
                <w:szCs w:val="20"/>
              </w:rPr>
              <w:t>7</w:t>
            </w:r>
          </w:p>
        </w:tc>
        <w:tc>
          <w:tcPr>
            <w:tcW w:w="595" w:type="dxa"/>
            <w:shd w:val="clear" w:color="auto" w:fill="auto"/>
            <w:noWrap/>
            <w:vAlign w:val="center"/>
          </w:tcPr>
          <w:p w14:paraId="495DFB2F" w14:textId="77777777" w:rsidR="00722E5C" w:rsidRPr="00107F0A" w:rsidRDefault="00722E5C" w:rsidP="00722E5C">
            <w:pPr>
              <w:jc w:val="right"/>
              <w:rPr>
                <w:rFonts w:eastAsia="MS PGothic"/>
                <w:color w:val="000000" w:themeColor="text1"/>
                <w:kern w:val="24"/>
                <w:sz w:val="20"/>
                <w:szCs w:val="20"/>
                <w:lang w:val="cs-CZ"/>
              </w:rPr>
            </w:pPr>
            <w:r>
              <w:rPr>
                <w:sz w:val="20"/>
                <w:szCs w:val="20"/>
              </w:rPr>
              <w:t>22</w:t>
            </w:r>
          </w:p>
        </w:tc>
        <w:tc>
          <w:tcPr>
            <w:tcW w:w="709" w:type="dxa"/>
            <w:vAlign w:val="center"/>
          </w:tcPr>
          <w:p w14:paraId="357A0E85" w14:textId="77777777" w:rsidR="00722E5C" w:rsidRPr="00107F0A" w:rsidRDefault="00722E5C" w:rsidP="00722E5C">
            <w:pPr>
              <w:jc w:val="right"/>
              <w:rPr>
                <w:rFonts w:eastAsia="MS PGothic"/>
                <w:b/>
                <w:bCs/>
                <w:color w:val="000000" w:themeColor="text1"/>
                <w:kern w:val="24"/>
                <w:sz w:val="20"/>
                <w:szCs w:val="20"/>
                <w:lang w:val="is-IS"/>
              </w:rPr>
            </w:pPr>
            <w:r>
              <w:rPr>
                <w:b/>
                <w:bCs/>
                <w:sz w:val="20"/>
                <w:szCs w:val="20"/>
              </w:rPr>
              <w:t>18</w:t>
            </w:r>
          </w:p>
        </w:tc>
        <w:tc>
          <w:tcPr>
            <w:tcW w:w="709" w:type="dxa"/>
            <w:shd w:val="clear" w:color="auto" w:fill="auto"/>
            <w:noWrap/>
            <w:vAlign w:val="center"/>
          </w:tcPr>
          <w:p w14:paraId="268BD2FE" w14:textId="77777777" w:rsidR="00722E5C" w:rsidRPr="00107F0A" w:rsidRDefault="00722E5C" w:rsidP="00722E5C">
            <w:pPr>
              <w:tabs>
                <w:tab w:val="decimal" w:pos="279"/>
              </w:tabs>
              <w:jc w:val="right"/>
              <w:rPr>
                <w:rFonts w:eastAsia="MS PGothic"/>
                <w:color w:val="000000" w:themeColor="text1"/>
                <w:kern w:val="24"/>
                <w:sz w:val="20"/>
                <w:szCs w:val="20"/>
                <w:lang w:val="hr-HR"/>
              </w:rPr>
            </w:pPr>
            <w:r>
              <w:rPr>
                <w:sz w:val="20"/>
                <w:szCs w:val="20"/>
              </w:rPr>
              <w:t>4.3</w:t>
            </w:r>
          </w:p>
        </w:tc>
        <w:tc>
          <w:tcPr>
            <w:tcW w:w="665" w:type="dxa"/>
            <w:shd w:val="clear" w:color="auto" w:fill="auto"/>
            <w:noWrap/>
            <w:vAlign w:val="center"/>
          </w:tcPr>
          <w:p w14:paraId="5D2A2979" w14:textId="77777777" w:rsidR="00722E5C" w:rsidRPr="00107F0A" w:rsidRDefault="00722E5C" w:rsidP="00722E5C">
            <w:pPr>
              <w:ind w:left="137" w:hanging="137"/>
              <w:jc w:val="right"/>
              <w:rPr>
                <w:rFonts w:eastAsia="MS PGothic"/>
                <w:b/>
                <w:bCs/>
                <w:color w:val="000000" w:themeColor="text1"/>
                <w:kern w:val="24"/>
                <w:sz w:val="20"/>
                <w:szCs w:val="20"/>
                <w:lang w:val="hr-HR"/>
              </w:rPr>
            </w:pPr>
            <w:r>
              <w:rPr>
                <w:b/>
                <w:bCs/>
                <w:sz w:val="20"/>
                <w:szCs w:val="20"/>
              </w:rPr>
              <w:t>5.5</w:t>
            </w:r>
          </w:p>
        </w:tc>
      </w:tr>
      <w:tr w:rsidR="00C53C4B" w:rsidRPr="00D07677" w14:paraId="1D4C0E73" w14:textId="77777777" w:rsidTr="00AD5986">
        <w:trPr>
          <w:trHeight w:val="240"/>
          <w:jc w:val="center"/>
        </w:trPr>
        <w:tc>
          <w:tcPr>
            <w:tcW w:w="2433" w:type="dxa"/>
            <w:shd w:val="clear" w:color="auto" w:fill="auto"/>
            <w:noWrap/>
            <w:vAlign w:val="bottom"/>
          </w:tcPr>
          <w:p w14:paraId="19CB2B35" w14:textId="77777777" w:rsidR="00C53C4B" w:rsidRPr="007179A9" w:rsidRDefault="00C53C4B" w:rsidP="00B25AC2">
            <w:pPr>
              <w:rPr>
                <w:sz w:val="20"/>
                <w:szCs w:val="20"/>
              </w:rPr>
            </w:pPr>
            <w:r>
              <w:rPr>
                <w:sz w:val="20"/>
                <w:szCs w:val="20"/>
              </w:rPr>
              <w:t xml:space="preserve"> SkiYoghurt</w:t>
            </w:r>
          </w:p>
        </w:tc>
        <w:tc>
          <w:tcPr>
            <w:tcW w:w="964" w:type="dxa"/>
            <w:shd w:val="clear" w:color="auto" w:fill="auto"/>
            <w:noWrap/>
            <w:vAlign w:val="center"/>
          </w:tcPr>
          <w:p w14:paraId="2245477A" w14:textId="77777777" w:rsidR="00C53C4B" w:rsidRPr="007179A9" w:rsidRDefault="00C53C4B" w:rsidP="00B25AC2">
            <w:pPr>
              <w:jc w:val="right"/>
              <w:rPr>
                <w:sz w:val="20"/>
                <w:szCs w:val="20"/>
              </w:rPr>
            </w:pPr>
            <w:r>
              <w:rPr>
                <w:sz w:val="20"/>
                <w:szCs w:val="20"/>
              </w:rPr>
              <w:t>4</w:t>
            </w:r>
          </w:p>
        </w:tc>
        <w:tc>
          <w:tcPr>
            <w:tcW w:w="595" w:type="dxa"/>
            <w:shd w:val="clear" w:color="auto" w:fill="auto"/>
            <w:noWrap/>
            <w:vAlign w:val="center"/>
          </w:tcPr>
          <w:p w14:paraId="56D3E823" w14:textId="77777777" w:rsidR="00C53C4B" w:rsidRPr="007179A9" w:rsidRDefault="00C53C4B" w:rsidP="00B25AC2">
            <w:pPr>
              <w:jc w:val="right"/>
              <w:rPr>
                <w:sz w:val="20"/>
                <w:szCs w:val="20"/>
              </w:rPr>
            </w:pPr>
            <w:r>
              <w:rPr>
                <w:sz w:val="20"/>
                <w:szCs w:val="20"/>
              </w:rPr>
              <w:t>22</w:t>
            </w:r>
          </w:p>
        </w:tc>
        <w:tc>
          <w:tcPr>
            <w:tcW w:w="709" w:type="dxa"/>
            <w:vAlign w:val="center"/>
          </w:tcPr>
          <w:p w14:paraId="1A7D783C" w14:textId="77777777" w:rsidR="00C53C4B" w:rsidRPr="007179A9" w:rsidRDefault="00C53C4B" w:rsidP="00B25AC2">
            <w:pPr>
              <w:jc w:val="right"/>
              <w:rPr>
                <w:b/>
                <w:sz w:val="20"/>
                <w:szCs w:val="20"/>
              </w:rPr>
            </w:pPr>
            <w:r>
              <w:rPr>
                <w:b/>
                <w:bCs/>
                <w:sz w:val="20"/>
                <w:szCs w:val="20"/>
              </w:rPr>
              <w:t>17</w:t>
            </w:r>
          </w:p>
        </w:tc>
        <w:tc>
          <w:tcPr>
            <w:tcW w:w="709" w:type="dxa"/>
            <w:shd w:val="clear" w:color="auto" w:fill="auto"/>
            <w:noWrap/>
            <w:vAlign w:val="center"/>
          </w:tcPr>
          <w:p w14:paraId="5A7A5064" w14:textId="77777777" w:rsidR="00C53C4B" w:rsidRPr="007179A9" w:rsidRDefault="00C53C4B" w:rsidP="00B25AC2">
            <w:pPr>
              <w:tabs>
                <w:tab w:val="decimal" w:pos="279"/>
              </w:tabs>
              <w:jc w:val="right"/>
              <w:rPr>
                <w:sz w:val="20"/>
                <w:szCs w:val="20"/>
              </w:rPr>
            </w:pPr>
            <w:r>
              <w:rPr>
                <w:sz w:val="20"/>
                <w:szCs w:val="20"/>
              </w:rPr>
              <w:t>4.6</w:t>
            </w:r>
          </w:p>
        </w:tc>
        <w:tc>
          <w:tcPr>
            <w:tcW w:w="665" w:type="dxa"/>
            <w:shd w:val="clear" w:color="auto" w:fill="auto"/>
            <w:noWrap/>
            <w:vAlign w:val="center"/>
          </w:tcPr>
          <w:p w14:paraId="216AE7D1" w14:textId="77777777" w:rsidR="00C53C4B" w:rsidRPr="007179A9" w:rsidRDefault="00C53C4B" w:rsidP="00B25AC2">
            <w:pPr>
              <w:ind w:left="137" w:hanging="137"/>
              <w:jc w:val="right"/>
              <w:rPr>
                <w:b/>
                <w:sz w:val="20"/>
                <w:szCs w:val="20"/>
              </w:rPr>
            </w:pPr>
            <w:r>
              <w:rPr>
                <w:b/>
                <w:bCs/>
                <w:sz w:val="20"/>
                <w:szCs w:val="20"/>
              </w:rPr>
              <w:t>5.9</w:t>
            </w:r>
          </w:p>
        </w:tc>
      </w:tr>
      <w:tr w:rsidR="00C53C4B" w:rsidRPr="00D07677" w14:paraId="3A85294F" w14:textId="77777777" w:rsidTr="00AD5986">
        <w:trPr>
          <w:trHeight w:val="240"/>
          <w:jc w:val="center"/>
        </w:trPr>
        <w:tc>
          <w:tcPr>
            <w:tcW w:w="2433" w:type="dxa"/>
            <w:shd w:val="clear" w:color="auto" w:fill="auto"/>
            <w:noWrap/>
            <w:vAlign w:val="bottom"/>
          </w:tcPr>
          <w:p w14:paraId="1442B98B" w14:textId="77777777" w:rsidR="00C53C4B" w:rsidRPr="007179A9" w:rsidRDefault="00C53C4B" w:rsidP="00B25AC2">
            <w:pPr>
              <w:rPr>
                <w:sz w:val="20"/>
                <w:szCs w:val="20"/>
              </w:rPr>
            </w:pPr>
            <w:r>
              <w:rPr>
                <w:sz w:val="20"/>
                <w:szCs w:val="20"/>
              </w:rPr>
              <w:t xml:space="preserve"> Calpol</w:t>
            </w:r>
          </w:p>
        </w:tc>
        <w:tc>
          <w:tcPr>
            <w:tcW w:w="964" w:type="dxa"/>
            <w:shd w:val="clear" w:color="auto" w:fill="auto"/>
            <w:noWrap/>
            <w:vAlign w:val="center"/>
          </w:tcPr>
          <w:p w14:paraId="5ED4BDF2" w14:textId="77777777" w:rsidR="00C53C4B" w:rsidRPr="007179A9" w:rsidRDefault="00C53C4B" w:rsidP="00B25AC2">
            <w:pPr>
              <w:jc w:val="right"/>
              <w:rPr>
                <w:sz w:val="20"/>
                <w:szCs w:val="20"/>
              </w:rPr>
            </w:pPr>
            <w:r>
              <w:rPr>
                <w:sz w:val="20"/>
                <w:szCs w:val="20"/>
              </w:rPr>
              <w:t>4</w:t>
            </w:r>
          </w:p>
        </w:tc>
        <w:tc>
          <w:tcPr>
            <w:tcW w:w="595" w:type="dxa"/>
            <w:shd w:val="clear" w:color="auto" w:fill="auto"/>
            <w:noWrap/>
            <w:vAlign w:val="center"/>
          </w:tcPr>
          <w:p w14:paraId="2287CC73" w14:textId="77777777" w:rsidR="00C53C4B" w:rsidRPr="007179A9" w:rsidRDefault="00C53C4B" w:rsidP="00B25AC2">
            <w:pPr>
              <w:jc w:val="right"/>
              <w:rPr>
                <w:sz w:val="20"/>
                <w:szCs w:val="20"/>
              </w:rPr>
            </w:pPr>
            <w:r>
              <w:rPr>
                <w:sz w:val="20"/>
                <w:szCs w:val="20"/>
              </w:rPr>
              <w:t>7</w:t>
            </w:r>
          </w:p>
        </w:tc>
        <w:tc>
          <w:tcPr>
            <w:tcW w:w="709" w:type="dxa"/>
            <w:vAlign w:val="center"/>
          </w:tcPr>
          <w:p w14:paraId="4EBB21F5" w14:textId="77777777" w:rsidR="00C53C4B" w:rsidRPr="007179A9" w:rsidRDefault="00C53C4B" w:rsidP="00B25AC2">
            <w:pPr>
              <w:jc w:val="right"/>
              <w:rPr>
                <w:b/>
                <w:sz w:val="20"/>
                <w:szCs w:val="20"/>
              </w:rPr>
            </w:pPr>
            <w:r>
              <w:rPr>
                <w:b/>
                <w:bCs/>
                <w:sz w:val="20"/>
                <w:szCs w:val="20"/>
              </w:rPr>
              <w:t>5</w:t>
            </w:r>
          </w:p>
        </w:tc>
        <w:tc>
          <w:tcPr>
            <w:tcW w:w="709" w:type="dxa"/>
            <w:shd w:val="clear" w:color="auto" w:fill="auto"/>
            <w:noWrap/>
            <w:vAlign w:val="center"/>
          </w:tcPr>
          <w:p w14:paraId="7C128719" w14:textId="77777777" w:rsidR="00C53C4B" w:rsidRPr="007179A9" w:rsidRDefault="00C53C4B" w:rsidP="00B25AC2">
            <w:pPr>
              <w:tabs>
                <w:tab w:val="decimal" w:pos="279"/>
              </w:tabs>
              <w:jc w:val="right"/>
              <w:rPr>
                <w:sz w:val="20"/>
                <w:szCs w:val="20"/>
              </w:rPr>
            </w:pPr>
            <w:r>
              <w:rPr>
                <w:sz w:val="20"/>
                <w:szCs w:val="20"/>
              </w:rPr>
              <w:t>1.6</w:t>
            </w:r>
          </w:p>
        </w:tc>
        <w:tc>
          <w:tcPr>
            <w:tcW w:w="665" w:type="dxa"/>
            <w:shd w:val="clear" w:color="auto" w:fill="auto"/>
            <w:noWrap/>
            <w:vAlign w:val="center"/>
          </w:tcPr>
          <w:p w14:paraId="6DD5B4C7" w14:textId="77777777" w:rsidR="00C53C4B" w:rsidRPr="007179A9" w:rsidRDefault="00C53C4B" w:rsidP="00B25AC2">
            <w:pPr>
              <w:ind w:left="137" w:hanging="137"/>
              <w:jc w:val="right"/>
              <w:rPr>
                <w:b/>
                <w:sz w:val="20"/>
                <w:szCs w:val="20"/>
              </w:rPr>
            </w:pPr>
            <w:r>
              <w:rPr>
                <w:b/>
                <w:bCs/>
                <w:sz w:val="20"/>
                <w:szCs w:val="20"/>
              </w:rPr>
              <w:t>2.4</w:t>
            </w:r>
          </w:p>
        </w:tc>
      </w:tr>
      <w:tr w:rsidR="00880CF7" w:rsidRPr="00D07677" w14:paraId="6189BC2D" w14:textId="77777777" w:rsidTr="00AD5986">
        <w:trPr>
          <w:trHeight w:val="240"/>
          <w:jc w:val="center"/>
        </w:trPr>
        <w:tc>
          <w:tcPr>
            <w:tcW w:w="2433" w:type="dxa"/>
            <w:shd w:val="clear" w:color="auto" w:fill="auto"/>
            <w:noWrap/>
            <w:vAlign w:val="bottom"/>
          </w:tcPr>
          <w:p w14:paraId="1ABA2C9F" w14:textId="0A956F32" w:rsidR="00880CF7" w:rsidRDefault="00C53C4B" w:rsidP="00722E5C">
            <w:pPr>
              <w:rPr>
                <w:sz w:val="20"/>
                <w:szCs w:val="20"/>
              </w:rPr>
            </w:pPr>
            <w:r>
              <w:rPr>
                <w:sz w:val="20"/>
                <w:szCs w:val="20"/>
              </w:rPr>
              <w:t xml:space="preserve"> Kerrygold Butter</w:t>
            </w:r>
          </w:p>
        </w:tc>
        <w:tc>
          <w:tcPr>
            <w:tcW w:w="964" w:type="dxa"/>
            <w:shd w:val="clear" w:color="auto" w:fill="auto"/>
            <w:noWrap/>
            <w:vAlign w:val="center"/>
          </w:tcPr>
          <w:p w14:paraId="734E894E" w14:textId="3B801C43" w:rsidR="00880CF7" w:rsidRDefault="00C53C4B" w:rsidP="00722E5C">
            <w:pPr>
              <w:jc w:val="right"/>
              <w:rPr>
                <w:sz w:val="20"/>
                <w:szCs w:val="20"/>
              </w:rPr>
            </w:pPr>
            <w:r>
              <w:rPr>
                <w:sz w:val="20"/>
                <w:szCs w:val="20"/>
              </w:rPr>
              <w:t>3</w:t>
            </w:r>
          </w:p>
        </w:tc>
        <w:tc>
          <w:tcPr>
            <w:tcW w:w="595" w:type="dxa"/>
            <w:shd w:val="clear" w:color="auto" w:fill="auto"/>
            <w:noWrap/>
            <w:vAlign w:val="center"/>
          </w:tcPr>
          <w:p w14:paraId="26F6625C" w14:textId="06C6BA2C" w:rsidR="00880CF7" w:rsidRDefault="00C53C4B" w:rsidP="00722E5C">
            <w:pPr>
              <w:jc w:val="right"/>
              <w:rPr>
                <w:sz w:val="20"/>
                <w:szCs w:val="20"/>
              </w:rPr>
            </w:pPr>
            <w:r>
              <w:rPr>
                <w:sz w:val="20"/>
                <w:szCs w:val="20"/>
              </w:rPr>
              <w:t>9</w:t>
            </w:r>
          </w:p>
        </w:tc>
        <w:tc>
          <w:tcPr>
            <w:tcW w:w="709" w:type="dxa"/>
            <w:vAlign w:val="center"/>
          </w:tcPr>
          <w:p w14:paraId="552821FC" w14:textId="200C8D7A" w:rsidR="00880CF7" w:rsidRDefault="00C53C4B" w:rsidP="00722E5C">
            <w:pPr>
              <w:jc w:val="right"/>
              <w:rPr>
                <w:b/>
                <w:bCs/>
                <w:sz w:val="20"/>
                <w:szCs w:val="20"/>
              </w:rPr>
            </w:pPr>
            <w:r>
              <w:rPr>
                <w:b/>
                <w:bCs/>
                <w:sz w:val="20"/>
                <w:szCs w:val="20"/>
              </w:rPr>
              <w:t>6</w:t>
            </w:r>
          </w:p>
        </w:tc>
        <w:tc>
          <w:tcPr>
            <w:tcW w:w="709" w:type="dxa"/>
            <w:shd w:val="clear" w:color="auto" w:fill="auto"/>
            <w:noWrap/>
            <w:vAlign w:val="center"/>
          </w:tcPr>
          <w:p w14:paraId="7FACB415" w14:textId="1912E778" w:rsidR="00880CF7" w:rsidRDefault="00C53C4B" w:rsidP="00722E5C">
            <w:pPr>
              <w:tabs>
                <w:tab w:val="decimal" w:pos="279"/>
              </w:tabs>
              <w:jc w:val="right"/>
              <w:rPr>
                <w:sz w:val="20"/>
                <w:szCs w:val="20"/>
              </w:rPr>
            </w:pPr>
            <w:r>
              <w:rPr>
                <w:sz w:val="20"/>
                <w:szCs w:val="20"/>
              </w:rPr>
              <w:t>3.0</w:t>
            </w:r>
          </w:p>
        </w:tc>
        <w:tc>
          <w:tcPr>
            <w:tcW w:w="665" w:type="dxa"/>
            <w:shd w:val="clear" w:color="auto" w:fill="auto"/>
            <w:noWrap/>
            <w:vAlign w:val="center"/>
          </w:tcPr>
          <w:p w14:paraId="1F858D48" w14:textId="063B58ED" w:rsidR="00880CF7" w:rsidRDefault="00C53C4B" w:rsidP="00722E5C">
            <w:pPr>
              <w:ind w:left="137" w:hanging="137"/>
              <w:jc w:val="right"/>
              <w:rPr>
                <w:b/>
                <w:bCs/>
                <w:sz w:val="20"/>
                <w:szCs w:val="20"/>
              </w:rPr>
            </w:pPr>
            <w:r>
              <w:rPr>
                <w:b/>
                <w:bCs/>
                <w:sz w:val="20"/>
                <w:szCs w:val="20"/>
              </w:rPr>
              <w:t>4.3</w:t>
            </w:r>
          </w:p>
        </w:tc>
      </w:tr>
      <w:tr w:rsidR="00722E5C" w:rsidRPr="00D07677" w14:paraId="02EEE831" w14:textId="77777777" w:rsidTr="00AD5986">
        <w:trPr>
          <w:trHeight w:val="240"/>
          <w:jc w:val="center"/>
        </w:trPr>
        <w:tc>
          <w:tcPr>
            <w:tcW w:w="2433" w:type="dxa"/>
            <w:shd w:val="clear" w:color="auto" w:fill="auto"/>
            <w:noWrap/>
            <w:vAlign w:val="bottom"/>
          </w:tcPr>
          <w:p w14:paraId="78AE7C6E" w14:textId="77777777" w:rsidR="00722E5C" w:rsidRPr="007179A9" w:rsidRDefault="00722E5C" w:rsidP="00722E5C">
            <w:pPr>
              <w:rPr>
                <w:sz w:val="20"/>
                <w:szCs w:val="20"/>
              </w:rPr>
            </w:pPr>
            <w:r>
              <w:rPr>
                <w:sz w:val="20"/>
                <w:szCs w:val="20"/>
              </w:rPr>
              <w:t xml:space="preserve"> Danone Shape Yoghurt</w:t>
            </w:r>
          </w:p>
        </w:tc>
        <w:tc>
          <w:tcPr>
            <w:tcW w:w="964" w:type="dxa"/>
            <w:shd w:val="clear" w:color="auto" w:fill="auto"/>
            <w:noWrap/>
            <w:vAlign w:val="center"/>
          </w:tcPr>
          <w:p w14:paraId="58E873DB" w14:textId="77777777" w:rsidR="00722E5C" w:rsidRPr="007179A9" w:rsidRDefault="00722E5C" w:rsidP="00722E5C">
            <w:pPr>
              <w:jc w:val="right"/>
              <w:rPr>
                <w:sz w:val="20"/>
                <w:szCs w:val="20"/>
              </w:rPr>
            </w:pPr>
            <w:r>
              <w:rPr>
                <w:sz w:val="20"/>
                <w:szCs w:val="20"/>
              </w:rPr>
              <w:t>3</w:t>
            </w:r>
          </w:p>
        </w:tc>
        <w:tc>
          <w:tcPr>
            <w:tcW w:w="595" w:type="dxa"/>
            <w:shd w:val="clear" w:color="auto" w:fill="auto"/>
            <w:noWrap/>
            <w:vAlign w:val="center"/>
          </w:tcPr>
          <w:p w14:paraId="68B187FA" w14:textId="77777777" w:rsidR="00722E5C" w:rsidRPr="007179A9" w:rsidRDefault="00722E5C" w:rsidP="00722E5C">
            <w:pPr>
              <w:jc w:val="right"/>
              <w:rPr>
                <w:sz w:val="20"/>
                <w:szCs w:val="20"/>
              </w:rPr>
            </w:pPr>
            <w:r>
              <w:rPr>
                <w:sz w:val="20"/>
                <w:szCs w:val="20"/>
              </w:rPr>
              <w:t>21</w:t>
            </w:r>
          </w:p>
        </w:tc>
        <w:tc>
          <w:tcPr>
            <w:tcW w:w="709" w:type="dxa"/>
            <w:vAlign w:val="center"/>
          </w:tcPr>
          <w:p w14:paraId="7DBA5F7A" w14:textId="77777777" w:rsidR="00722E5C" w:rsidRPr="007179A9" w:rsidRDefault="00722E5C" w:rsidP="00722E5C">
            <w:pPr>
              <w:jc w:val="right"/>
              <w:rPr>
                <w:b/>
                <w:sz w:val="20"/>
                <w:szCs w:val="20"/>
              </w:rPr>
            </w:pPr>
            <w:r>
              <w:rPr>
                <w:b/>
                <w:bCs/>
                <w:sz w:val="20"/>
                <w:szCs w:val="20"/>
              </w:rPr>
              <w:t>13</w:t>
            </w:r>
          </w:p>
        </w:tc>
        <w:tc>
          <w:tcPr>
            <w:tcW w:w="709" w:type="dxa"/>
            <w:shd w:val="clear" w:color="auto" w:fill="auto"/>
            <w:noWrap/>
            <w:vAlign w:val="center"/>
          </w:tcPr>
          <w:p w14:paraId="71EDCD78" w14:textId="77777777" w:rsidR="00722E5C" w:rsidRPr="007179A9" w:rsidRDefault="00722E5C" w:rsidP="00722E5C">
            <w:pPr>
              <w:tabs>
                <w:tab w:val="decimal" w:pos="279"/>
              </w:tabs>
              <w:jc w:val="right"/>
              <w:rPr>
                <w:sz w:val="20"/>
                <w:szCs w:val="20"/>
              </w:rPr>
            </w:pPr>
            <w:r>
              <w:rPr>
                <w:sz w:val="20"/>
                <w:szCs w:val="20"/>
              </w:rPr>
              <w:t>3.6</w:t>
            </w:r>
          </w:p>
        </w:tc>
        <w:tc>
          <w:tcPr>
            <w:tcW w:w="665" w:type="dxa"/>
            <w:shd w:val="clear" w:color="auto" w:fill="auto"/>
            <w:noWrap/>
            <w:vAlign w:val="center"/>
          </w:tcPr>
          <w:p w14:paraId="4AF06210" w14:textId="77777777" w:rsidR="00722E5C" w:rsidRPr="007179A9" w:rsidRDefault="00722E5C" w:rsidP="00722E5C">
            <w:pPr>
              <w:ind w:left="137" w:hanging="137"/>
              <w:jc w:val="right"/>
              <w:rPr>
                <w:b/>
                <w:sz w:val="20"/>
                <w:szCs w:val="20"/>
              </w:rPr>
            </w:pPr>
            <w:r>
              <w:rPr>
                <w:b/>
                <w:bCs/>
                <w:sz w:val="20"/>
                <w:szCs w:val="20"/>
              </w:rPr>
              <w:t>5.7</w:t>
            </w:r>
          </w:p>
        </w:tc>
      </w:tr>
      <w:tr w:rsidR="00722E5C" w:rsidRPr="00D07677" w14:paraId="33F5E29F" w14:textId="77777777" w:rsidTr="00AD5986">
        <w:trPr>
          <w:trHeight w:val="240"/>
          <w:jc w:val="center"/>
        </w:trPr>
        <w:tc>
          <w:tcPr>
            <w:tcW w:w="2433" w:type="dxa"/>
            <w:shd w:val="clear" w:color="auto" w:fill="auto"/>
            <w:noWrap/>
            <w:vAlign w:val="bottom"/>
          </w:tcPr>
          <w:p w14:paraId="224E5441" w14:textId="77777777" w:rsidR="00722E5C" w:rsidRPr="007179A9" w:rsidRDefault="00722E5C" w:rsidP="00722E5C">
            <w:pPr>
              <w:rPr>
                <w:sz w:val="20"/>
                <w:szCs w:val="20"/>
              </w:rPr>
            </w:pPr>
            <w:r>
              <w:rPr>
                <w:sz w:val="20"/>
                <w:szCs w:val="20"/>
              </w:rPr>
              <w:t xml:space="preserve"> Yoplait Weight Watchers</w:t>
            </w:r>
          </w:p>
        </w:tc>
        <w:tc>
          <w:tcPr>
            <w:tcW w:w="964" w:type="dxa"/>
            <w:shd w:val="clear" w:color="auto" w:fill="auto"/>
            <w:noWrap/>
            <w:vAlign w:val="center"/>
          </w:tcPr>
          <w:p w14:paraId="3202FAC9" w14:textId="77777777" w:rsidR="00722E5C" w:rsidRPr="007179A9" w:rsidRDefault="00722E5C" w:rsidP="00722E5C">
            <w:pPr>
              <w:jc w:val="right"/>
              <w:rPr>
                <w:sz w:val="20"/>
                <w:szCs w:val="20"/>
              </w:rPr>
            </w:pPr>
            <w:r>
              <w:rPr>
                <w:sz w:val="20"/>
                <w:szCs w:val="20"/>
              </w:rPr>
              <w:t>3</w:t>
            </w:r>
          </w:p>
        </w:tc>
        <w:tc>
          <w:tcPr>
            <w:tcW w:w="595" w:type="dxa"/>
            <w:shd w:val="clear" w:color="auto" w:fill="auto"/>
            <w:noWrap/>
            <w:vAlign w:val="center"/>
          </w:tcPr>
          <w:p w14:paraId="375BD234" w14:textId="77777777" w:rsidR="00722E5C" w:rsidRPr="007179A9" w:rsidRDefault="00722E5C" w:rsidP="00722E5C">
            <w:pPr>
              <w:jc w:val="right"/>
              <w:rPr>
                <w:sz w:val="20"/>
                <w:szCs w:val="20"/>
              </w:rPr>
            </w:pPr>
            <w:r>
              <w:rPr>
                <w:sz w:val="20"/>
                <w:szCs w:val="20"/>
              </w:rPr>
              <w:t>18</w:t>
            </w:r>
          </w:p>
        </w:tc>
        <w:tc>
          <w:tcPr>
            <w:tcW w:w="709" w:type="dxa"/>
            <w:vAlign w:val="center"/>
          </w:tcPr>
          <w:p w14:paraId="589BDEEB" w14:textId="77777777" w:rsidR="00722E5C" w:rsidRPr="007179A9" w:rsidRDefault="00722E5C" w:rsidP="00722E5C">
            <w:pPr>
              <w:jc w:val="right"/>
              <w:rPr>
                <w:b/>
                <w:sz w:val="20"/>
                <w:szCs w:val="20"/>
              </w:rPr>
            </w:pPr>
            <w:r>
              <w:rPr>
                <w:b/>
                <w:bCs/>
                <w:sz w:val="20"/>
                <w:szCs w:val="20"/>
              </w:rPr>
              <w:t>13</w:t>
            </w:r>
          </w:p>
        </w:tc>
        <w:tc>
          <w:tcPr>
            <w:tcW w:w="709" w:type="dxa"/>
            <w:shd w:val="clear" w:color="auto" w:fill="auto"/>
            <w:noWrap/>
            <w:vAlign w:val="center"/>
          </w:tcPr>
          <w:p w14:paraId="6EC3C8E4" w14:textId="77777777" w:rsidR="00722E5C" w:rsidRPr="007179A9" w:rsidRDefault="00722E5C" w:rsidP="00722E5C">
            <w:pPr>
              <w:tabs>
                <w:tab w:val="decimal" w:pos="279"/>
              </w:tabs>
              <w:jc w:val="right"/>
              <w:rPr>
                <w:sz w:val="20"/>
                <w:szCs w:val="20"/>
              </w:rPr>
            </w:pPr>
            <w:r>
              <w:rPr>
                <w:sz w:val="20"/>
                <w:szCs w:val="20"/>
              </w:rPr>
              <w:t>4.1</w:t>
            </w:r>
          </w:p>
        </w:tc>
        <w:tc>
          <w:tcPr>
            <w:tcW w:w="665" w:type="dxa"/>
            <w:shd w:val="clear" w:color="auto" w:fill="auto"/>
            <w:noWrap/>
            <w:vAlign w:val="center"/>
          </w:tcPr>
          <w:p w14:paraId="67FEC5C4" w14:textId="77777777" w:rsidR="00722E5C" w:rsidRPr="007179A9" w:rsidRDefault="00722E5C" w:rsidP="00722E5C">
            <w:pPr>
              <w:ind w:left="137" w:hanging="137"/>
              <w:jc w:val="right"/>
              <w:rPr>
                <w:b/>
                <w:sz w:val="20"/>
                <w:szCs w:val="20"/>
              </w:rPr>
            </w:pPr>
            <w:r>
              <w:rPr>
                <w:b/>
                <w:bCs/>
                <w:sz w:val="20"/>
                <w:szCs w:val="20"/>
              </w:rPr>
              <w:t>5.7</w:t>
            </w:r>
          </w:p>
        </w:tc>
      </w:tr>
      <w:tr w:rsidR="00C53C4B" w:rsidRPr="00D07677" w14:paraId="39FA966C" w14:textId="77777777" w:rsidTr="00AD5986">
        <w:trPr>
          <w:trHeight w:val="240"/>
          <w:jc w:val="center"/>
        </w:trPr>
        <w:tc>
          <w:tcPr>
            <w:tcW w:w="2433" w:type="dxa"/>
            <w:shd w:val="clear" w:color="auto" w:fill="auto"/>
            <w:noWrap/>
            <w:vAlign w:val="bottom"/>
          </w:tcPr>
          <w:p w14:paraId="68C7DBE7" w14:textId="771F65E8" w:rsidR="00C53C4B" w:rsidRDefault="00C53C4B" w:rsidP="00722E5C">
            <w:pPr>
              <w:rPr>
                <w:sz w:val="20"/>
                <w:szCs w:val="20"/>
              </w:rPr>
            </w:pPr>
            <w:r>
              <w:rPr>
                <w:sz w:val="20"/>
                <w:szCs w:val="20"/>
              </w:rPr>
              <w:t xml:space="preserve"> Sprite</w:t>
            </w:r>
          </w:p>
        </w:tc>
        <w:tc>
          <w:tcPr>
            <w:tcW w:w="964" w:type="dxa"/>
            <w:shd w:val="clear" w:color="auto" w:fill="auto"/>
            <w:noWrap/>
            <w:vAlign w:val="center"/>
          </w:tcPr>
          <w:p w14:paraId="564C2088" w14:textId="7BD1A424" w:rsidR="00C53C4B" w:rsidRDefault="00C53C4B" w:rsidP="00722E5C">
            <w:pPr>
              <w:jc w:val="right"/>
              <w:rPr>
                <w:sz w:val="20"/>
                <w:szCs w:val="20"/>
              </w:rPr>
            </w:pPr>
            <w:r>
              <w:rPr>
                <w:sz w:val="20"/>
                <w:szCs w:val="20"/>
              </w:rPr>
              <w:t>2</w:t>
            </w:r>
          </w:p>
        </w:tc>
        <w:tc>
          <w:tcPr>
            <w:tcW w:w="595" w:type="dxa"/>
            <w:shd w:val="clear" w:color="auto" w:fill="auto"/>
            <w:noWrap/>
            <w:vAlign w:val="center"/>
          </w:tcPr>
          <w:p w14:paraId="4188E5A9" w14:textId="1B562DDF" w:rsidR="00C53C4B" w:rsidRDefault="00C53C4B" w:rsidP="00722E5C">
            <w:pPr>
              <w:jc w:val="right"/>
              <w:rPr>
                <w:sz w:val="20"/>
                <w:szCs w:val="20"/>
              </w:rPr>
            </w:pPr>
            <w:r>
              <w:rPr>
                <w:sz w:val="20"/>
                <w:szCs w:val="20"/>
              </w:rPr>
              <w:t>17</w:t>
            </w:r>
          </w:p>
        </w:tc>
        <w:tc>
          <w:tcPr>
            <w:tcW w:w="709" w:type="dxa"/>
            <w:vAlign w:val="center"/>
          </w:tcPr>
          <w:p w14:paraId="3BDF5F95" w14:textId="542A7889" w:rsidR="00C53C4B" w:rsidRDefault="00C53C4B" w:rsidP="00722E5C">
            <w:pPr>
              <w:jc w:val="right"/>
              <w:rPr>
                <w:b/>
                <w:bCs/>
                <w:sz w:val="20"/>
                <w:szCs w:val="20"/>
              </w:rPr>
            </w:pPr>
            <w:r>
              <w:rPr>
                <w:b/>
                <w:bCs/>
                <w:sz w:val="20"/>
                <w:szCs w:val="20"/>
              </w:rPr>
              <w:t>9</w:t>
            </w:r>
          </w:p>
        </w:tc>
        <w:tc>
          <w:tcPr>
            <w:tcW w:w="709" w:type="dxa"/>
            <w:shd w:val="clear" w:color="auto" w:fill="auto"/>
            <w:noWrap/>
            <w:vAlign w:val="center"/>
          </w:tcPr>
          <w:p w14:paraId="0362B325" w14:textId="2BA9AE42" w:rsidR="00C53C4B" w:rsidRDefault="00C53C4B" w:rsidP="00722E5C">
            <w:pPr>
              <w:tabs>
                <w:tab w:val="decimal" w:pos="279"/>
              </w:tabs>
              <w:jc w:val="right"/>
              <w:rPr>
                <w:sz w:val="20"/>
                <w:szCs w:val="20"/>
              </w:rPr>
            </w:pPr>
            <w:r>
              <w:rPr>
                <w:sz w:val="20"/>
                <w:szCs w:val="20"/>
              </w:rPr>
              <w:t>3.1</w:t>
            </w:r>
          </w:p>
        </w:tc>
        <w:tc>
          <w:tcPr>
            <w:tcW w:w="665" w:type="dxa"/>
            <w:shd w:val="clear" w:color="auto" w:fill="auto"/>
            <w:noWrap/>
            <w:vAlign w:val="center"/>
          </w:tcPr>
          <w:p w14:paraId="7C7F4803" w14:textId="6F04E223" w:rsidR="00C53C4B" w:rsidRDefault="00C53C4B" w:rsidP="00722E5C">
            <w:pPr>
              <w:ind w:left="137" w:hanging="137"/>
              <w:jc w:val="right"/>
              <w:rPr>
                <w:b/>
                <w:bCs/>
                <w:sz w:val="20"/>
                <w:szCs w:val="20"/>
              </w:rPr>
            </w:pPr>
            <w:r>
              <w:rPr>
                <w:b/>
                <w:bCs/>
                <w:sz w:val="20"/>
                <w:szCs w:val="20"/>
              </w:rPr>
              <w:t>5.5</w:t>
            </w:r>
          </w:p>
        </w:tc>
      </w:tr>
      <w:tr w:rsidR="00722E5C" w:rsidRPr="00D07677" w14:paraId="71A98B74" w14:textId="77777777" w:rsidTr="00AD5986">
        <w:trPr>
          <w:trHeight w:val="240"/>
          <w:jc w:val="center"/>
        </w:trPr>
        <w:tc>
          <w:tcPr>
            <w:tcW w:w="2433" w:type="dxa"/>
            <w:shd w:val="clear" w:color="auto" w:fill="auto"/>
            <w:noWrap/>
            <w:vAlign w:val="bottom"/>
          </w:tcPr>
          <w:p w14:paraId="7B03AF3F" w14:textId="77777777" w:rsidR="00722E5C" w:rsidRPr="00107F0A" w:rsidRDefault="00722E5C" w:rsidP="00722E5C">
            <w:pPr>
              <w:rPr>
                <w:rFonts w:eastAsia="MS PGothic"/>
                <w:color w:val="000000" w:themeColor="text1"/>
                <w:kern w:val="24"/>
                <w:sz w:val="20"/>
                <w:szCs w:val="20"/>
              </w:rPr>
            </w:pPr>
            <w:r>
              <w:rPr>
                <w:sz w:val="20"/>
                <w:szCs w:val="20"/>
              </w:rPr>
              <w:t xml:space="preserve"> Golden Wonder Crisps</w:t>
            </w:r>
          </w:p>
        </w:tc>
        <w:tc>
          <w:tcPr>
            <w:tcW w:w="964" w:type="dxa"/>
            <w:shd w:val="clear" w:color="auto" w:fill="auto"/>
            <w:noWrap/>
            <w:vAlign w:val="center"/>
          </w:tcPr>
          <w:p w14:paraId="5766FAA6" w14:textId="77777777" w:rsidR="00722E5C" w:rsidRPr="00107F0A" w:rsidRDefault="00722E5C" w:rsidP="00722E5C">
            <w:pPr>
              <w:jc w:val="right"/>
              <w:rPr>
                <w:rFonts w:eastAsia="MS PGothic"/>
                <w:color w:val="000000" w:themeColor="text1"/>
                <w:kern w:val="24"/>
                <w:sz w:val="20"/>
                <w:szCs w:val="20"/>
              </w:rPr>
            </w:pPr>
            <w:r>
              <w:rPr>
                <w:sz w:val="20"/>
                <w:szCs w:val="20"/>
              </w:rPr>
              <w:t>2</w:t>
            </w:r>
          </w:p>
        </w:tc>
        <w:tc>
          <w:tcPr>
            <w:tcW w:w="595" w:type="dxa"/>
            <w:shd w:val="clear" w:color="auto" w:fill="auto"/>
            <w:noWrap/>
            <w:vAlign w:val="center"/>
          </w:tcPr>
          <w:p w14:paraId="24AA8866" w14:textId="77777777" w:rsidR="00722E5C" w:rsidRPr="00107F0A" w:rsidRDefault="00722E5C" w:rsidP="00722E5C">
            <w:pPr>
              <w:jc w:val="right"/>
              <w:rPr>
                <w:rFonts w:eastAsia="MS PGothic"/>
                <w:color w:val="000000" w:themeColor="text1"/>
                <w:kern w:val="24"/>
                <w:sz w:val="20"/>
                <w:szCs w:val="20"/>
                <w:lang w:val="cs-CZ"/>
              </w:rPr>
            </w:pPr>
            <w:r>
              <w:rPr>
                <w:sz w:val="20"/>
                <w:szCs w:val="20"/>
              </w:rPr>
              <w:t>8</w:t>
            </w:r>
          </w:p>
        </w:tc>
        <w:tc>
          <w:tcPr>
            <w:tcW w:w="709" w:type="dxa"/>
            <w:vAlign w:val="center"/>
          </w:tcPr>
          <w:p w14:paraId="3D3F7F94" w14:textId="77777777" w:rsidR="00722E5C" w:rsidRPr="00107F0A" w:rsidRDefault="00722E5C" w:rsidP="00722E5C">
            <w:pPr>
              <w:jc w:val="right"/>
              <w:rPr>
                <w:rFonts w:eastAsia="MS PGothic"/>
                <w:b/>
                <w:bCs/>
                <w:color w:val="000000" w:themeColor="text1"/>
                <w:kern w:val="24"/>
                <w:sz w:val="20"/>
                <w:szCs w:val="20"/>
                <w:lang w:val="is-IS"/>
              </w:rPr>
            </w:pPr>
            <w:r>
              <w:rPr>
                <w:b/>
                <w:bCs/>
                <w:sz w:val="20"/>
                <w:szCs w:val="20"/>
              </w:rPr>
              <w:t>5</w:t>
            </w:r>
          </w:p>
        </w:tc>
        <w:tc>
          <w:tcPr>
            <w:tcW w:w="709" w:type="dxa"/>
            <w:shd w:val="clear" w:color="auto" w:fill="auto"/>
            <w:noWrap/>
            <w:vAlign w:val="center"/>
          </w:tcPr>
          <w:p w14:paraId="480E3864" w14:textId="77777777" w:rsidR="00722E5C" w:rsidRPr="00107F0A" w:rsidRDefault="00722E5C" w:rsidP="00722E5C">
            <w:pPr>
              <w:tabs>
                <w:tab w:val="decimal" w:pos="279"/>
              </w:tabs>
              <w:jc w:val="right"/>
              <w:rPr>
                <w:rFonts w:eastAsia="MS PGothic"/>
                <w:color w:val="000000" w:themeColor="text1"/>
                <w:kern w:val="24"/>
                <w:sz w:val="20"/>
                <w:szCs w:val="20"/>
                <w:lang w:val="hr-HR"/>
              </w:rPr>
            </w:pPr>
            <w:r>
              <w:rPr>
                <w:sz w:val="20"/>
                <w:szCs w:val="20"/>
              </w:rPr>
              <w:t>3.2</w:t>
            </w:r>
          </w:p>
        </w:tc>
        <w:tc>
          <w:tcPr>
            <w:tcW w:w="665" w:type="dxa"/>
            <w:shd w:val="clear" w:color="auto" w:fill="auto"/>
            <w:noWrap/>
            <w:vAlign w:val="center"/>
          </w:tcPr>
          <w:p w14:paraId="6496362F" w14:textId="77777777" w:rsidR="00722E5C" w:rsidRPr="00107F0A" w:rsidRDefault="00722E5C" w:rsidP="00722E5C">
            <w:pPr>
              <w:ind w:left="137" w:hanging="137"/>
              <w:jc w:val="right"/>
              <w:rPr>
                <w:rFonts w:eastAsia="MS PGothic"/>
                <w:b/>
                <w:bCs/>
                <w:color w:val="000000" w:themeColor="text1"/>
                <w:kern w:val="24"/>
                <w:sz w:val="20"/>
                <w:szCs w:val="20"/>
                <w:lang w:val="hr-HR"/>
              </w:rPr>
            </w:pPr>
            <w:r>
              <w:rPr>
                <w:b/>
                <w:bCs/>
                <w:sz w:val="20"/>
                <w:szCs w:val="20"/>
              </w:rPr>
              <w:t>4.9</w:t>
            </w:r>
          </w:p>
        </w:tc>
      </w:tr>
      <w:tr w:rsidR="00C53C4B" w:rsidRPr="00D07677" w14:paraId="36B2D55A" w14:textId="77777777" w:rsidTr="00AD5986">
        <w:trPr>
          <w:trHeight w:val="240"/>
          <w:jc w:val="center"/>
        </w:trPr>
        <w:tc>
          <w:tcPr>
            <w:tcW w:w="2433" w:type="dxa"/>
            <w:shd w:val="clear" w:color="auto" w:fill="auto"/>
            <w:noWrap/>
            <w:vAlign w:val="bottom"/>
          </w:tcPr>
          <w:p w14:paraId="12AA8645" w14:textId="76C9B36E" w:rsidR="00C53C4B" w:rsidRDefault="00C53C4B" w:rsidP="00722E5C">
            <w:pPr>
              <w:rPr>
                <w:sz w:val="20"/>
                <w:szCs w:val="20"/>
              </w:rPr>
            </w:pPr>
            <w:r>
              <w:rPr>
                <w:sz w:val="20"/>
                <w:szCs w:val="20"/>
              </w:rPr>
              <w:t xml:space="preserve"> Lilt</w:t>
            </w:r>
          </w:p>
        </w:tc>
        <w:tc>
          <w:tcPr>
            <w:tcW w:w="964" w:type="dxa"/>
            <w:shd w:val="clear" w:color="auto" w:fill="auto"/>
            <w:noWrap/>
            <w:vAlign w:val="center"/>
          </w:tcPr>
          <w:p w14:paraId="32EDCBBA" w14:textId="16D0D03D" w:rsidR="00C53C4B" w:rsidRDefault="00C53C4B" w:rsidP="00722E5C">
            <w:pPr>
              <w:jc w:val="right"/>
              <w:rPr>
                <w:sz w:val="20"/>
                <w:szCs w:val="20"/>
              </w:rPr>
            </w:pPr>
            <w:r>
              <w:rPr>
                <w:sz w:val="20"/>
                <w:szCs w:val="20"/>
              </w:rPr>
              <w:t>2</w:t>
            </w:r>
          </w:p>
        </w:tc>
        <w:tc>
          <w:tcPr>
            <w:tcW w:w="595" w:type="dxa"/>
            <w:shd w:val="clear" w:color="auto" w:fill="auto"/>
            <w:noWrap/>
            <w:vAlign w:val="center"/>
          </w:tcPr>
          <w:p w14:paraId="67AD5D0F" w14:textId="4A3C4232" w:rsidR="00C53C4B" w:rsidRDefault="00C53C4B" w:rsidP="00722E5C">
            <w:pPr>
              <w:jc w:val="right"/>
              <w:rPr>
                <w:sz w:val="20"/>
                <w:szCs w:val="20"/>
              </w:rPr>
            </w:pPr>
            <w:r>
              <w:rPr>
                <w:sz w:val="20"/>
                <w:szCs w:val="20"/>
              </w:rPr>
              <w:t>13</w:t>
            </w:r>
          </w:p>
        </w:tc>
        <w:tc>
          <w:tcPr>
            <w:tcW w:w="709" w:type="dxa"/>
            <w:vAlign w:val="center"/>
          </w:tcPr>
          <w:p w14:paraId="00D7F506" w14:textId="04C467BC" w:rsidR="00C53C4B" w:rsidRDefault="00C53C4B" w:rsidP="00722E5C">
            <w:pPr>
              <w:jc w:val="right"/>
              <w:rPr>
                <w:b/>
                <w:bCs/>
                <w:sz w:val="20"/>
                <w:szCs w:val="20"/>
              </w:rPr>
            </w:pPr>
            <w:r>
              <w:rPr>
                <w:b/>
                <w:bCs/>
                <w:sz w:val="20"/>
                <w:szCs w:val="20"/>
              </w:rPr>
              <w:t>7</w:t>
            </w:r>
          </w:p>
        </w:tc>
        <w:tc>
          <w:tcPr>
            <w:tcW w:w="709" w:type="dxa"/>
            <w:shd w:val="clear" w:color="auto" w:fill="auto"/>
            <w:noWrap/>
            <w:vAlign w:val="center"/>
          </w:tcPr>
          <w:p w14:paraId="77DFA238" w14:textId="71810CF0" w:rsidR="00C53C4B" w:rsidRDefault="00C53C4B" w:rsidP="00722E5C">
            <w:pPr>
              <w:tabs>
                <w:tab w:val="decimal" w:pos="279"/>
              </w:tabs>
              <w:jc w:val="right"/>
              <w:rPr>
                <w:sz w:val="20"/>
                <w:szCs w:val="20"/>
              </w:rPr>
            </w:pPr>
            <w:r>
              <w:rPr>
                <w:sz w:val="20"/>
                <w:szCs w:val="20"/>
              </w:rPr>
              <w:t>3.0</w:t>
            </w:r>
          </w:p>
        </w:tc>
        <w:tc>
          <w:tcPr>
            <w:tcW w:w="665" w:type="dxa"/>
            <w:shd w:val="clear" w:color="auto" w:fill="auto"/>
            <w:noWrap/>
            <w:vAlign w:val="center"/>
          </w:tcPr>
          <w:p w14:paraId="595F43A4" w14:textId="7EDA5988" w:rsidR="00C53C4B" w:rsidRDefault="00C53C4B" w:rsidP="00722E5C">
            <w:pPr>
              <w:ind w:left="137" w:hanging="137"/>
              <w:jc w:val="right"/>
              <w:rPr>
                <w:b/>
                <w:bCs/>
                <w:sz w:val="20"/>
                <w:szCs w:val="20"/>
              </w:rPr>
            </w:pPr>
            <w:r>
              <w:rPr>
                <w:b/>
                <w:bCs/>
                <w:sz w:val="20"/>
                <w:szCs w:val="20"/>
              </w:rPr>
              <w:t>5.4</w:t>
            </w:r>
          </w:p>
        </w:tc>
      </w:tr>
      <w:tr w:rsidR="00722E5C" w:rsidRPr="00D07677" w14:paraId="583921D5" w14:textId="77777777" w:rsidTr="00AD5986">
        <w:trPr>
          <w:trHeight w:val="588"/>
          <w:jc w:val="center"/>
        </w:trPr>
        <w:tc>
          <w:tcPr>
            <w:tcW w:w="2433" w:type="dxa"/>
            <w:tcBorders>
              <w:bottom w:val="single" w:sz="4" w:space="0" w:color="auto"/>
            </w:tcBorders>
            <w:shd w:val="clear" w:color="auto" w:fill="auto"/>
            <w:noWrap/>
            <w:vAlign w:val="center"/>
          </w:tcPr>
          <w:p w14:paraId="1057CDF1" w14:textId="77777777" w:rsidR="00722E5C" w:rsidRPr="00D81BEB" w:rsidRDefault="00722E5C" w:rsidP="00722E5C">
            <w:pPr>
              <w:spacing w:before="60"/>
              <w:rPr>
                <w:b/>
                <w:sz w:val="20"/>
              </w:rPr>
            </w:pPr>
            <w:r w:rsidRPr="00D81BEB">
              <w:rPr>
                <w:b/>
                <w:sz w:val="20"/>
              </w:rPr>
              <w:t>Average</w:t>
            </w:r>
          </w:p>
        </w:tc>
        <w:tc>
          <w:tcPr>
            <w:tcW w:w="964" w:type="dxa"/>
            <w:tcBorders>
              <w:bottom w:val="single" w:sz="4" w:space="0" w:color="auto"/>
            </w:tcBorders>
            <w:shd w:val="clear" w:color="auto" w:fill="auto"/>
            <w:noWrap/>
            <w:vAlign w:val="center"/>
          </w:tcPr>
          <w:p w14:paraId="13844024" w14:textId="7561928C" w:rsidR="00722E5C" w:rsidRPr="00BC62D1" w:rsidRDefault="00C53C4B" w:rsidP="00722E5C">
            <w:pPr>
              <w:spacing w:before="60"/>
              <w:jc w:val="right"/>
              <w:rPr>
                <w:b/>
                <w:sz w:val="20"/>
                <w:szCs w:val="20"/>
              </w:rPr>
            </w:pPr>
            <w:r>
              <w:rPr>
                <w:rFonts w:eastAsia="MS PGothic"/>
                <w:b/>
                <w:color w:val="000000" w:themeColor="text1"/>
                <w:kern w:val="24"/>
                <w:sz w:val="20"/>
                <w:szCs w:val="20"/>
              </w:rPr>
              <w:t>4</w:t>
            </w:r>
          </w:p>
        </w:tc>
        <w:tc>
          <w:tcPr>
            <w:tcW w:w="595" w:type="dxa"/>
            <w:tcBorders>
              <w:bottom w:val="single" w:sz="4" w:space="0" w:color="auto"/>
            </w:tcBorders>
            <w:shd w:val="clear" w:color="auto" w:fill="auto"/>
            <w:noWrap/>
            <w:vAlign w:val="center"/>
          </w:tcPr>
          <w:p w14:paraId="539D5149" w14:textId="4D413E5E" w:rsidR="00722E5C" w:rsidRPr="00BC62D1" w:rsidRDefault="00C53C4B" w:rsidP="00722E5C">
            <w:pPr>
              <w:spacing w:before="60"/>
              <w:jc w:val="right"/>
              <w:rPr>
                <w:b/>
                <w:sz w:val="20"/>
                <w:szCs w:val="20"/>
              </w:rPr>
            </w:pPr>
            <w:r>
              <w:rPr>
                <w:rFonts w:eastAsia="MS PGothic"/>
                <w:b/>
                <w:color w:val="000000" w:themeColor="text1"/>
                <w:kern w:val="24"/>
                <w:sz w:val="20"/>
                <w:szCs w:val="20"/>
                <w:lang w:val="cs-CZ"/>
              </w:rPr>
              <w:t>15</w:t>
            </w:r>
          </w:p>
        </w:tc>
        <w:tc>
          <w:tcPr>
            <w:tcW w:w="709" w:type="dxa"/>
            <w:tcBorders>
              <w:bottom w:val="single" w:sz="4" w:space="0" w:color="auto"/>
            </w:tcBorders>
            <w:vAlign w:val="center"/>
          </w:tcPr>
          <w:p w14:paraId="55443DCD" w14:textId="23B0AB4A" w:rsidR="00722E5C" w:rsidRPr="00BC62D1" w:rsidRDefault="00C53C4B" w:rsidP="00722E5C">
            <w:pPr>
              <w:spacing w:before="60"/>
              <w:jc w:val="right"/>
              <w:rPr>
                <w:b/>
                <w:sz w:val="20"/>
                <w:szCs w:val="20"/>
              </w:rPr>
            </w:pPr>
            <w:r>
              <w:rPr>
                <w:rFonts w:eastAsia="MS PGothic"/>
                <w:b/>
                <w:color w:val="000000" w:themeColor="text1"/>
                <w:kern w:val="24"/>
                <w:sz w:val="20"/>
                <w:szCs w:val="20"/>
                <w:lang w:val="is-IS"/>
              </w:rPr>
              <w:t>10</w:t>
            </w:r>
          </w:p>
        </w:tc>
        <w:tc>
          <w:tcPr>
            <w:tcW w:w="709" w:type="dxa"/>
            <w:tcBorders>
              <w:bottom w:val="single" w:sz="4" w:space="0" w:color="auto"/>
            </w:tcBorders>
            <w:shd w:val="clear" w:color="auto" w:fill="auto"/>
            <w:noWrap/>
            <w:vAlign w:val="center"/>
          </w:tcPr>
          <w:p w14:paraId="3603CAF9" w14:textId="27429FF6" w:rsidR="00722E5C" w:rsidRPr="00BC62D1" w:rsidRDefault="00C53C4B" w:rsidP="00722E5C">
            <w:pPr>
              <w:tabs>
                <w:tab w:val="decimal" w:pos="279"/>
              </w:tabs>
              <w:spacing w:before="60"/>
              <w:jc w:val="right"/>
              <w:rPr>
                <w:b/>
                <w:sz w:val="20"/>
                <w:szCs w:val="20"/>
              </w:rPr>
            </w:pPr>
            <w:r>
              <w:rPr>
                <w:rFonts w:eastAsia="MS PGothic"/>
                <w:b/>
                <w:color w:val="000000" w:themeColor="text1"/>
                <w:kern w:val="24"/>
                <w:sz w:val="20"/>
                <w:szCs w:val="20"/>
                <w:lang w:val="hr-HR"/>
              </w:rPr>
              <w:t>3.4</w:t>
            </w:r>
          </w:p>
        </w:tc>
        <w:tc>
          <w:tcPr>
            <w:tcW w:w="665" w:type="dxa"/>
            <w:tcBorders>
              <w:bottom w:val="single" w:sz="4" w:space="0" w:color="auto"/>
            </w:tcBorders>
            <w:shd w:val="clear" w:color="auto" w:fill="auto"/>
            <w:noWrap/>
            <w:vAlign w:val="center"/>
          </w:tcPr>
          <w:p w14:paraId="4A8E82B4" w14:textId="53283961" w:rsidR="00722E5C" w:rsidRPr="00BC62D1" w:rsidRDefault="00C53C4B" w:rsidP="00722E5C">
            <w:pPr>
              <w:spacing w:before="60"/>
              <w:ind w:left="137" w:hanging="137"/>
              <w:jc w:val="right"/>
              <w:rPr>
                <w:b/>
                <w:sz w:val="20"/>
                <w:szCs w:val="20"/>
              </w:rPr>
            </w:pPr>
            <w:r>
              <w:rPr>
                <w:rFonts w:eastAsia="MS PGothic"/>
                <w:b/>
                <w:color w:val="000000" w:themeColor="text1"/>
                <w:kern w:val="24"/>
                <w:sz w:val="20"/>
                <w:szCs w:val="20"/>
                <w:lang w:val="hr-HR"/>
              </w:rPr>
              <w:t>5.0</w:t>
            </w:r>
          </w:p>
        </w:tc>
      </w:tr>
    </w:tbl>
    <w:p w14:paraId="22D3DE8B" w14:textId="77777777" w:rsidR="00722E5C" w:rsidRPr="00491D4A" w:rsidRDefault="00722E5C" w:rsidP="00722E5C">
      <w:pPr>
        <w:spacing w:before="120"/>
        <w:jc w:val="center"/>
        <w:rPr>
          <w:rFonts w:cs="Arial"/>
          <w:sz w:val="18"/>
          <w:szCs w:val="18"/>
        </w:rPr>
      </w:pPr>
      <w:r w:rsidRPr="00491D4A">
        <w:rPr>
          <w:rFonts w:cs="Arial"/>
          <w:i/>
          <w:sz w:val="18"/>
          <w:szCs w:val="18"/>
        </w:rPr>
        <w:t>Kantar Worldpanel: 52 weeks to Jan 2005.</w:t>
      </w:r>
      <w:r>
        <w:rPr>
          <w:rFonts w:cs="Arial"/>
          <w:i/>
          <w:sz w:val="18"/>
          <w:szCs w:val="18"/>
        </w:rPr>
        <w:t xml:space="preserve"> </w:t>
      </w:r>
    </w:p>
    <w:p w14:paraId="350D3F22" w14:textId="77777777" w:rsidR="00722E5C" w:rsidRPr="00F10F86" w:rsidRDefault="00722E5C" w:rsidP="00722E5C">
      <w:pPr>
        <w:spacing w:after="120"/>
        <w:rPr>
          <w:i/>
        </w:rPr>
      </w:pPr>
    </w:p>
    <w:p w14:paraId="583BBD83" w14:textId="77777777" w:rsidR="00722E5C" w:rsidRDefault="00722E5C" w:rsidP="00722E5C">
      <w:pPr>
        <w:jc w:val="center"/>
        <w:rPr>
          <w:rFonts w:cs="Arial"/>
        </w:rPr>
      </w:pPr>
    </w:p>
    <w:p w14:paraId="06E23358" w14:textId="77777777" w:rsidR="00722E5C" w:rsidRDefault="00722E5C" w:rsidP="00722E5C">
      <w:pPr>
        <w:jc w:val="center"/>
        <w:rPr>
          <w:rFonts w:cs="Arial"/>
        </w:rPr>
      </w:pPr>
    </w:p>
    <w:p w14:paraId="2ED867E6" w14:textId="77777777" w:rsidR="00722E5C" w:rsidRDefault="00722E5C" w:rsidP="00722E5C">
      <w:pPr>
        <w:jc w:val="center"/>
        <w:rPr>
          <w:rFonts w:cs="Arial"/>
        </w:rPr>
      </w:pPr>
    </w:p>
    <w:p w14:paraId="3F16AD7C" w14:textId="77777777" w:rsidR="00722E5C" w:rsidRDefault="00722E5C" w:rsidP="00722E5C">
      <w:pPr>
        <w:jc w:val="center"/>
        <w:rPr>
          <w:rFonts w:cs="Arial"/>
        </w:rPr>
      </w:pPr>
    </w:p>
    <w:p w14:paraId="640A3A19" w14:textId="77777777" w:rsidR="00722E5C" w:rsidRDefault="00722E5C" w:rsidP="00722E5C">
      <w:pPr>
        <w:jc w:val="center"/>
        <w:rPr>
          <w:rFonts w:cs="Arial"/>
        </w:rPr>
      </w:pPr>
    </w:p>
    <w:p w14:paraId="7763B8EE" w14:textId="77777777" w:rsidR="00722E5C" w:rsidRDefault="00722E5C" w:rsidP="00722E5C">
      <w:pPr>
        <w:rPr>
          <w:rFonts w:cs="Arial"/>
        </w:rPr>
      </w:pPr>
    </w:p>
    <w:p w14:paraId="47BA7939" w14:textId="77777777" w:rsidR="00722E5C" w:rsidRDefault="00722E5C" w:rsidP="00722E5C">
      <w:pPr>
        <w:jc w:val="center"/>
        <w:rPr>
          <w:rFonts w:cs="Arial"/>
        </w:rPr>
      </w:pPr>
    </w:p>
    <w:p w14:paraId="57C955CC" w14:textId="77777777" w:rsidR="00722E5C" w:rsidRDefault="00722E5C" w:rsidP="00722E5C">
      <w:pPr>
        <w:jc w:val="center"/>
        <w:rPr>
          <w:rFonts w:cs="Arial"/>
        </w:rPr>
      </w:pPr>
    </w:p>
    <w:p w14:paraId="61ED67FF" w14:textId="77777777" w:rsidR="00722E5C" w:rsidRDefault="00722E5C" w:rsidP="00722E5C">
      <w:pPr>
        <w:jc w:val="center"/>
        <w:rPr>
          <w:rFonts w:cs="Arial"/>
        </w:rPr>
      </w:pPr>
    </w:p>
    <w:p w14:paraId="6710C143" w14:textId="77777777" w:rsidR="00722E5C" w:rsidRDefault="00722E5C" w:rsidP="00AD5986">
      <w:pPr>
        <w:rPr>
          <w:rFonts w:cs="Arial"/>
        </w:rPr>
      </w:pPr>
    </w:p>
    <w:p w14:paraId="08D30F45" w14:textId="77777777" w:rsidR="00722E5C" w:rsidRDefault="00722E5C" w:rsidP="00722E5C">
      <w:pPr>
        <w:jc w:val="center"/>
        <w:rPr>
          <w:rFonts w:cs="Arial"/>
        </w:rPr>
      </w:pPr>
    </w:p>
    <w:p w14:paraId="23FD7B12" w14:textId="77777777" w:rsidR="00722E5C" w:rsidRDefault="00722E5C" w:rsidP="00722E5C">
      <w:pPr>
        <w:jc w:val="center"/>
        <w:rPr>
          <w:rFonts w:cs="Arial"/>
        </w:rPr>
      </w:pPr>
    </w:p>
    <w:p w14:paraId="4E67336F" w14:textId="0F0BD69A" w:rsidR="00722E5C" w:rsidRPr="00033F64" w:rsidRDefault="00722E5C" w:rsidP="001B79A6">
      <w:pPr>
        <w:widowControl w:val="0"/>
        <w:autoSpaceDE w:val="0"/>
        <w:autoSpaceDN w:val="0"/>
        <w:adjustRightInd w:val="0"/>
        <w:spacing w:after="120"/>
        <w:jc w:val="center"/>
        <w:rPr>
          <w:b/>
          <w:bCs/>
          <w:color w:val="000000"/>
        </w:rPr>
      </w:pPr>
      <w:r w:rsidRPr="00033F64">
        <w:rPr>
          <w:b/>
          <w:bCs/>
          <w:color w:val="000000"/>
        </w:rPr>
        <w:t xml:space="preserve">Table </w:t>
      </w:r>
      <w:r w:rsidR="00BF152C">
        <w:rPr>
          <w:b/>
          <w:bCs/>
          <w:color w:val="000000"/>
        </w:rPr>
        <w:t>9</w:t>
      </w:r>
      <w:r w:rsidRPr="00033F64">
        <w:rPr>
          <w:b/>
          <w:bCs/>
          <w:color w:val="000000"/>
        </w:rPr>
        <w:t>.</w:t>
      </w:r>
      <w:r>
        <w:rPr>
          <w:b/>
          <w:bCs/>
          <w:color w:val="000000"/>
        </w:rPr>
        <w:t xml:space="preserve"> </w:t>
      </w:r>
      <w:r w:rsidRPr="00033F64">
        <w:rPr>
          <w:b/>
          <w:bCs/>
          <w:color w:val="000000"/>
        </w:rPr>
        <w:t>Partitions in the UK butters and spreads market</w:t>
      </w:r>
    </w:p>
    <w:p w14:paraId="682D179E" w14:textId="77777777" w:rsidR="00722E5C" w:rsidRPr="00162D92" w:rsidRDefault="00722E5C" w:rsidP="00722E5C">
      <w:pPr>
        <w:widowControl w:val="0"/>
        <w:autoSpaceDE w:val="0"/>
        <w:autoSpaceDN w:val="0"/>
        <w:adjustRightInd w:val="0"/>
        <w:jc w:val="center"/>
        <w:rPr>
          <w:b/>
          <w:bCs/>
          <w:color w:val="000000"/>
        </w:rPr>
      </w:pPr>
    </w:p>
    <w:tbl>
      <w:tblPr>
        <w:tblW w:w="0" w:type="auto"/>
        <w:jc w:val="center"/>
        <w:tblBorders>
          <w:top w:val="nil"/>
          <w:left w:val="nil"/>
          <w:right w:val="nil"/>
        </w:tblBorders>
        <w:tblLayout w:type="fixed"/>
        <w:tblLook w:val="0000" w:firstRow="0" w:lastRow="0" w:firstColumn="0" w:lastColumn="0" w:noHBand="0" w:noVBand="0"/>
      </w:tblPr>
      <w:tblGrid>
        <w:gridCol w:w="1984"/>
        <w:gridCol w:w="646"/>
        <w:gridCol w:w="646"/>
        <w:gridCol w:w="649"/>
        <w:gridCol w:w="647"/>
        <w:gridCol w:w="646"/>
        <w:gridCol w:w="646"/>
        <w:gridCol w:w="646"/>
        <w:gridCol w:w="647"/>
        <w:gridCol w:w="646"/>
        <w:gridCol w:w="646"/>
        <w:gridCol w:w="646"/>
        <w:gridCol w:w="647"/>
        <w:gridCol w:w="647"/>
        <w:gridCol w:w="647"/>
      </w:tblGrid>
      <w:tr w:rsidR="00722E5C" w14:paraId="62F41458" w14:textId="77777777" w:rsidTr="00440578">
        <w:trPr>
          <w:gridAfter w:val="2"/>
          <w:wAfter w:w="1294" w:type="dxa"/>
          <w:jc w:val="center"/>
        </w:trPr>
        <w:tc>
          <w:tcPr>
            <w:tcW w:w="1984" w:type="dxa"/>
            <w:tcBorders>
              <w:top w:val="single" w:sz="4" w:space="0" w:color="auto"/>
              <w:left w:val="nil"/>
              <w:bottom w:val="nil"/>
              <w:right w:val="nil"/>
            </w:tcBorders>
          </w:tcPr>
          <w:p w14:paraId="24EFF0A0" w14:textId="77777777" w:rsidR="00722E5C" w:rsidRPr="00033F64" w:rsidRDefault="00722E5C" w:rsidP="00722E5C">
            <w:pPr>
              <w:widowControl w:val="0"/>
              <w:autoSpaceDE w:val="0"/>
              <w:autoSpaceDN w:val="0"/>
              <w:adjustRightInd w:val="0"/>
              <w:jc w:val="right"/>
              <w:rPr>
                <w:color w:val="000000"/>
                <w:sz w:val="20"/>
                <w:szCs w:val="20"/>
              </w:rPr>
            </w:pPr>
          </w:p>
        </w:tc>
        <w:tc>
          <w:tcPr>
            <w:tcW w:w="1941" w:type="dxa"/>
            <w:gridSpan w:val="3"/>
            <w:tcBorders>
              <w:top w:val="single" w:sz="4" w:space="0" w:color="auto"/>
              <w:left w:val="nil"/>
              <w:bottom w:val="nil"/>
              <w:right w:val="nil"/>
            </w:tcBorders>
            <w:vAlign w:val="bottom"/>
          </w:tcPr>
          <w:p w14:paraId="23EEF701" w14:textId="77777777" w:rsidR="00722E5C" w:rsidRPr="00033F64" w:rsidRDefault="00722E5C" w:rsidP="00722E5C">
            <w:pPr>
              <w:widowControl w:val="0"/>
              <w:autoSpaceDE w:val="0"/>
              <w:autoSpaceDN w:val="0"/>
              <w:adjustRightInd w:val="0"/>
              <w:jc w:val="center"/>
              <w:rPr>
                <w:b/>
                <w:i/>
                <w:kern w:val="1"/>
                <w:sz w:val="20"/>
                <w:szCs w:val="20"/>
              </w:rPr>
            </w:pPr>
            <w:r w:rsidRPr="00033F64">
              <w:rPr>
                <w:b/>
                <w:i/>
                <w:color w:val="000000"/>
                <w:sz w:val="20"/>
                <w:szCs w:val="20"/>
              </w:rPr>
              <w:t>Butters</w:t>
            </w:r>
          </w:p>
        </w:tc>
        <w:tc>
          <w:tcPr>
            <w:tcW w:w="3229" w:type="dxa"/>
            <w:gridSpan w:val="5"/>
            <w:tcBorders>
              <w:top w:val="single" w:sz="4" w:space="0" w:color="auto"/>
              <w:left w:val="nil"/>
              <w:bottom w:val="nil"/>
              <w:right w:val="nil"/>
            </w:tcBorders>
            <w:vAlign w:val="bottom"/>
          </w:tcPr>
          <w:p w14:paraId="2186A2C7" w14:textId="77777777" w:rsidR="00722E5C" w:rsidRPr="00033F64" w:rsidRDefault="00722E5C" w:rsidP="00722E5C">
            <w:pPr>
              <w:widowControl w:val="0"/>
              <w:autoSpaceDE w:val="0"/>
              <w:autoSpaceDN w:val="0"/>
              <w:adjustRightInd w:val="0"/>
              <w:jc w:val="center"/>
              <w:rPr>
                <w:b/>
                <w:i/>
                <w:kern w:val="1"/>
                <w:sz w:val="20"/>
                <w:szCs w:val="20"/>
              </w:rPr>
            </w:pPr>
            <w:r w:rsidRPr="00033F64">
              <w:rPr>
                <w:b/>
                <w:i/>
                <w:color w:val="000000"/>
                <w:sz w:val="20"/>
                <w:szCs w:val="20"/>
              </w:rPr>
              <w:t>Buttery Taste Spreads</w:t>
            </w:r>
          </w:p>
        </w:tc>
        <w:tc>
          <w:tcPr>
            <w:tcW w:w="2585" w:type="dxa"/>
            <w:gridSpan w:val="4"/>
            <w:tcBorders>
              <w:top w:val="single" w:sz="4" w:space="0" w:color="auto"/>
              <w:left w:val="nil"/>
              <w:bottom w:val="nil"/>
              <w:right w:val="nil"/>
            </w:tcBorders>
            <w:vAlign w:val="bottom"/>
          </w:tcPr>
          <w:p w14:paraId="451F75B9" w14:textId="77777777" w:rsidR="00722E5C" w:rsidRPr="00033F64" w:rsidRDefault="00722E5C" w:rsidP="00722E5C">
            <w:pPr>
              <w:widowControl w:val="0"/>
              <w:autoSpaceDE w:val="0"/>
              <w:autoSpaceDN w:val="0"/>
              <w:adjustRightInd w:val="0"/>
              <w:jc w:val="center"/>
              <w:rPr>
                <w:b/>
                <w:i/>
                <w:kern w:val="1"/>
                <w:sz w:val="20"/>
                <w:szCs w:val="20"/>
              </w:rPr>
            </w:pPr>
            <w:r w:rsidRPr="00033F64">
              <w:rPr>
                <w:b/>
                <w:i/>
                <w:color w:val="000000"/>
                <w:sz w:val="20"/>
                <w:szCs w:val="20"/>
              </w:rPr>
              <w:t>Healthy Spreads</w:t>
            </w:r>
          </w:p>
        </w:tc>
      </w:tr>
      <w:tr w:rsidR="00722E5C" w14:paraId="00543988" w14:textId="77777777" w:rsidTr="00440578">
        <w:tblPrEx>
          <w:tblBorders>
            <w:top w:val="none" w:sz="0" w:space="0" w:color="auto"/>
          </w:tblBorders>
        </w:tblPrEx>
        <w:trPr>
          <w:jc w:val="center"/>
        </w:trPr>
        <w:tc>
          <w:tcPr>
            <w:tcW w:w="1984" w:type="dxa"/>
            <w:tcBorders>
              <w:top w:val="nil"/>
              <w:left w:val="nil"/>
              <w:bottom w:val="nil"/>
              <w:right w:val="nil"/>
            </w:tcBorders>
          </w:tcPr>
          <w:p w14:paraId="48BD6184" w14:textId="77777777" w:rsidR="00722E5C" w:rsidRPr="00033F64" w:rsidRDefault="00722E5C" w:rsidP="00722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b/>
                <w:color w:val="000000"/>
                <w:sz w:val="20"/>
                <w:szCs w:val="20"/>
              </w:rPr>
              <w:t xml:space="preserve">         </w:t>
            </w:r>
            <w:r w:rsidRPr="00033F64">
              <w:rPr>
                <w:b/>
                <w:color w:val="000000"/>
                <w:sz w:val="20"/>
                <w:szCs w:val="20"/>
              </w:rPr>
              <w:t>Who also buy:</w:t>
            </w:r>
          </w:p>
        </w:tc>
        <w:tc>
          <w:tcPr>
            <w:tcW w:w="646" w:type="dxa"/>
            <w:tcBorders>
              <w:top w:val="nil"/>
              <w:left w:val="nil"/>
              <w:bottom w:val="nil"/>
              <w:right w:val="nil"/>
            </w:tcBorders>
            <w:vAlign w:val="bottom"/>
          </w:tcPr>
          <w:p w14:paraId="2452CDDC" w14:textId="77777777" w:rsidR="00722E5C" w:rsidRPr="00033F64" w:rsidRDefault="00722E5C" w:rsidP="00722E5C">
            <w:pPr>
              <w:widowControl w:val="0"/>
              <w:autoSpaceDE w:val="0"/>
              <w:autoSpaceDN w:val="0"/>
              <w:adjustRightInd w:val="0"/>
              <w:jc w:val="right"/>
              <w:rPr>
                <w:color w:val="000000"/>
                <w:sz w:val="20"/>
                <w:szCs w:val="20"/>
              </w:rPr>
            </w:pPr>
            <w:r w:rsidRPr="00033F64">
              <w:rPr>
                <w:color w:val="000000"/>
                <w:sz w:val="20"/>
                <w:szCs w:val="20"/>
              </w:rPr>
              <w:t>L</w:t>
            </w:r>
            <w:r>
              <w:rPr>
                <w:color w:val="000000"/>
                <w:sz w:val="20"/>
                <w:szCs w:val="20"/>
              </w:rPr>
              <w:t>ur p</w:t>
            </w:r>
            <w:r w:rsidRPr="00033F64">
              <w:rPr>
                <w:color w:val="000000"/>
                <w:sz w:val="20"/>
                <w:szCs w:val="20"/>
              </w:rPr>
              <w:t>ak</w:t>
            </w:r>
          </w:p>
        </w:tc>
        <w:tc>
          <w:tcPr>
            <w:tcW w:w="646" w:type="dxa"/>
            <w:tcBorders>
              <w:top w:val="nil"/>
              <w:left w:val="nil"/>
              <w:bottom w:val="nil"/>
              <w:right w:val="nil"/>
            </w:tcBorders>
            <w:vAlign w:val="bottom"/>
          </w:tcPr>
          <w:p w14:paraId="17B040A6" w14:textId="77777777" w:rsidR="00722E5C" w:rsidRPr="00033F64" w:rsidRDefault="00722E5C" w:rsidP="00722E5C">
            <w:pPr>
              <w:widowControl w:val="0"/>
              <w:autoSpaceDE w:val="0"/>
              <w:autoSpaceDN w:val="0"/>
              <w:adjustRightInd w:val="0"/>
              <w:jc w:val="right"/>
              <w:rPr>
                <w:color w:val="000000"/>
                <w:sz w:val="20"/>
                <w:szCs w:val="20"/>
              </w:rPr>
            </w:pPr>
            <w:r w:rsidRPr="00033F64">
              <w:rPr>
                <w:color w:val="000000"/>
                <w:sz w:val="20"/>
                <w:szCs w:val="20"/>
              </w:rPr>
              <w:t>Anchor</w:t>
            </w:r>
          </w:p>
        </w:tc>
        <w:tc>
          <w:tcPr>
            <w:tcW w:w="646" w:type="dxa"/>
            <w:tcBorders>
              <w:top w:val="nil"/>
              <w:left w:val="nil"/>
              <w:bottom w:val="nil"/>
              <w:right w:val="nil"/>
            </w:tcBorders>
            <w:vAlign w:val="bottom"/>
          </w:tcPr>
          <w:p w14:paraId="5FACDDF8" w14:textId="77777777" w:rsidR="00722E5C" w:rsidRDefault="00722E5C" w:rsidP="00722E5C">
            <w:pPr>
              <w:widowControl w:val="0"/>
              <w:autoSpaceDE w:val="0"/>
              <w:autoSpaceDN w:val="0"/>
              <w:adjustRightInd w:val="0"/>
              <w:jc w:val="right"/>
              <w:rPr>
                <w:color w:val="000000"/>
                <w:sz w:val="20"/>
                <w:szCs w:val="20"/>
              </w:rPr>
            </w:pPr>
            <w:r>
              <w:rPr>
                <w:color w:val="000000"/>
                <w:sz w:val="20"/>
                <w:szCs w:val="20"/>
              </w:rPr>
              <w:t>C’ty</w:t>
            </w:r>
            <w:r w:rsidRPr="00033F64">
              <w:rPr>
                <w:color w:val="000000"/>
                <w:sz w:val="20"/>
                <w:szCs w:val="20"/>
              </w:rPr>
              <w:t xml:space="preserve"> Life</w:t>
            </w:r>
          </w:p>
        </w:tc>
        <w:tc>
          <w:tcPr>
            <w:tcW w:w="647" w:type="dxa"/>
            <w:tcBorders>
              <w:top w:val="nil"/>
              <w:left w:val="nil"/>
              <w:bottom w:val="nil"/>
              <w:right w:val="nil"/>
            </w:tcBorders>
            <w:vAlign w:val="bottom"/>
          </w:tcPr>
          <w:p w14:paraId="05CC5FBE" w14:textId="77777777" w:rsidR="00722E5C" w:rsidRPr="00033F64" w:rsidRDefault="00722E5C" w:rsidP="00722E5C">
            <w:pPr>
              <w:widowControl w:val="0"/>
              <w:autoSpaceDE w:val="0"/>
              <w:autoSpaceDN w:val="0"/>
              <w:adjustRightInd w:val="0"/>
              <w:jc w:val="right"/>
              <w:rPr>
                <w:sz w:val="20"/>
                <w:szCs w:val="20"/>
              </w:rPr>
            </w:pPr>
            <w:r w:rsidRPr="00033F64">
              <w:rPr>
                <w:sz w:val="20"/>
                <w:szCs w:val="20"/>
              </w:rPr>
              <w:t>IC</w:t>
            </w:r>
            <w:r>
              <w:rPr>
                <w:sz w:val="20"/>
                <w:szCs w:val="20"/>
              </w:rPr>
              <w:t>B</w:t>
            </w:r>
            <w:r w:rsidRPr="00033F64">
              <w:rPr>
                <w:sz w:val="20"/>
                <w:szCs w:val="20"/>
              </w:rPr>
              <w:t xml:space="preserve"> </w:t>
            </w:r>
            <w:r>
              <w:rPr>
                <w:sz w:val="20"/>
                <w:szCs w:val="20"/>
              </w:rPr>
              <w:t>I</w:t>
            </w:r>
            <w:r w:rsidRPr="00033F64">
              <w:rPr>
                <w:sz w:val="20"/>
                <w:szCs w:val="20"/>
              </w:rPr>
              <w:t>NB</w:t>
            </w:r>
          </w:p>
        </w:tc>
        <w:tc>
          <w:tcPr>
            <w:tcW w:w="646" w:type="dxa"/>
            <w:tcBorders>
              <w:top w:val="nil"/>
              <w:left w:val="nil"/>
              <w:bottom w:val="nil"/>
              <w:right w:val="nil"/>
            </w:tcBorders>
            <w:vAlign w:val="bottom"/>
          </w:tcPr>
          <w:p w14:paraId="0C81BE0A" w14:textId="77777777" w:rsidR="00722E5C" w:rsidRDefault="00722E5C" w:rsidP="00722E5C">
            <w:pPr>
              <w:widowControl w:val="0"/>
              <w:autoSpaceDE w:val="0"/>
              <w:autoSpaceDN w:val="0"/>
              <w:adjustRightInd w:val="0"/>
              <w:jc w:val="right"/>
              <w:rPr>
                <w:sz w:val="20"/>
                <w:szCs w:val="20"/>
              </w:rPr>
            </w:pPr>
            <w:r>
              <w:rPr>
                <w:sz w:val="20"/>
                <w:szCs w:val="20"/>
              </w:rPr>
              <w:t>Ut’yB’ly</w:t>
            </w:r>
          </w:p>
        </w:tc>
        <w:tc>
          <w:tcPr>
            <w:tcW w:w="646" w:type="dxa"/>
            <w:tcBorders>
              <w:top w:val="nil"/>
              <w:left w:val="nil"/>
              <w:bottom w:val="nil"/>
              <w:right w:val="nil"/>
            </w:tcBorders>
            <w:vAlign w:val="bottom"/>
          </w:tcPr>
          <w:p w14:paraId="68643A15" w14:textId="77777777" w:rsidR="00722E5C" w:rsidRPr="00033F64" w:rsidRDefault="00722E5C" w:rsidP="00722E5C">
            <w:pPr>
              <w:widowControl w:val="0"/>
              <w:autoSpaceDE w:val="0"/>
              <w:autoSpaceDN w:val="0"/>
              <w:adjustRightInd w:val="0"/>
              <w:jc w:val="right"/>
              <w:rPr>
                <w:sz w:val="20"/>
                <w:szCs w:val="20"/>
              </w:rPr>
            </w:pPr>
            <w:r w:rsidRPr="00033F64">
              <w:rPr>
                <w:sz w:val="20"/>
                <w:szCs w:val="20"/>
              </w:rPr>
              <w:t>Cl</w:t>
            </w:r>
            <w:r>
              <w:rPr>
                <w:sz w:val="20"/>
                <w:szCs w:val="20"/>
              </w:rPr>
              <w:t>/</w:t>
            </w:r>
            <w:r w:rsidRPr="00033F64">
              <w:rPr>
                <w:sz w:val="20"/>
                <w:szCs w:val="20"/>
              </w:rPr>
              <w:t>e</w:t>
            </w:r>
            <w:r>
              <w:rPr>
                <w:sz w:val="20"/>
                <w:szCs w:val="20"/>
              </w:rPr>
              <w:t>r</w:t>
            </w:r>
          </w:p>
        </w:tc>
        <w:tc>
          <w:tcPr>
            <w:tcW w:w="646" w:type="dxa"/>
            <w:tcBorders>
              <w:top w:val="nil"/>
              <w:left w:val="nil"/>
              <w:bottom w:val="nil"/>
              <w:right w:val="nil"/>
            </w:tcBorders>
            <w:vAlign w:val="bottom"/>
          </w:tcPr>
          <w:p w14:paraId="68151729" w14:textId="77777777" w:rsidR="00722E5C" w:rsidRPr="00033F64" w:rsidRDefault="00722E5C" w:rsidP="00722E5C">
            <w:pPr>
              <w:widowControl w:val="0"/>
              <w:autoSpaceDE w:val="0"/>
              <w:autoSpaceDN w:val="0"/>
              <w:adjustRightInd w:val="0"/>
              <w:jc w:val="right"/>
              <w:rPr>
                <w:sz w:val="20"/>
                <w:szCs w:val="20"/>
              </w:rPr>
            </w:pPr>
            <w:r w:rsidRPr="00033F64">
              <w:rPr>
                <w:sz w:val="20"/>
                <w:szCs w:val="20"/>
              </w:rPr>
              <w:t>Gol</w:t>
            </w:r>
            <w:r>
              <w:rPr>
                <w:sz w:val="20"/>
                <w:szCs w:val="20"/>
              </w:rPr>
              <w:t>d</w:t>
            </w:r>
          </w:p>
        </w:tc>
        <w:tc>
          <w:tcPr>
            <w:tcW w:w="647" w:type="dxa"/>
            <w:tcBorders>
              <w:top w:val="nil"/>
              <w:left w:val="nil"/>
              <w:bottom w:val="nil"/>
              <w:right w:val="nil"/>
            </w:tcBorders>
            <w:vAlign w:val="bottom"/>
          </w:tcPr>
          <w:p w14:paraId="0C267071" w14:textId="77777777" w:rsidR="00722E5C" w:rsidRPr="00033F64" w:rsidRDefault="00722E5C" w:rsidP="00722E5C">
            <w:pPr>
              <w:widowControl w:val="0"/>
              <w:autoSpaceDE w:val="0"/>
              <w:autoSpaceDN w:val="0"/>
              <w:adjustRightInd w:val="0"/>
              <w:jc w:val="right"/>
              <w:rPr>
                <w:sz w:val="20"/>
                <w:szCs w:val="20"/>
              </w:rPr>
            </w:pPr>
            <w:r w:rsidRPr="00033F64">
              <w:rPr>
                <w:sz w:val="20"/>
                <w:szCs w:val="20"/>
              </w:rPr>
              <w:t>Vita</w:t>
            </w:r>
            <w:r>
              <w:rPr>
                <w:sz w:val="20"/>
                <w:szCs w:val="20"/>
              </w:rPr>
              <w:t>lite</w:t>
            </w:r>
          </w:p>
        </w:tc>
        <w:tc>
          <w:tcPr>
            <w:tcW w:w="646" w:type="dxa"/>
            <w:tcBorders>
              <w:top w:val="nil"/>
              <w:left w:val="nil"/>
              <w:bottom w:val="nil"/>
              <w:right w:val="nil"/>
            </w:tcBorders>
            <w:vAlign w:val="bottom"/>
          </w:tcPr>
          <w:p w14:paraId="39B44BC9"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Flora</w:t>
            </w:r>
          </w:p>
        </w:tc>
        <w:tc>
          <w:tcPr>
            <w:tcW w:w="646" w:type="dxa"/>
            <w:tcBorders>
              <w:top w:val="nil"/>
              <w:left w:val="nil"/>
              <w:bottom w:val="nil"/>
              <w:right w:val="nil"/>
            </w:tcBorders>
            <w:vAlign w:val="bottom"/>
          </w:tcPr>
          <w:p w14:paraId="54CC225A" w14:textId="77777777" w:rsidR="00722E5C" w:rsidRPr="00033F64" w:rsidRDefault="00722E5C" w:rsidP="00722E5C">
            <w:pPr>
              <w:widowControl w:val="0"/>
              <w:autoSpaceDE w:val="0"/>
              <w:autoSpaceDN w:val="0"/>
              <w:adjustRightInd w:val="0"/>
              <w:jc w:val="right"/>
              <w:rPr>
                <w:sz w:val="20"/>
                <w:szCs w:val="20"/>
              </w:rPr>
            </w:pPr>
            <w:r w:rsidRPr="00033F64">
              <w:rPr>
                <w:sz w:val="20"/>
                <w:szCs w:val="20"/>
              </w:rPr>
              <w:t>St</w:t>
            </w:r>
            <w:r>
              <w:rPr>
                <w:sz w:val="20"/>
                <w:szCs w:val="20"/>
              </w:rPr>
              <w:t>/r</w:t>
            </w:r>
            <w:r w:rsidRPr="00033F64">
              <w:rPr>
                <w:sz w:val="20"/>
                <w:szCs w:val="20"/>
              </w:rPr>
              <w:t>k</w:t>
            </w:r>
          </w:p>
        </w:tc>
        <w:tc>
          <w:tcPr>
            <w:tcW w:w="646" w:type="dxa"/>
            <w:tcBorders>
              <w:top w:val="nil"/>
              <w:left w:val="nil"/>
              <w:bottom w:val="nil"/>
              <w:right w:val="nil"/>
            </w:tcBorders>
            <w:vAlign w:val="bottom"/>
          </w:tcPr>
          <w:p w14:paraId="364EC9B6" w14:textId="77777777" w:rsidR="00722E5C" w:rsidRPr="00033F64" w:rsidRDefault="00722E5C" w:rsidP="00722E5C">
            <w:pPr>
              <w:widowControl w:val="0"/>
              <w:autoSpaceDE w:val="0"/>
              <w:autoSpaceDN w:val="0"/>
              <w:adjustRightInd w:val="0"/>
              <w:jc w:val="right"/>
              <w:rPr>
                <w:sz w:val="20"/>
                <w:szCs w:val="20"/>
              </w:rPr>
            </w:pPr>
            <w:r w:rsidRPr="00033F64">
              <w:rPr>
                <w:sz w:val="20"/>
                <w:szCs w:val="20"/>
              </w:rPr>
              <w:t>Bert</w:t>
            </w:r>
            <w:r>
              <w:rPr>
                <w:sz w:val="20"/>
                <w:szCs w:val="20"/>
              </w:rPr>
              <w:t>-</w:t>
            </w:r>
            <w:r w:rsidRPr="00033F64">
              <w:rPr>
                <w:sz w:val="20"/>
                <w:szCs w:val="20"/>
              </w:rPr>
              <w:t>olli</w:t>
            </w:r>
          </w:p>
        </w:tc>
        <w:tc>
          <w:tcPr>
            <w:tcW w:w="647" w:type="dxa"/>
            <w:tcBorders>
              <w:top w:val="nil"/>
              <w:left w:val="nil"/>
              <w:bottom w:val="nil"/>
              <w:right w:val="nil"/>
            </w:tcBorders>
            <w:vAlign w:val="bottom"/>
          </w:tcPr>
          <w:p w14:paraId="079D1DFE"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Will</w:t>
            </w:r>
            <w:r>
              <w:rPr>
                <w:sz w:val="20"/>
                <w:szCs w:val="20"/>
              </w:rPr>
              <w:t>-</w:t>
            </w:r>
            <w:r w:rsidRPr="00033F64">
              <w:rPr>
                <w:sz w:val="20"/>
                <w:szCs w:val="20"/>
              </w:rPr>
              <w:t>ow</w:t>
            </w:r>
          </w:p>
        </w:tc>
        <w:tc>
          <w:tcPr>
            <w:tcW w:w="647" w:type="dxa"/>
            <w:vAlign w:val="bottom"/>
          </w:tcPr>
          <w:p w14:paraId="319448B4" w14:textId="77777777" w:rsidR="00722E5C" w:rsidRPr="00033F64" w:rsidRDefault="00722E5C" w:rsidP="00722E5C">
            <w:pPr>
              <w:widowControl w:val="0"/>
              <w:autoSpaceDE w:val="0"/>
              <w:autoSpaceDN w:val="0"/>
              <w:adjustRightInd w:val="0"/>
              <w:jc w:val="center"/>
              <w:rPr>
                <w:sz w:val="20"/>
                <w:szCs w:val="20"/>
              </w:rPr>
            </w:pPr>
          </w:p>
        </w:tc>
        <w:tc>
          <w:tcPr>
            <w:tcW w:w="647" w:type="dxa"/>
            <w:vAlign w:val="bottom"/>
          </w:tcPr>
          <w:p w14:paraId="20B5FA68" w14:textId="77777777" w:rsidR="00722E5C" w:rsidRPr="00033F64" w:rsidRDefault="00722E5C" w:rsidP="00722E5C">
            <w:pPr>
              <w:widowControl w:val="0"/>
              <w:autoSpaceDE w:val="0"/>
              <w:autoSpaceDN w:val="0"/>
              <w:adjustRightInd w:val="0"/>
              <w:jc w:val="center"/>
              <w:rPr>
                <w:kern w:val="1"/>
                <w:sz w:val="20"/>
                <w:szCs w:val="20"/>
              </w:rPr>
            </w:pPr>
          </w:p>
        </w:tc>
      </w:tr>
      <w:tr w:rsidR="00722E5C" w14:paraId="2335FE86" w14:textId="77777777" w:rsidTr="00440578">
        <w:tblPrEx>
          <w:tblBorders>
            <w:top w:val="none" w:sz="0" w:space="0" w:color="auto"/>
          </w:tblBorders>
        </w:tblPrEx>
        <w:trPr>
          <w:gridAfter w:val="2"/>
          <w:wAfter w:w="1294" w:type="dxa"/>
          <w:jc w:val="center"/>
        </w:trPr>
        <w:tc>
          <w:tcPr>
            <w:tcW w:w="1984" w:type="dxa"/>
            <w:tcBorders>
              <w:top w:val="nil"/>
              <w:left w:val="nil"/>
              <w:bottom w:val="single" w:sz="4" w:space="0" w:color="auto"/>
              <w:right w:val="nil"/>
            </w:tcBorders>
          </w:tcPr>
          <w:p w14:paraId="3A2FD067" w14:textId="77777777" w:rsidR="00722E5C" w:rsidRPr="00033F64" w:rsidRDefault="00722E5C" w:rsidP="00722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kern w:val="1"/>
                <w:sz w:val="20"/>
                <w:szCs w:val="20"/>
              </w:rPr>
            </w:pPr>
            <w:r w:rsidRPr="00033F64">
              <w:rPr>
                <w:b/>
                <w:color w:val="000000"/>
                <w:sz w:val="20"/>
                <w:szCs w:val="20"/>
              </w:rPr>
              <w:t>Buyers of:</w:t>
            </w:r>
          </w:p>
        </w:tc>
        <w:tc>
          <w:tcPr>
            <w:tcW w:w="646" w:type="dxa"/>
            <w:tcBorders>
              <w:top w:val="nil"/>
              <w:left w:val="nil"/>
              <w:bottom w:val="single" w:sz="4" w:space="0" w:color="auto"/>
              <w:right w:val="nil"/>
            </w:tcBorders>
            <w:vAlign w:val="bottom"/>
          </w:tcPr>
          <w:p w14:paraId="575AC986" w14:textId="77777777" w:rsidR="00722E5C" w:rsidRPr="00033F64" w:rsidRDefault="00722E5C" w:rsidP="00722E5C">
            <w:pPr>
              <w:widowControl w:val="0"/>
              <w:autoSpaceDE w:val="0"/>
              <w:autoSpaceDN w:val="0"/>
              <w:adjustRightInd w:val="0"/>
              <w:jc w:val="right"/>
              <w:rPr>
                <w:kern w:val="1"/>
                <w:sz w:val="20"/>
                <w:szCs w:val="20"/>
              </w:rPr>
            </w:pPr>
          </w:p>
        </w:tc>
        <w:tc>
          <w:tcPr>
            <w:tcW w:w="646" w:type="dxa"/>
            <w:tcBorders>
              <w:top w:val="nil"/>
              <w:left w:val="nil"/>
              <w:bottom w:val="single" w:sz="4" w:space="0" w:color="auto"/>
              <w:right w:val="nil"/>
            </w:tcBorders>
            <w:vAlign w:val="bottom"/>
          </w:tcPr>
          <w:p w14:paraId="50F1F431" w14:textId="77777777" w:rsidR="00722E5C" w:rsidRPr="00033F64" w:rsidRDefault="00722E5C" w:rsidP="00722E5C">
            <w:pPr>
              <w:widowControl w:val="0"/>
              <w:autoSpaceDE w:val="0"/>
              <w:autoSpaceDN w:val="0"/>
              <w:adjustRightInd w:val="0"/>
              <w:jc w:val="right"/>
              <w:rPr>
                <w:kern w:val="1"/>
                <w:sz w:val="20"/>
                <w:szCs w:val="20"/>
              </w:rPr>
            </w:pPr>
          </w:p>
        </w:tc>
        <w:tc>
          <w:tcPr>
            <w:tcW w:w="646" w:type="dxa"/>
            <w:tcBorders>
              <w:top w:val="nil"/>
              <w:left w:val="nil"/>
              <w:bottom w:val="single" w:sz="4" w:space="0" w:color="auto"/>
              <w:right w:val="nil"/>
            </w:tcBorders>
            <w:vAlign w:val="bottom"/>
          </w:tcPr>
          <w:p w14:paraId="6D31E5D2" w14:textId="77777777" w:rsidR="00722E5C" w:rsidRPr="00033F64" w:rsidRDefault="00722E5C" w:rsidP="00722E5C">
            <w:pPr>
              <w:widowControl w:val="0"/>
              <w:autoSpaceDE w:val="0"/>
              <w:autoSpaceDN w:val="0"/>
              <w:adjustRightInd w:val="0"/>
              <w:jc w:val="right"/>
              <w:rPr>
                <w:kern w:val="1"/>
                <w:sz w:val="20"/>
                <w:szCs w:val="20"/>
              </w:rPr>
            </w:pPr>
          </w:p>
        </w:tc>
        <w:tc>
          <w:tcPr>
            <w:tcW w:w="647" w:type="dxa"/>
            <w:tcBorders>
              <w:top w:val="nil"/>
              <w:left w:val="nil"/>
              <w:bottom w:val="single" w:sz="4" w:space="0" w:color="auto"/>
              <w:right w:val="nil"/>
            </w:tcBorders>
            <w:vAlign w:val="bottom"/>
          </w:tcPr>
          <w:p w14:paraId="2E4AAA51" w14:textId="77777777" w:rsidR="00722E5C" w:rsidRPr="00033F64" w:rsidRDefault="00722E5C" w:rsidP="00722E5C">
            <w:pPr>
              <w:widowControl w:val="0"/>
              <w:autoSpaceDE w:val="0"/>
              <w:autoSpaceDN w:val="0"/>
              <w:adjustRightInd w:val="0"/>
              <w:jc w:val="right"/>
              <w:rPr>
                <w:kern w:val="1"/>
                <w:sz w:val="20"/>
                <w:szCs w:val="20"/>
              </w:rPr>
            </w:pPr>
          </w:p>
        </w:tc>
        <w:tc>
          <w:tcPr>
            <w:tcW w:w="646" w:type="dxa"/>
            <w:tcBorders>
              <w:top w:val="nil"/>
              <w:left w:val="nil"/>
              <w:bottom w:val="single" w:sz="4" w:space="0" w:color="auto"/>
              <w:right w:val="nil"/>
            </w:tcBorders>
            <w:vAlign w:val="bottom"/>
          </w:tcPr>
          <w:p w14:paraId="0174B72D" w14:textId="77777777" w:rsidR="00722E5C" w:rsidRPr="00033F64" w:rsidRDefault="00722E5C" w:rsidP="00722E5C">
            <w:pPr>
              <w:widowControl w:val="0"/>
              <w:autoSpaceDE w:val="0"/>
              <w:autoSpaceDN w:val="0"/>
              <w:adjustRightInd w:val="0"/>
              <w:jc w:val="right"/>
              <w:rPr>
                <w:kern w:val="1"/>
                <w:sz w:val="20"/>
                <w:szCs w:val="20"/>
              </w:rPr>
            </w:pPr>
          </w:p>
        </w:tc>
        <w:tc>
          <w:tcPr>
            <w:tcW w:w="646" w:type="dxa"/>
            <w:tcBorders>
              <w:top w:val="nil"/>
              <w:left w:val="nil"/>
              <w:bottom w:val="single" w:sz="4" w:space="0" w:color="auto"/>
              <w:right w:val="nil"/>
            </w:tcBorders>
            <w:vAlign w:val="bottom"/>
          </w:tcPr>
          <w:p w14:paraId="75A3F357" w14:textId="77777777" w:rsidR="00722E5C" w:rsidRPr="00033F64" w:rsidRDefault="00722E5C" w:rsidP="00722E5C">
            <w:pPr>
              <w:widowControl w:val="0"/>
              <w:autoSpaceDE w:val="0"/>
              <w:autoSpaceDN w:val="0"/>
              <w:adjustRightInd w:val="0"/>
              <w:jc w:val="right"/>
              <w:rPr>
                <w:kern w:val="1"/>
                <w:sz w:val="20"/>
                <w:szCs w:val="20"/>
              </w:rPr>
            </w:pPr>
          </w:p>
        </w:tc>
        <w:tc>
          <w:tcPr>
            <w:tcW w:w="646" w:type="dxa"/>
            <w:tcBorders>
              <w:top w:val="nil"/>
              <w:left w:val="nil"/>
              <w:bottom w:val="single" w:sz="4" w:space="0" w:color="auto"/>
              <w:right w:val="nil"/>
            </w:tcBorders>
            <w:vAlign w:val="bottom"/>
          </w:tcPr>
          <w:p w14:paraId="2DBB4113" w14:textId="77777777" w:rsidR="00722E5C" w:rsidRPr="00033F64" w:rsidRDefault="00722E5C" w:rsidP="00722E5C">
            <w:pPr>
              <w:widowControl w:val="0"/>
              <w:autoSpaceDE w:val="0"/>
              <w:autoSpaceDN w:val="0"/>
              <w:adjustRightInd w:val="0"/>
              <w:jc w:val="right"/>
              <w:rPr>
                <w:kern w:val="1"/>
                <w:sz w:val="20"/>
                <w:szCs w:val="20"/>
              </w:rPr>
            </w:pPr>
          </w:p>
        </w:tc>
        <w:tc>
          <w:tcPr>
            <w:tcW w:w="647" w:type="dxa"/>
            <w:tcBorders>
              <w:top w:val="nil"/>
              <w:left w:val="nil"/>
              <w:bottom w:val="single" w:sz="4" w:space="0" w:color="auto"/>
              <w:right w:val="nil"/>
            </w:tcBorders>
            <w:vAlign w:val="bottom"/>
          </w:tcPr>
          <w:p w14:paraId="03BC4DA6" w14:textId="77777777" w:rsidR="00722E5C" w:rsidRPr="00033F64" w:rsidRDefault="00722E5C" w:rsidP="00722E5C">
            <w:pPr>
              <w:widowControl w:val="0"/>
              <w:autoSpaceDE w:val="0"/>
              <w:autoSpaceDN w:val="0"/>
              <w:adjustRightInd w:val="0"/>
              <w:jc w:val="right"/>
              <w:rPr>
                <w:kern w:val="1"/>
                <w:sz w:val="20"/>
                <w:szCs w:val="20"/>
              </w:rPr>
            </w:pPr>
          </w:p>
        </w:tc>
        <w:tc>
          <w:tcPr>
            <w:tcW w:w="646" w:type="dxa"/>
            <w:tcBorders>
              <w:top w:val="nil"/>
              <w:left w:val="nil"/>
              <w:bottom w:val="single" w:sz="4" w:space="0" w:color="auto"/>
              <w:right w:val="nil"/>
            </w:tcBorders>
            <w:vAlign w:val="bottom"/>
          </w:tcPr>
          <w:p w14:paraId="69FB8150" w14:textId="77777777" w:rsidR="00722E5C" w:rsidRPr="00033F64" w:rsidRDefault="00722E5C" w:rsidP="00722E5C">
            <w:pPr>
              <w:widowControl w:val="0"/>
              <w:autoSpaceDE w:val="0"/>
              <w:autoSpaceDN w:val="0"/>
              <w:adjustRightInd w:val="0"/>
              <w:jc w:val="right"/>
              <w:rPr>
                <w:kern w:val="1"/>
                <w:sz w:val="20"/>
                <w:szCs w:val="20"/>
              </w:rPr>
            </w:pPr>
          </w:p>
        </w:tc>
        <w:tc>
          <w:tcPr>
            <w:tcW w:w="646" w:type="dxa"/>
            <w:tcBorders>
              <w:top w:val="nil"/>
              <w:left w:val="nil"/>
              <w:bottom w:val="single" w:sz="4" w:space="0" w:color="auto"/>
              <w:right w:val="nil"/>
            </w:tcBorders>
            <w:vAlign w:val="bottom"/>
          </w:tcPr>
          <w:p w14:paraId="709CDA1D" w14:textId="77777777" w:rsidR="00722E5C" w:rsidRPr="00033F64" w:rsidRDefault="00722E5C" w:rsidP="00722E5C">
            <w:pPr>
              <w:widowControl w:val="0"/>
              <w:autoSpaceDE w:val="0"/>
              <w:autoSpaceDN w:val="0"/>
              <w:adjustRightInd w:val="0"/>
              <w:jc w:val="right"/>
              <w:rPr>
                <w:sz w:val="20"/>
                <w:szCs w:val="20"/>
              </w:rPr>
            </w:pPr>
          </w:p>
        </w:tc>
        <w:tc>
          <w:tcPr>
            <w:tcW w:w="646" w:type="dxa"/>
            <w:tcBorders>
              <w:top w:val="nil"/>
              <w:left w:val="nil"/>
              <w:bottom w:val="single" w:sz="4" w:space="0" w:color="auto"/>
              <w:right w:val="nil"/>
            </w:tcBorders>
            <w:vAlign w:val="bottom"/>
          </w:tcPr>
          <w:p w14:paraId="4C6874A2" w14:textId="77777777" w:rsidR="00722E5C" w:rsidRPr="00033F64" w:rsidRDefault="00722E5C" w:rsidP="00722E5C">
            <w:pPr>
              <w:widowControl w:val="0"/>
              <w:autoSpaceDE w:val="0"/>
              <w:autoSpaceDN w:val="0"/>
              <w:adjustRightInd w:val="0"/>
              <w:jc w:val="right"/>
              <w:rPr>
                <w:sz w:val="20"/>
                <w:szCs w:val="20"/>
              </w:rPr>
            </w:pPr>
          </w:p>
        </w:tc>
        <w:tc>
          <w:tcPr>
            <w:tcW w:w="647" w:type="dxa"/>
            <w:tcBorders>
              <w:top w:val="nil"/>
              <w:left w:val="nil"/>
              <w:bottom w:val="single" w:sz="4" w:space="0" w:color="auto"/>
              <w:right w:val="nil"/>
            </w:tcBorders>
            <w:vAlign w:val="bottom"/>
          </w:tcPr>
          <w:p w14:paraId="5E4F4C7B" w14:textId="77777777" w:rsidR="00722E5C" w:rsidRPr="00033F64" w:rsidRDefault="00722E5C" w:rsidP="00722E5C">
            <w:pPr>
              <w:widowControl w:val="0"/>
              <w:autoSpaceDE w:val="0"/>
              <w:autoSpaceDN w:val="0"/>
              <w:adjustRightInd w:val="0"/>
              <w:jc w:val="right"/>
              <w:rPr>
                <w:kern w:val="1"/>
                <w:sz w:val="20"/>
                <w:szCs w:val="20"/>
              </w:rPr>
            </w:pPr>
          </w:p>
        </w:tc>
      </w:tr>
      <w:tr w:rsidR="00B67B8B" w14:paraId="1B3D9EAB" w14:textId="77777777" w:rsidTr="00440578">
        <w:tblPrEx>
          <w:tblBorders>
            <w:top w:val="none" w:sz="0" w:space="0" w:color="auto"/>
          </w:tblBorders>
        </w:tblPrEx>
        <w:trPr>
          <w:gridAfter w:val="2"/>
          <w:wAfter w:w="1294" w:type="dxa"/>
          <w:jc w:val="center"/>
        </w:trPr>
        <w:tc>
          <w:tcPr>
            <w:tcW w:w="1984" w:type="dxa"/>
            <w:tcBorders>
              <w:top w:val="single" w:sz="4" w:space="0" w:color="auto"/>
              <w:left w:val="nil"/>
              <w:bottom w:val="nil"/>
              <w:right w:val="nil"/>
            </w:tcBorders>
            <w:vAlign w:val="bottom"/>
          </w:tcPr>
          <w:p w14:paraId="69722D79" w14:textId="77777777" w:rsidR="00722E5C" w:rsidRPr="00033F64" w:rsidRDefault="00722E5C" w:rsidP="00722E5C">
            <w:pPr>
              <w:widowControl w:val="0"/>
              <w:autoSpaceDE w:val="0"/>
              <w:autoSpaceDN w:val="0"/>
              <w:adjustRightInd w:val="0"/>
              <w:ind w:left="57"/>
              <w:rPr>
                <w:sz w:val="20"/>
                <w:szCs w:val="20"/>
              </w:rPr>
            </w:pPr>
          </w:p>
        </w:tc>
        <w:tc>
          <w:tcPr>
            <w:tcW w:w="646" w:type="dxa"/>
            <w:tcBorders>
              <w:top w:val="single" w:sz="4" w:space="0" w:color="auto"/>
              <w:left w:val="nil"/>
              <w:bottom w:val="nil"/>
              <w:right w:val="nil"/>
            </w:tcBorders>
            <w:shd w:val="clear" w:color="auto" w:fill="F2F2F2" w:themeFill="background1" w:themeFillShade="F2"/>
            <w:vAlign w:val="bottom"/>
          </w:tcPr>
          <w:p w14:paraId="5C477025" w14:textId="77777777" w:rsidR="00722E5C" w:rsidRPr="00033F64" w:rsidRDefault="00722E5C" w:rsidP="00722E5C">
            <w:pPr>
              <w:widowControl w:val="0"/>
              <w:autoSpaceDE w:val="0"/>
              <w:autoSpaceDN w:val="0"/>
              <w:adjustRightInd w:val="0"/>
              <w:jc w:val="right"/>
              <w:rPr>
                <w:sz w:val="20"/>
                <w:szCs w:val="20"/>
              </w:rPr>
            </w:pPr>
          </w:p>
        </w:tc>
        <w:tc>
          <w:tcPr>
            <w:tcW w:w="646" w:type="dxa"/>
            <w:tcBorders>
              <w:top w:val="single" w:sz="4" w:space="0" w:color="auto"/>
              <w:left w:val="nil"/>
              <w:bottom w:val="nil"/>
              <w:right w:val="nil"/>
            </w:tcBorders>
            <w:shd w:val="clear" w:color="auto" w:fill="F2F2F2" w:themeFill="background1" w:themeFillShade="F2"/>
            <w:vAlign w:val="bottom"/>
          </w:tcPr>
          <w:p w14:paraId="3BA61894" w14:textId="77777777" w:rsidR="00722E5C" w:rsidRPr="00033F64" w:rsidRDefault="00722E5C" w:rsidP="00722E5C">
            <w:pPr>
              <w:widowControl w:val="0"/>
              <w:autoSpaceDE w:val="0"/>
              <w:autoSpaceDN w:val="0"/>
              <w:adjustRightInd w:val="0"/>
              <w:jc w:val="right"/>
              <w:rPr>
                <w:sz w:val="20"/>
                <w:szCs w:val="20"/>
              </w:rPr>
            </w:pPr>
          </w:p>
        </w:tc>
        <w:tc>
          <w:tcPr>
            <w:tcW w:w="646" w:type="dxa"/>
            <w:tcBorders>
              <w:top w:val="single" w:sz="4" w:space="0" w:color="auto"/>
              <w:left w:val="nil"/>
              <w:bottom w:val="nil"/>
              <w:right w:val="nil"/>
            </w:tcBorders>
            <w:shd w:val="clear" w:color="auto" w:fill="F2F2F2" w:themeFill="background1" w:themeFillShade="F2"/>
            <w:vAlign w:val="bottom"/>
          </w:tcPr>
          <w:p w14:paraId="6E09B723" w14:textId="77777777" w:rsidR="00722E5C" w:rsidRPr="00033F64" w:rsidRDefault="00722E5C" w:rsidP="00722E5C">
            <w:pPr>
              <w:widowControl w:val="0"/>
              <w:autoSpaceDE w:val="0"/>
              <w:autoSpaceDN w:val="0"/>
              <w:adjustRightInd w:val="0"/>
              <w:jc w:val="right"/>
              <w:rPr>
                <w:sz w:val="20"/>
                <w:szCs w:val="20"/>
              </w:rPr>
            </w:pPr>
          </w:p>
        </w:tc>
        <w:tc>
          <w:tcPr>
            <w:tcW w:w="647" w:type="dxa"/>
            <w:tcBorders>
              <w:top w:val="single" w:sz="4" w:space="0" w:color="auto"/>
              <w:left w:val="nil"/>
              <w:bottom w:val="nil"/>
              <w:right w:val="nil"/>
            </w:tcBorders>
            <w:shd w:val="clear" w:color="auto" w:fill="auto"/>
            <w:vAlign w:val="bottom"/>
          </w:tcPr>
          <w:p w14:paraId="05C39D99" w14:textId="77777777" w:rsidR="00722E5C" w:rsidRPr="00033F64" w:rsidRDefault="00722E5C" w:rsidP="00722E5C">
            <w:pPr>
              <w:widowControl w:val="0"/>
              <w:autoSpaceDE w:val="0"/>
              <w:autoSpaceDN w:val="0"/>
              <w:adjustRightInd w:val="0"/>
              <w:jc w:val="right"/>
              <w:rPr>
                <w:sz w:val="20"/>
                <w:szCs w:val="20"/>
              </w:rPr>
            </w:pPr>
          </w:p>
        </w:tc>
        <w:tc>
          <w:tcPr>
            <w:tcW w:w="646" w:type="dxa"/>
            <w:tcBorders>
              <w:top w:val="single" w:sz="4" w:space="0" w:color="auto"/>
              <w:left w:val="nil"/>
              <w:bottom w:val="nil"/>
              <w:right w:val="nil"/>
            </w:tcBorders>
            <w:shd w:val="clear" w:color="auto" w:fill="auto"/>
            <w:vAlign w:val="bottom"/>
          </w:tcPr>
          <w:p w14:paraId="3C81AF01" w14:textId="77777777" w:rsidR="00722E5C" w:rsidRPr="00033F64" w:rsidRDefault="00722E5C" w:rsidP="00722E5C">
            <w:pPr>
              <w:widowControl w:val="0"/>
              <w:autoSpaceDE w:val="0"/>
              <w:autoSpaceDN w:val="0"/>
              <w:adjustRightInd w:val="0"/>
              <w:jc w:val="right"/>
              <w:rPr>
                <w:sz w:val="20"/>
                <w:szCs w:val="20"/>
              </w:rPr>
            </w:pPr>
          </w:p>
        </w:tc>
        <w:tc>
          <w:tcPr>
            <w:tcW w:w="646" w:type="dxa"/>
            <w:tcBorders>
              <w:top w:val="single" w:sz="4" w:space="0" w:color="auto"/>
              <w:left w:val="nil"/>
              <w:bottom w:val="nil"/>
              <w:right w:val="nil"/>
            </w:tcBorders>
            <w:shd w:val="clear" w:color="auto" w:fill="auto"/>
            <w:vAlign w:val="bottom"/>
          </w:tcPr>
          <w:p w14:paraId="56238A96" w14:textId="77777777" w:rsidR="00722E5C" w:rsidRPr="00033F64" w:rsidRDefault="00722E5C" w:rsidP="00722E5C">
            <w:pPr>
              <w:widowControl w:val="0"/>
              <w:autoSpaceDE w:val="0"/>
              <w:autoSpaceDN w:val="0"/>
              <w:adjustRightInd w:val="0"/>
              <w:jc w:val="right"/>
              <w:rPr>
                <w:sz w:val="20"/>
                <w:szCs w:val="20"/>
              </w:rPr>
            </w:pPr>
          </w:p>
        </w:tc>
        <w:tc>
          <w:tcPr>
            <w:tcW w:w="646" w:type="dxa"/>
            <w:tcBorders>
              <w:top w:val="single" w:sz="4" w:space="0" w:color="auto"/>
              <w:left w:val="nil"/>
              <w:bottom w:val="nil"/>
              <w:right w:val="nil"/>
            </w:tcBorders>
            <w:shd w:val="clear" w:color="auto" w:fill="auto"/>
            <w:vAlign w:val="bottom"/>
          </w:tcPr>
          <w:p w14:paraId="2C887270" w14:textId="77777777" w:rsidR="00722E5C" w:rsidRPr="00033F64" w:rsidRDefault="00722E5C" w:rsidP="00722E5C">
            <w:pPr>
              <w:widowControl w:val="0"/>
              <w:autoSpaceDE w:val="0"/>
              <w:autoSpaceDN w:val="0"/>
              <w:adjustRightInd w:val="0"/>
              <w:jc w:val="right"/>
              <w:rPr>
                <w:sz w:val="20"/>
                <w:szCs w:val="20"/>
              </w:rPr>
            </w:pPr>
          </w:p>
        </w:tc>
        <w:tc>
          <w:tcPr>
            <w:tcW w:w="647" w:type="dxa"/>
            <w:tcBorders>
              <w:top w:val="single" w:sz="4" w:space="0" w:color="auto"/>
              <w:left w:val="nil"/>
              <w:bottom w:val="nil"/>
              <w:right w:val="nil"/>
            </w:tcBorders>
            <w:shd w:val="clear" w:color="auto" w:fill="auto"/>
            <w:vAlign w:val="bottom"/>
          </w:tcPr>
          <w:p w14:paraId="099AF348" w14:textId="77777777" w:rsidR="00722E5C" w:rsidRPr="00033F64" w:rsidRDefault="00722E5C" w:rsidP="00722E5C">
            <w:pPr>
              <w:widowControl w:val="0"/>
              <w:autoSpaceDE w:val="0"/>
              <w:autoSpaceDN w:val="0"/>
              <w:adjustRightInd w:val="0"/>
              <w:jc w:val="right"/>
              <w:rPr>
                <w:sz w:val="20"/>
                <w:szCs w:val="20"/>
              </w:rPr>
            </w:pPr>
          </w:p>
        </w:tc>
        <w:tc>
          <w:tcPr>
            <w:tcW w:w="646" w:type="dxa"/>
            <w:tcBorders>
              <w:top w:val="single" w:sz="4" w:space="0" w:color="auto"/>
              <w:left w:val="nil"/>
              <w:bottom w:val="nil"/>
              <w:right w:val="nil"/>
            </w:tcBorders>
            <w:shd w:val="clear" w:color="auto" w:fill="auto"/>
            <w:vAlign w:val="bottom"/>
          </w:tcPr>
          <w:p w14:paraId="1873B44D" w14:textId="77777777" w:rsidR="00722E5C" w:rsidRPr="00033F64" w:rsidRDefault="00722E5C" w:rsidP="00722E5C">
            <w:pPr>
              <w:widowControl w:val="0"/>
              <w:autoSpaceDE w:val="0"/>
              <w:autoSpaceDN w:val="0"/>
              <w:adjustRightInd w:val="0"/>
              <w:jc w:val="right"/>
              <w:rPr>
                <w:sz w:val="20"/>
                <w:szCs w:val="20"/>
              </w:rPr>
            </w:pPr>
          </w:p>
        </w:tc>
        <w:tc>
          <w:tcPr>
            <w:tcW w:w="646" w:type="dxa"/>
            <w:tcBorders>
              <w:top w:val="single" w:sz="4" w:space="0" w:color="auto"/>
              <w:left w:val="nil"/>
              <w:bottom w:val="nil"/>
              <w:right w:val="nil"/>
            </w:tcBorders>
            <w:shd w:val="clear" w:color="auto" w:fill="auto"/>
            <w:vAlign w:val="bottom"/>
          </w:tcPr>
          <w:p w14:paraId="29D8A8B8" w14:textId="77777777" w:rsidR="00722E5C" w:rsidRPr="00033F64" w:rsidRDefault="00722E5C" w:rsidP="00722E5C">
            <w:pPr>
              <w:widowControl w:val="0"/>
              <w:autoSpaceDE w:val="0"/>
              <w:autoSpaceDN w:val="0"/>
              <w:adjustRightInd w:val="0"/>
              <w:jc w:val="right"/>
              <w:rPr>
                <w:sz w:val="20"/>
                <w:szCs w:val="20"/>
              </w:rPr>
            </w:pPr>
          </w:p>
        </w:tc>
        <w:tc>
          <w:tcPr>
            <w:tcW w:w="646" w:type="dxa"/>
            <w:tcBorders>
              <w:top w:val="single" w:sz="4" w:space="0" w:color="auto"/>
              <w:left w:val="nil"/>
              <w:bottom w:val="nil"/>
              <w:right w:val="nil"/>
            </w:tcBorders>
            <w:shd w:val="clear" w:color="auto" w:fill="auto"/>
            <w:vAlign w:val="bottom"/>
          </w:tcPr>
          <w:p w14:paraId="77CD5DE7" w14:textId="77777777" w:rsidR="00722E5C" w:rsidRPr="00033F64" w:rsidRDefault="00722E5C" w:rsidP="00722E5C">
            <w:pPr>
              <w:widowControl w:val="0"/>
              <w:autoSpaceDE w:val="0"/>
              <w:autoSpaceDN w:val="0"/>
              <w:adjustRightInd w:val="0"/>
              <w:jc w:val="right"/>
              <w:rPr>
                <w:sz w:val="20"/>
                <w:szCs w:val="20"/>
              </w:rPr>
            </w:pPr>
          </w:p>
        </w:tc>
        <w:tc>
          <w:tcPr>
            <w:tcW w:w="647" w:type="dxa"/>
            <w:tcBorders>
              <w:top w:val="single" w:sz="4" w:space="0" w:color="auto"/>
              <w:left w:val="nil"/>
              <w:bottom w:val="nil"/>
              <w:right w:val="nil"/>
            </w:tcBorders>
            <w:shd w:val="clear" w:color="auto" w:fill="auto"/>
            <w:vAlign w:val="bottom"/>
          </w:tcPr>
          <w:p w14:paraId="1C985690" w14:textId="77777777" w:rsidR="00722E5C" w:rsidRPr="00033F64" w:rsidRDefault="00722E5C" w:rsidP="00722E5C">
            <w:pPr>
              <w:widowControl w:val="0"/>
              <w:autoSpaceDE w:val="0"/>
              <w:autoSpaceDN w:val="0"/>
              <w:adjustRightInd w:val="0"/>
              <w:jc w:val="right"/>
              <w:rPr>
                <w:sz w:val="20"/>
                <w:szCs w:val="20"/>
              </w:rPr>
            </w:pPr>
          </w:p>
        </w:tc>
      </w:tr>
      <w:tr w:rsidR="00B67B8B" w14:paraId="6451C3ED" w14:textId="77777777" w:rsidTr="00440578">
        <w:tblPrEx>
          <w:tblBorders>
            <w:top w:val="none" w:sz="0" w:space="0" w:color="auto"/>
          </w:tblBorders>
        </w:tblPrEx>
        <w:trPr>
          <w:gridAfter w:val="2"/>
          <w:wAfter w:w="1294" w:type="dxa"/>
          <w:jc w:val="center"/>
        </w:trPr>
        <w:tc>
          <w:tcPr>
            <w:tcW w:w="1984" w:type="dxa"/>
            <w:tcBorders>
              <w:top w:val="nil"/>
              <w:left w:val="nil"/>
              <w:right w:val="nil"/>
            </w:tcBorders>
            <w:vAlign w:val="bottom"/>
          </w:tcPr>
          <w:p w14:paraId="25FCBD1F" w14:textId="77777777" w:rsidR="00722E5C" w:rsidRPr="00033F64" w:rsidRDefault="00722E5C" w:rsidP="00722E5C">
            <w:pPr>
              <w:widowControl w:val="0"/>
              <w:autoSpaceDE w:val="0"/>
              <w:autoSpaceDN w:val="0"/>
              <w:adjustRightInd w:val="0"/>
              <w:ind w:left="57"/>
              <w:rPr>
                <w:kern w:val="1"/>
                <w:sz w:val="20"/>
                <w:szCs w:val="20"/>
              </w:rPr>
            </w:pPr>
            <w:r w:rsidRPr="00033F64">
              <w:rPr>
                <w:sz w:val="20"/>
                <w:szCs w:val="20"/>
              </w:rPr>
              <w:t xml:space="preserve">Lurpak </w:t>
            </w:r>
          </w:p>
        </w:tc>
        <w:tc>
          <w:tcPr>
            <w:tcW w:w="646" w:type="dxa"/>
            <w:tcBorders>
              <w:top w:val="nil"/>
              <w:left w:val="nil"/>
              <w:right w:val="nil"/>
            </w:tcBorders>
            <w:shd w:val="clear" w:color="auto" w:fill="F2F2F2" w:themeFill="background1" w:themeFillShade="F2"/>
            <w:vAlign w:val="bottom"/>
          </w:tcPr>
          <w:p w14:paraId="6BF00E2C"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w:t>
            </w:r>
          </w:p>
        </w:tc>
        <w:tc>
          <w:tcPr>
            <w:tcW w:w="646" w:type="dxa"/>
            <w:tcBorders>
              <w:top w:val="nil"/>
              <w:left w:val="nil"/>
              <w:right w:val="nil"/>
            </w:tcBorders>
            <w:shd w:val="clear" w:color="auto" w:fill="F2F2F2" w:themeFill="background1" w:themeFillShade="F2"/>
            <w:vAlign w:val="bottom"/>
          </w:tcPr>
          <w:p w14:paraId="735CABDC"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30</w:t>
            </w:r>
          </w:p>
        </w:tc>
        <w:tc>
          <w:tcPr>
            <w:tcW w:w="646" w:type="dxa"/>
            <w:tcBorders>
              <w:top w:val="nil"/>
              <w:left w:val="nil"/>
              <w:right w:val="nil"/>
            </w:tcBorders>
            <w:shd w:val="clear" w:color="auto" w:fill="F2F2F2" w:themeFill="background1" w:themeFillShade="F2"/>
            <w:vAlign w:val="bottom"/>
          </w:tcPr>
          <w:p w14:paraId="453A1D1E"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27</w:t>
            </w:r>
          </w:p>
        </w:tc>
        <w:tc>
          <w:tcPr>
            <w:tcW w:w="647" w:type="dxa"/>
            <w:tcBorders>
              <w:top w:val="nil"/>
              <w:left w:val="nil"/>
              <w:right w:val="nil"/>
            </w:tcBorders>
            <w:shd w:val="clear" w:color="auto" w:fill="auto"/>
            <w:vAlign w:val="bottom"/>
          </w:tcPr>
          <w:p w14:paraId="617BEE06"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21</w:t>
            </w:r>
          </w:p>
        </w:tc>
        <w:tc>
          <w:tcPr>
            <w:tcW w:w="646" w:type="dxa"/>
            <w:tcBorders>
              <w:top w:val="nil"/>
              <w:left w:val="nil"/>
              <w:right w:val="nil"/>
            </w:tcBorders>
            <w:shd w:val="clear" w:color="auto" w:fill="auto"/>
            <w:vAlign w:val="bottom"/>
          </w:tcPr>
          <w:p w14:paraId="6A674C1F"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22</w:t>
            </w:r>
          </w:p>
        </w:tc>
        <w:tc>
          <w:tcPr>
            <w:tcW w:w="646" w:type="dxa"/>
            <w:tcBorders>
              <w:top w:val="nil"/>
              <w:left w:val="nil"/>
              <w:right w:val="nil"/>
            </w:tcBorders>
            <w:shd w:val="clear" w:color="auto" w:fill="auto"/>
            <w:vAlign w:val="bottom"/>
          </w:tcPr>
          <w:p w14:paraId="17E02957"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14</w:t>
            </w:r>
          </w:p>
        </w:tc>
        <w:tc>
          <w:tcPr>
            <w:tcW w:w="646" w:type="dxa"/>
            <w:tcBorders>
              <w:top w:val="nil"/>
              <w:left w:val="nil"/>
              <w:right w:val="nil"/>
            </w:tcBorders>
            <w:shd w:val="clear" w:color="auto" w:fill="auto"/>
            <w:vAlign w:val="bottom"/>
          </w:tcPr>
          <w:p w14:paraId="0D9EAD8C"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13</w:t>
            </w:r>
          </w:p>
        </w:tc>
        <w:tc>
          <w:tcPr>
            <w:tcW w:w="647" w:type="dxa"/>
            <w:tcBorders>
              <w:top w:val="nil"/>
              <w:left w:val="nil"/>
              <w:right w:val="nil"/>
            </w:tcBorders>
            <w:shd w:val="clear" w:color="auto" w:fill="auto"/>
            <w:vAlign w:val="bottom"/>
          </w:tcPr>
          <w:p w14:paraId="1B749D84"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6</w:t>
            </w:r>
          </w:p>
        </w:tc>
        <w:tc>
          <w:tcPr>
            <w:tcW w:w="646" w:type="dxa"/>
            <w:tcBorders>
              <w:top w:val="nil"/>
              <w:left w:val="nil"/>
              <w:right w:val="nil"/>
            </w:tcBorders>
            <w:shd w:val="clear" w:color="auto" w:fill="auto"/>
            <w:vAlign w:val="bottom"/>
          </w:tcPr>
          <w:p w14:paraId="63CB99A2"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40</w:t>
            </w:r>
          </w:p>
        </w:tc>
        <w:tc>
          <w:tcPr>
            <w:tcW w:w="646" w:type="dxa"/>
            <w:tcBorders>
              <w:top w:val="nil"/>
              <w:left w:val="nil"/>
              <w:right w:val="nil"/>
            </w:tcBorders>
            <w:shd w:val="clear" w:color="auto" w:fill="auto"/>
            <w:vAlign w:val="bottom"/>
          </w:tcPr>
          <w:p w14:paraId="14D1BD09"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30</w:t>
            </w:r>
          </w:p>
        </w:tc>
        <w:tc>
          <w:tcPr>
            <w:tcW w:w="646" w:type="dxa"/>
            <w:tcBorders>
              <w:top w:val="nil"/>
              <w:left w:val="nil"/>
              <w:right w:val="nil"/>
            </w:tcBorders>
            <w:shd w:val="clear" w:color="auto" w:fill="auto"/>
            <w:vAlign w:val="bottom"/>
          </w:tcPr>
          <w:p w14:paraId="4D4DCC4C"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17</w:t>
            </w:r>
          </w:p>
        </w:tc>
        <w:tc>
          <w:tcPr>
            <w:tcW w:w="647" w:type="dxa"/>
            <w:tcBorders>
              <w:top w:val="nil"/>
              <w:left w:val="nil"/>
              <w:right w:val="nil"/>
            </w:tcBorders>
            <w:shd w:val="clear" w:color="auto" w:fill="auto"/>
            <w:vAlign w:val="bottom"/>
          </w:tcPr>
          <w:p w14:paraId="3CA36B22"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7</w:t>
            </w:r>
          </w:p>
        </w:tc>
      </w:tr>
      <w:tr w:rsidR="00B67B8B" w14:paraId="451BF65C" w14:textId="77777777" w:rsidTr="00440578">
        <w:tblPrEx>
          <w:tblBorders>
            <w:top w:val="none" w:sz="0" w:space="0" w:color="auto"/>
          </w:tblBorders>
        </w:tblPrEx>
        <w:trPr>
          <w:gridAfter w:val="2"/>
          <w:wAfter w:w="1294" w:type="dxa"/>
          <w:jc w:val="center"/>
        </w:trPr>
        <w:tc>
          <w:tcPr>
            <w:tcW w:w="1984" w:type="dxa"/>
            <w:tcBorders>
              <w:left w:val="nil"/>
              <w:right w:val="nil"/>
            </w:tcBorders>
            <w:vAlign w:val="bottom"/>
          </w:tcPr>
          <w:p w14:paraId="2FD64D5D" w14:textId="77777777" w:rsidR="00722E5C" w:rsidRPr="00033F64" w:rsidRDefault="00722E5C" w:rsidP="00722E5C">
            <w:pPr>
              <w:widowControl w:val="0"/>
              <w:autoSpaceDE w:val="0"/>
              <w:autoSpaceDN w:val="0"/>
              <w:adjustRightInd w:val="0"/>
              <w:ind w:left="57"/>
              <w:rPr>
                <w:kern w:val="1"/>
                <w:sz w:val="20"/>
                <w:szCs w:val="20"/>
              </w:rPr>
            </w:pPr>
            <w:r w:rsidRPr="00033F64">
              <w:rPr>
                <w:sz w:val="20"/>
                <w:szCs w:val="20"/>
              </w:rPr>
              <w:t>Anchor</w:t>
            </w:r>
          </w:p>
        </w:tc>
        <w:tc>
          <w:tcPr>
            <w:tcW w:w="646" w:type="dxa"/>
            <w:tcBorders>
              <w:left w:val="nil"/>
              <w:right w:val="nil"/>
            </w:tcBorders>
            <w:shd w:val="clear" w:color="auto" w:fill="F2F2F2" w:themeFill="background1" w:themeFillShade="F2"/>
            <w:vAlign w:val="bottom"/>
          </w:tcPr>
          <w:p w14:paraId="4B62C2B3"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33</w:t>
            </w:r>
          </w:p>
        </w:tc>
        <w:tc>
          <w:tcPr>
            <w:tcW w:w="646" w:type="dxa"/>
            <w:tcBorders>
              <w:left w:val="nil"/>
              <w:right w:val="nil"/>
            </w:tcBorders>
            <w:shd w:val="clear" w:color="auto" w:fill="F2F2F2" w:themeFill="background1" w:themeFillShade="F2"/>
            <w:vAlign w:val="bottom"/>
          </w:tcPr>
          <w:p w14:paraId="26D425AB"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w:t>
            </w:r>
          </w:p>
        </w:tc>
        <w:tc>
          <w:tcPr>
            <w:tcW w:w="646" w:type="dxa"/>
            <w:tcBorders>
              <w:left w:val="nil"/>
              <w:right w:val="nil"/>
            </w:tcBorders>
            <w:shd w:val="clear" w:color="auto" w:fill="F2F2F2" w:themeFill="background1" w:themeFillShade="F2"/>
            <w:vAlign w:val="bottom"/>
          </w:tcPr>
          <w:p w14:paraId="33B5E664"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35</w:t>
            </w:r>
          </w:p>
        </w:tc>
        <w:tc>
          <w:tcPr>
            <w:tcW w:w="647" w:type="dxa"/>
            <w:tcBorders>
              <w:left w:val="nil"/>
              <w:right w:val="nil"/>
            </w:tcBorders>
            <w:shd w:val="clear" w:color="auto" w:fill="auto"/>
            <w:vAlign w:val="bottom"/>
          </w:tcPr>
          <w:p w14:paraId="645458ED"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25</w:t>
            </w:r>
          </w:p>
        </w:tc>
        <w:tc>
          <w:tcPr>
            <w:tcW w:w="646" w:type="dxa"/>
            <w:tcBorders>
              <w:left w:val="nil"/>
              <w:right w:val="nil"/>
            </w:tcBorders>
            <w:shd w:val="clear" w:color="auto" w:fill="auto"/>
            <w:vAlign w:val="bottom"/>
          </w:tcPr>
          <w:p w14:paraId="12E46AB2"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23</w:t>
            </w:r>
          </w:p>
        </w:tc>
        <w:tc>
          <w:tcPr>
            <w:tcW w:w="646" w:type="dxa"/>
            <w:tcBorders>
              <w:left w:val="nil"/>
              <w:right w:val="nil"/>
            </w:tcBorders>
            <w:shd w:val="clear" w:color="auto" w:fill="auto"/>
            <w:vAlign w:val="bottom"/>
          </w:tcPr>
          <w:p w14:paraId="5FDDE609"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18</w:t>
            </w:r>
          </w:p>
        </w:tc>
        <w:tc>
          <w:tcPr>
            <w:tcW w:w="646" w:type="dxa"/>
            <w:tcBorders>
              <w:left w:val="nil"/>
              <w:right w:val="nil"/>
            </w:tcBorders>
            <w:shd w:val="clear" w:color="auto" w:fill="auto"/>
            <w:vAlign w:val="bottom"/>
          </w:tcPr>
          <w:p w14:paraId="5ECECA06"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15</w:t>
            </w:r>
          </w:p>
        </w:tc>
        <w:tc>
          <w:tcPr>
            <w:tcW w:w="647" w:type="dxa"/>
            <w:tcBorders>
              <w:left w:val="nil"/>
              <w:right w:val="nil"/>
            </w:tcBorders>
            <w:shd w:val="clear" w:color="auto" w:fill="auto"/>
            <w:vAlign w:val="bottom"/>
          </w:tcPr>
          <w:p w14:paraId="3E293174"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6</w:t>
            </w:r>
          </w:p>
        </w:tc>
        <w:tc>
          <w:tcPr>
            <w:tcW w:w="646" w:type="dxa"/>
            <w:tcBorders>
              <w:left w:val="nil"/>
              <w:right w:val="nil"/>
            </w:tcBorders>
            <w:shd w:val="clear" w:color="auto" w:fill="auto"/>
            <w:vAlign w:val="bottom"/>
          </w:tcPr>
          <w:p w14:paraId="4D5B10D9"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40</w:t>
            </w:r>
          </w:p>
        </w:tc>
        <w:tc>
          <w:tcPr>
            <w:tcW w:w="646" w:type="dxa"/>
            <w:tcBorders>
              <w:left w:val="nil"/>
              <w:right w:val="nil"/>
            </w:tcBorders>
            <w:shd w:val="clear" w:color="auto" w:fill="auto"/>
            <w:vAlign w:val="bottom"/>
          </w:tcPr>
          <w:p w14:paraId="39A22947"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30</w:t>
            </w:r>
          </w:p>
        </w:tc>
        <w:tc>
          <w:tcPr>
            <w:tcW w:w="646" w:type="dxa"/>
            <w:tcBorders>
              <w:left w:val="nil"/>
              <w:right w:val="nil"/>
            </w:tcBorders>
            <w:shd w:val="clear" w:color="auto" w:fill="auto"/>
            <w:vAlign w:val="bottom"/>
          </w:tcPr>
          <w:p w14:paraId="1D165778"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19</w:t>
            </w:r>
          </w:p>
        </w:tc>
        <w:tc>
          <w:tcPr>
            <w:tcW w:w="647" w:type="dxa"/>
            <w:tcBorders>
              <w:left w:val="nil"/>
              <w:right w:val="nil"/>
            </w:tcBorders>
            <w:shd w:val="clear" w:color="auto" w:fill="auto"/>
            <w:vAlign w:val="bottom"/>
          </w:tcPr>
          <w:p w14:paraId="7D2665CA"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9</w:t>
            </w:r>
          </w:p>
        </w:tc>
      </w:tr>
      <w:tr w:rsidR="00B67B8B" w14:paraId="6821689A" w14:textId="77777777" w:rsidTr="00440578">
        <w:tblPrEx>
          <w:tblBorders>
            <w:top w:val="none" w:sz="0" w:space="0" w:color="auto"/>
          </w:tblBorders>
        </w:tblPrEx>
        <w:trPr>
          <w:gridAfter w:val="2"/>
          <w:wAfter w:w="1294" w:type="dxa"/>
          <w:jc w:val="center"/>
        </w:trPr>
        <w:tc>
          <w:tcPr>
            <w:tcW w:w="1984" w:type="dxa"/>
            <w:tcBorders>
              <w:left w:val="nil"/>
              <w:bottom w:val="nil"/>
              <w:right w:val="nil"/>
            </w:tcBorders>
            <w:vAlign w:val="bottom"/>
          </w:tcPr>
          <w:p w14:paraId="5CC70A8D" w14:textId="77777777" w:rsidR="00722E5C" w:rsidRPr="00033F64" w:rsidRDefault="00722E5C" w:rsidP="00722E5C">
            <w:pPr>
              <w:widowControl w:val="0"/>
              <w:autoSpaceDE w:val="0"/>
              <w:autoSpaceDN w:val="0"/>
              <w:adjustRightInd w:val="0"/>
              <w:ind w:left="57"/>
              <w:rPr>
                <w:kern w:val="1"/>
                <w:sz w:val="20"/>
                <w:szCs w:val="20"/>
              </w:rPr>
            </w:pPr>
            <w:r w:rsidRPr="00033F64">
              <w:rPr>
                <w:sz w:val="20"/>
                <w:szCs w:val="20"/>
              </w:rPr>
              <w:t>Country Life</w:t>
            </w:r>
          </w:p>
        </w:tc>
        <w:tc>
          <w:tcPr>
            <w:tcW w:w="646" w:type="dxa"/>
            <w:tcBorders>
              <w:left w:val="nil"/>
              <w:bottom w:val="nil"/>
              <w:right w:val="nil"/>
            </w:tcBorders>
            <w:shd w:val="clear" w:color="auto" w:fill="F2F2F2" w:themeFill="background1" w:themeFillShade="F2"/>
            <w:vAlign w:val="bottom"/>
          </w:tcPr>
          <w:p w14:paraId="5AECA8F9"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36</w:t>
            </w:r>
          </w:p>
        </w:tc>
        <w:tc>
          <w:tcPr>
            <w:tcW w:w="646" w:type="dxa"/>
            <w:tcBorders>
              <w:left w:val="nil"/>
              <w:bottom w:val="nil"/>
              <w:right w:val="nil"/>
            </w:tcBorders>
            <w:shd w:val="clear" w:color="auto" w:fill="F2F2F2" w:themeFill="background1" w:themeFillShade="F2"/>
            <w:vAlign w:val="bottom"/>
          </w:tcPr>
          <w:p w14:paraId="441B4BEC"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42</w:t>
            </w:r>
          </w:p>
        </w:tc>
        <w:tc>
          <w:tcPr>
            <w:tcW w:w="646" w:type="dxa"/>
            <w:tcBorders>
              <w:left w:val="nil"/>
              <w:bottom w:val="nil"/>
              <w:right w:val="nil"/>
            </w:tcBorders>
            <w:shd w:val="clear" w:color="auto" w:fill="F2F2F2" w:themeFill="background1" w:themeFillShade="F2"/>
            <w:vAlign w:val="bottom"/>
          </w:tcPr>
          <w:p w14:paraId="663C730D"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w:t>
            </w:r>
          </w:p>
        </w:tc>
        <w:tc>
          <w:tcPr>
            <w:tcW w:w="647" w:type="dxa"/>
            <w:tcBorders>
              <w:left w:val="nil"/>
              <w:bottom w:val="nil"/>
              <w:right w:val="nil"/>
            </w:tcBorders>
            <w:shd w:val="clear" w:color="auto" w:fill="auto"/>
            <w:vAlign w:val="bottom"/>
          </w:tcPr>
          <w:p w14:paraId="38169D27"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22</w:t>
            </w:r>
          </w:p>
        </w:tc>
        <w:tc>
          <w:tcPr>
            <w:tcW w:w="646" w:type="dxa"/>
            <w:tcBorders>
              <w:left w:val="nil"/>
              <w:bottom w:val="nil"/>
              <w:right w:val="nil"/>
            </w:tcBorders>
            <w:shd w:val="clear" w:color="auto" w:fill="auto"/>
            <w:vAlign w:val="bottom"/>
          </w:tcPr>
          <w:p w14:paraId="5697BC6E"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20</w:t>
            </w:r>
          </w:p>
        </w:tc>
        <w:tc>
          <w:tcPr>
            <w:tcW w:w="646" w:type="dxa"/>
            <w:tcBorders>
              <w:left w:val="nil"/>
              <w:bottom w:val="nil"/>
              <w:right w:val="nil"/>
            </w:tcBorders>
            <w:shd w:val="clear" w:color="auto" w:fill="auto"/>
            <w:vAlign w:val="bottom"/>
          </w:tcPr>
          <w:p w14:paraId="1624AAF2"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16</w:t>
            </w:r>
          </w:p>
        </w:tc>
        <w:tc>
          <w:tcPr>
            <w:tcW w:w="646" w:type="dxa"/>
            <w:tcBorders>
              <w:left w:val="nil"/>
              <w:bottom w:val="nil"/>
              <w:right w:val="nil"/>
            </w:tcBorders>
            <w:shd w:val="clear" w:color="auto" w:fill="auto"/>
            <w:vAlign w:val="bottom"/>
          </w:tcPr>
          <w:p w14:paraId="17BEB75F"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13</w:t>
            </w:r>
          </w:p>
        </w:tc>
        <w:tc>
          <w:tcPr>
            <w:tcW w:w="647" w:type="dxa"/>
            <w:tcBorders>
              <w:left w:val="nil"/>
              <w:bottom w:val="nil"/>
              <w:right w:val="nil"/>
            </w:tcBorders>
            <w:shd w:val="clear" w:color="auto" w:fill="auto"/>
            <w:vAlign w:val="bottom"/>
          </w:tcPr>
          <w:p w14:paraId="0A8D667F"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6</w:t>
            </w:r>
          </w:p>
        </w:tc>
        <w:tc>
          <w:tcPr>
            <w:tcW w:w="646" w:type="dxa"/>
            <w:tcBorders>
              <w:left w:val="nil"/>
              <w:right w:val="nil"/>
            </w:tcBorders>
            <w:shd w:val="clear" w:color="auto" w:fill="auto"/>
            <w:vAlign w:val="bottom"/>
          </w:tcPr>
          <w:p w14:paraId="6DA1C557"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40</w:t>
            </w:r>
          </w:p>
        </w:tc>
        <w:tc>
          <w:tcPr>
            <w:tcW w:w="646" w:type="dxa"/>
            <w:tcBorders>
              <w:left w:val="nil"/>
              <w:right w:val="nil"/>
            </w:tcBorders>
            <w:shd w:val="clear" w:color="auto" w:fill="auto"/>
            <w:vAlign w:val="bottom"/>
          </w:tcPr>
          <w:p w14:paraId="721C8513"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36</w:t>
            </w:r>
          </w:p>
        </w:tc>
        <w:tc>
          <w:tcPr>
            <w:tcW w:w="646" w:type="dxa"/>
            <w:tcBorders>
              <w:left w:val="nil"/>
              <w:right w:val="nil"/>
            </w:tcBorders>
            <w:shd w:val="clear" w:color="auto" w:fill="auto"/>
            <w:vAlign w:val="bottom"/>
          </w:tcPr>
          <w:p w14:paraId="4B2A2E73"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19</w:t>
            </w:r>
          </w:p>
        </w:tc>
        <w:tc>
          <w:tcPr>
            <w:tcW w:w="647" w:type="dxa"/>
            <w:tcBorders>
              <w:left w:val="nil"/>
              <w:right w:val="nil"/>
            </w:tcBorders>
            <w:shd w:val="clear" w:color="auto" w:fill="auto"/>
            <w:vAlign w:val="bottom"/>
          </w:tcPr>
          <w:p w14:paraId="2C44D80E"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14</w:t>
            </w:r>
          </w:p>
        </w:tc>
      </w:tr>
      <w:tr w:rsidR="00920CC7" w14:paraId="1D9BAC62" w14:textId="77777777" w:rsidTr="00722E5C">
        <w:tblPrEx>
          <w:tblBorders>
            <w:top w:val="none" w:sz="0" w:space="0" w:color="auto"/>
          </w:tblBorders>
        </w:tblPrEx>
        <w:trPr>
          <w:gridAfter w:val="2"/>
          <w:wAfter w:w="1294" w:type="dxa"/>
          <w:jc w:val="center"/>
        </w:trPr>
        <w:tc>
          <w:tcPr>
            <w:tcW w:w="1984" w:type="dxa"/>
            <w:tcBorders>
              <w:top w:val="nil"/>
              <w:left w:val="nil"/>
              <w:bottom w:val="nil"/>
              <w:right w:val="nil"/>
            </w:tcBorders>
            <w:vAlign w:val="bottom"/>
          </w:tcPr>
          <w:p w14:paraId="64B6BBC7" w14:textId="77777777" w:rsidR="00722E5C" w:rsidRPr="00033F64" w:rsidRDefault="00722E5C" w:rsidP="00722E5C">
            <w:pPr>
              <w:widowControl w:val="0"/>
              <w:autoSpaceDE w:val="0"/>
              <w:autoSpaceDN w:val="0"/>
              <w:adjustRightInd w:val="0"/>
              <w:ind w:left="57"/>
              <w:rPr>
                <w:kern w:val="1"/>
                <w:sz w:val="20"/>
                <w:szCs w:val="20"/>
              </w:rPr>
            </w:pPr>
            <w:r w:rsidRPr="00033F64">
              <w:rPr>
                <w:sz w:val="20"/>
                <w:szCs w:val="20"/>
              </w:rPr>
              <w:t>I C B I N B</w:t>
            </w:r>
          </w:p>
        </w:tc>
        <w:tc>
          <w:tcPr>
            <w:tcW w:w="646" w:type="dxa"/>
            <w:tcBorders>
              <w:top w:val="nil"/>
              <w:left w:val="nil"/>
              <w:right w:val="nil"/>
            </w:tcBorders>
            <w:shd w:val="clear" w:color="auto" w:fill="auto"/>
            <w:vAlign w:val="bottom"/>
          </w:tcPr>
          <w:p w14:paraId="514EA758"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23</w:t>
            </w:r>
          </w:p>
        </w:tc>
        <w:tc>
          <w:tcPr>
            <w:tcW w:w="646" w:type="dxa"/>
            <w:tcBorders>
              <w:top w:val="nil"/>
              <w:left w:val="nil"/>
              <w:right w:val="nil"/>
            </w:tcBorders>
            <w:shd w:val="clear" w:color="auto" w:fill="auto"/>
            <w:vAlign w:val="bottom"/>
          </w:tcPr>
          <w:p w14:paraId="5176C3F1"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25</w:t>
            </w:r>
          </w:p>
        </w:tc>
        <w:tc>
          <w:tcPr>
            <w:tcW w:w="646" w:type="dxa"/>
            <w:tcBorders>
              <w:top w:val="nil"/>
              <w:left w:val="nil"/>
              <w:right w:val="nil"/>
            </w:tcBorders>
            <w:shd w:val="clear" w:color="auto" w:fill="auto"/>
            <w:vAlign w:val="bottom"/>
          </w:tcPr>
          <w:p w14:paraId="5447E0BF"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18</w:t>
            </w:r>
          </w:p>
        </w:tc>
        <w:tc>
          <w:tcPr>
            <w:tcW w:w="647" w:type="dxa"/>
            <w:tcBorders>
              <w:top w:val="nil"/>
              <w:left w:val="nil"/>
              <w:right w:val="nil"/>
            </w:tcBorders>
            <w:shd w:val="clear" w:color="auto" w:fill="D9D9D9" w:themeFill="background1" w:themeFillShade="D9"/>
            <w:vAlign w:val="bottom"/>
          </w:tcPr>
          <w:p w14:paraId="6485E450"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w:t>
            </w:r>
          </w:p>
        </w:tc>
        <w:tc>
          <w:tcPr>
            <w:tcW w:w="646" w:type="dxa"/>
            <w:tcBorders>
              <w:top w:val="nil"/>
              <w:left w:val="nil"/>
              <w:right w:val="nil"/>
            </w:tcBorders>
            <w:shd w:val="clear" w:color="auto" w:fill="D9D9D9" w:themeFill="background1" w:themeFillShade="D9"/>
            <w:vAlign w:val="bottom"/>
          </w:tcPr>
          <w:p w14:paraId="7F94C499"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56</w:t>
            </w:r>
          </w:p>
        </w:tc>
        <w:tc>
          <w:tcPr>
            <w:tcW w:w="646" w:type="dxa"/>
            <w:tcBorders>
              <w:top w:val="nil"/>
              <w:left w:val="nil"/>
              <w:right w:val="nil"/>
            </w:tcBorders>
            <w:shd w:val="clear" w:color="auto" w:fill="D9D9D9" w:themeFill="background1" w:themeFillShade="D9"/>
            <w:vAlign w:val="bottom"/>
          </w:tcPr>
          <w:p w14:paraId="0947253C"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32</w:t>
            </w:r>
          </w:p>
        </w:tc>
        <w:tc>
          <w:tcPr>
            <w:tcW w:w="646" w:type="dxa"/>
            <w:tcBorders>
              <w:top w:val="nil"/>
              <w:left w:val="nil"/>
              <w:right w:val="nil"/>
            </w:tcBorders>
            <w:shd w:val="clear" w:color="auto" w:fill="D9D9D9" w:themeFill="background1" w:themeFillShade="D9"/>
            <w:vAlign w:val="bottom"/>
          </w:tcPr>
          <w:p w14:paraId="096C27D2"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27</w:t>
            </w:r>
          </w:p>
        </w:tc>
        <w:tc>
          <w:tcPr>
            <w:tcW w:w="647" w:type="dxa"/>
            <w:tcBorders>
              <w:top w:val="nil"/>
              <w:left w:val="nil"/>
              <w:right w:val="nil"/>
            </w:tcBorders>
            <w:shd w:val="clear" w:color="auto" w:fill="D9D9D9" w:themeFill="background1" w:themeFillShade="D9"/>
            <w:vAlign w:val="bottom"/>
          </w:tcPr>
          <w:p w14:paraId="15405F89"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11</w:t>
            </w:r>
          </w:p>
        </w:tc>
        <w:tc>
          <w:tcPr>
            <w:tcW w:w="646" w:type="dxa"/>
            <w:tcBorders>
              <w:left w:val="nil"/>
              <w:right w:val="nil"/>
            </w:tcBorders>
            <w:shd w:val="clear" w:color="auto" w:fill="auto"/>
            <w:vAlign w:val="bottom"/>
          </w:tcPr>
          <w:p w14:paraId="619DBFBE"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35</w:t>
            </w:r>
          </w:p>
        </w:tc>
        <w:tc>
          <w:tcPr>
            <w:tcW w:w="646" w:type="dxa"/>
            <w:tcBorders>
              <w:left w:val="nil"/>
              <w:right w:val="nil"/>
            </w:tcBorders>
            <w:shd w:val="clear" w:color="auto" w:fill="auto"/>
            <w:vAlign w:val="bottom"/>
          </w:tcPr>
          <w:p w14:paraId="7BD1C5F8"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29</w:t>
            </w:r>
          </w:p>
        </w:tc>
        <w:tc>
          <w:tcPr>
            <w:tcW w:w="646" w:type="dxa"/>
            <w:tcBorders>
              <w:left w:val="nil"/>
              <w:right w:val="nil"/>
            </w:tcBorders>
            <w:shd w:val="clear" w:color="auto" w:fill="auto"/>
            <w:vAlign w:val="bottom"/>
          </w:tcPr>
          <w:p w14:paraId="39A4B527"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11</w:t>
            </w:r>
          </w:p>
        </w:tc>
        <w:tc>
          <w:tcPr>
            <w:tcW w:w="647" w:type="dxa"/>
            <w:tcBorders>
              <w:left w:val="nil"/>
              <w:right w:val="nil"/>
            </w:tcBorders>
            <w:shd w:val="clear" w:color="auto" w:fill="auto"/>
            <w:vAlign w:val="bottom"/>
          </w:tcPr>
          <w:p w14:paraId="7EC66EF5"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11</w:t>
            </w:r>
          </w:p>
        </w:tc>
      </w:tr>
      <w:tr w:rsidR="00920CC7" w:rsidRPr="00261B93" w14:paraId="055CD1A0" w14:textId="77777777" w:rsidTr="00722E5C">
        <w:tblPrEx>
          <w:tblBorders>
            <w:top w:val="none" w:sz="0" w:space="0" w:color="auto"/>
          </w:tblBorders>
        </w:tblPrEx>
        <w:trPr>
          <w:gridAfter w:val="2"/>
          <w:wAfter w:w="1294" w:type="dxa"/>
          <w:jc w:val="center"/>
        </w:trPr>
        <w:tc>
          <w:tcPr>
            <w:tcW w:w="1984" w:type="dxa"/>
            <w:tcBorders>
              <w:left w:val="nil"/>
              <w:bottom w:val="nil"/>
              <w:right w:val="nil"/>
            </w:tcBorders>
            <w:vAlign w:val="bottom"/>
          </w:tcPr>
          <w:p w14:paraId="7830FD58" w14:textId="77777777" w:rsidR="00722E5C" w:rsidRPr="00033F64" w:rsidRDefault="00722E5C" w:rsidP="00722E5C">
            <w:pPr>
              <w:widowControl w:val="0"/>
              <w:autoSpaceDE w:val="0"/>
              <w:autoSpaceDN w:val="0"/>
              <w:adjustRightInd w:val="0"/>
              <w:ind w:left="57"/>
              <w:rPr>
                <w:sz w:val="20"/>
                <w:szCs w:val="20"/>
              </w:rPr>
            </w:pPr>
            <w:r w:rsidRPr="00033F64">
              <w:rPr>
                <w:sz w:val="20"/>
                <w:szCs w:val="20"/>
              </w:rPr>
              <w:t>Utterly Butterly</w:t>
            </w:r>
          </w:p>
        </w:tc>
        <w:tc>
          <w:tcPr>
            <w:tcW w:w="646" w:type="dxa"/>
            <w:tcBorders>
              <w:left w:val="nil"/>
              <w:bottom w:val="nil"/>
              <w:right w:val="nil"/>
            </w:tcBorders>
            <w:shd w:val="clear" w:color="auto" w:fill="auto"/>
            <w:vAlign w:val="bottom"/>
          </w:tcPr>
          <w:p w14:paraId="0A741FB2" w14:textId="77777777" w:rsidR="00722E5C" w:rsidRPr="00033F64" w:rsidRDefault="00722E5C" w:rsidP="00722E5C">
            <w:pPr>
              <w:widowControl w:val="0"/>
              <w:autoSpaceDE w:val="0"/>
              <w:autoSpaceDN w:val="0"/>
              <w:adjustRightInd w:val="0"/>
              <w:ind w:left="57"/>
              <w:jc w:val="right"/>
              <w:rPr>
                <w:sz w:val="20"/>
                <w:szCs w:val="20"/>
              </w:rPr>
            </w:pPr>
            <w:r w:rsidRPr="00033F64">
              <w:rPr>
                <w:sz w:val="20"/>
                <w:szCs w:val="20"/>
              </w:rPr>
              <w:t>24</w:t>
            </w:r>
          </w:p>
        </w:tc>
        <w:tc>
          <w:tcPr>
            <w:tcW w:w="646" w:type="dxa"/>
            <w:tcBorders>
              <w:left w:val="nil"/>
              <w:bottom w:val="nil"/>
              <w:right w:val="nil"/>
            </w:tcBorders>
            <w:shd w:val="clear" w:color="auto" w:fill="auto"/>
            <w:vAlign w:val="bottom"/>
          </w:tcPr>
          <w:p w14:paraId="23F0938F" w14:textId="77777777" w:rsidR="00722E5C" w:rsidRPr="00033F64" w:rsidRDefault="00722E5C" w:rsidP="00722E5C">
            <w:pPr>
              <w:widowControl w:val="0"/>
              <w:autoSpaceDE w:val="0"/>
              <w:autoSpaceDN w:val="0"/>
              <w:adjustRightInd w:val="0"/>
              <w:ind w:left="57"/>
              <w:jc w:val="right"/>
              <w:rPr>
                <w:sz w:val="20"/>
                <w:szCs w:val="20"/>
              </w:rPr>
            </w:pPr>
            <w:r w:rsidRPr="00033F64">
              <w:rPr>
                <w:sz w:val="20"/>
                <w:szCs w:val="20"/>
              </w:rPr>
              <w:t>24</w:t>
            </w:r>
          </w:p>
        </w:tc>
        <w:tc>
          <w:tcPr>
            <w:tcW w:w="646" w:type="dxa"/>
            <w:tcBorders>
              <w:left w:val="nil"/>
              <w:bottom w:val="nil"/>
              <w:right w:val="nil"/>
            </w:tcBorders>
            <w:shd w:val="clear" w:color="auto" w:fill="auto"/>
            <w:vAlign w:val="bottom"/>
          </w:tcPr>
          <w:p w14:paraId="5F5988A6" w14:textId="77777777" w:rsidR="00722E5C" w:rsidRPr="00033F64" w:rsidRDefault="00722E5C" w:rsidP="00722E5C">
            <w:pPr>
              <w:widowControl w:val="0"/>
              <w:autoSpaceDE w:val="0"/>
              <w:autoSpaceDN w:val="0"/>
              <w:adjustRightInd w:val="0"/>
              <w:ind w:left="57"/>
              <w:jc w:val="right"/>
              <w:rPr>
                <w:sz w:val="20"/>
                <w:szCs w:val="20"/>
              </w:rPr>
            </w:pPr>
            <w:r w:rsidRPr="00033F64">
              <w:rPr>
                <w:sz w:val="20"/>
                <w:szCs w:val="20"/>
              </w:rPr>
              <w:t>17</w:t>
            </w:r>
          </w:p>
        </w:tc>
        <w:tc>
          <w:tcPr>
            <w:tcW w:w="647" w:type="dxa"/>
            <w:tcBorders>
              <w:left w:val="nil"/>
              <w:bottom w:val="nil"/>
              <w:right w:val="nil"/>
            </w:tcBorders>
            <w:shd w:val="clear" w:color="auto" w:fill="D9D9D9" w:themeFill="background1" w:themeFillShade="D9"/>
            <w:vAlign w:val="bottom"/>
          </w:tcPr>
          <w:p w14:paraId="08DC2EE3" w14:textId="77777777" w:rsidR="00722E5C" w:rsidRPr="00677554" w:rsidRDefault="00722E5C" w:rsidP="00722E5C">
            <w:pPr>
              <w:widowControl w:val="0"/>
              <w:autoSpaceDE w:val="0"/>
              <w:autoSpaceDN w:val="0"/>
              <w:adjustRightInd w:val="0"/>
              <w:jc w:val="right"/>
              <w:rPr>
                <w:sz w:val="20"/>
                <w:szCs w:val="20"/>
              </w:rPr>
            </w:pPr>
            <w:r w:rsidRPr="00677554">
              <w:rPr>
                <w:sz w:val="20"/>
                <w:szCs w:val="20"/>
              </w:rPr>
              <w:t>57</w:t>
            </w:r>
          </w:p>
        </w:tc>
        <w:tc>
          <w:tcPr>
            <w:tcW w:w="646" w:type="dxa"/>
            <w:tcBorders>
              <w:left w:val="nil"/>
              <w:bottom w:val="nil"/>
              <w:right w:val="nil"/>
            </w:tcBorders>
            <w:shd w:val="clear" w:color="auto" w:fill="D9D9D9" w:themeFill="background1" w:themeFillShade="D9"/>
            <w:vAlign w:val="bottom"/>
          </w:tcPr>
          <w:p w14:paraId="01FF6122" w14:textId="77777777" w:rsidR="00722E5C" w:rsidRPr="00677554" w:rsidRDefault="00722E5C" w:rsidP="00722E5C">
            <w:pPr>
              <w:widowControl w:val="0"/>
              <w:autoSpaceDE w:val="0"/>
              <w:autoSpaceDN w:val="0"/>
              <w:adjustRightInd w:val="0"/>
              <w:ind w:left="57"/>
              <w:jc w:val="right"/>
              <w:rPr>
                <w:sz w:val="20"/>
                <w:szCs w:val="20"/>
              </w:rPr>
            </w:pPr>
            <w:r w:rsidRPr="00677554">
              <w:rPr>
                <w:sz w:val="20"/>
                <w:szCs w:val="20"/>
              </w:rPr>
              <w:t>-</w:t>
            </w:r>
          </w:p>
        </w:tc>
        <w:tc>
          <w:tcPr>
            <w:tcW w:w="646" w:type="dxa"/>
            <w:tcBorders>
              <w:left w:val="nil"/>
              <w:bottom w:val="nil"/>
              <w:right w:val="nil"/>
            </w:tcBorders>
            <w:shd w:val="clear" w:color="auto" w:fill="D9D9D9" w:themeFill="background1" w:themeFillShade="D9"/>
            <w:vAlign w:val="bottom"/>
          </w:tcPr>
          <w:p w14:paraId="3D3DFE56" w14:textId="77777777" w:rsidR="00722E5C" w:rsidRPr="00677554" w:rsidRDefault="00722E5C" w:rsidP="00722E5C">
            <w:pPr>
              <w:widowControl w:val="0"/>
              <w:autoSpaceDE w:val="0"/>
              <w:autoSpaceDN w:val="0"/>
              <w:adjustRightInd w:val="0"/>
              <w:ind w:left="57"/>
              <w:jc w:val="right"/>
              <w:rPr>
                <w:sz w:val="20"/>
                <w:szCs w:val="20"/>
              </w:rPr>
            </w:pPr>
            <w:r w:rsidRPr="00677554">
              <w:rPr>
                <w:sz w:val="20"/>
                <w:szCs w:val="20"/>
              </w:rPr>
              <w:t>35</w:t>
            </w:r>
          </w:p>
        </w:tc>
        <w:tc>
          <w:tcPr>
            <w:tcW w:w="646" w:type="dxa"/>
            <w:tcBorders>
              <w:left w:val="nil"/>
              <w:bottom w:val="nil"/>
              <w:right w:val="nil"/>
            </w:tcBorders>
            <w:shd w:val="clear" w:color="auto" w:fill="D9D9D9" w:themeFill="background1" w:themeFillShade="D9"/>
            <w:vAlign w:val="bottom"/>
          </w:tcPr>
          <w:p w14:paraId="0E5310CC" w14:textId="77777777" w:rsidR="00722E5C" w:rsidRPr="00677554" w:rsidRDefault="00722E5C" w:rsidP="00722E5C">
            <w:pPr>
              <w:widowControl w:val="0"/>
              <w:autoSpaceDE w:val="0"/>
              <w:autoSpaceDN w:val="0"/>
              <w:adjustRightInd w:val="0"/>
              <w:ind w:left="57"/>
              <w:jc w:val="right"/>
              <w:rPr>
                <w:sz w:val="20"/>
                <w:szCs w:val="20"/>
              </w:rPr>
            </w:pPr>
            <w:r w:rsidRPr="00677554">
              <w:rPr>
                <w:sz w:val="20"/>
                <w:szCs w:val="20"/>
              </w:rPr>
              <w:t>26</w:t>
            </w:r>
          </w:p>
        </w:tc>
        <w:tc>
          <w:tcPr>
            <w:tcW w:w="647" w:type="dxa"/>
            <w:tcBorders>
              <w:left w:val="nil"/>
              <w:bottom w:val="nil"/>
              <w:right w:val="nil"/>
            </w:tcBorders>
            <w:shd w:val="clear" w:color="auto" w:fill="D9D9D9" w:themeFill="background1" w:themeFillShade="D9"/>
            <w:vAlign w:val="bottom"/>
          </w:tcPr>
          <w:p w14:paraId="23B82DA4" w14:textId="77777777" w:rsidR="00722E5C" w:rsidRPr="00677554" w:rsidRDefault="00722E5C" w:rsidP="00722E5C">
            <w:pPr>
              <w:widowControl w:val="0"/>
              <w:autoSpaceDE w:val="0"/>
              <w:autoSpaceDN w:val="0"/>
              <w:adjustRightInd w:val="0"/>
              <w:ind w:left="57"/>
              <w:jc w:val="right"/>
              <w:rPr>
                <w:sz w:val="20"/>
                <w:szCs w:val="20"/>
              </w:rPr>
            </w:pPr>
            <w:r w:rsidRPr="00677554">
              <w:rPr>
                <w:sz w:val="20"/>
                <w:szCs w:val="20"/>
              </w:rPr>
              <w:t>11</w:t>
            </w:r>
          </w:p>
        </w:tc>
        <w:tc>
          <w:tcPr>
            <w:tcW w:w="646" w:type="dxa"/>
            <w:tcBorders>
              <w:left w:val="nil"/>
              <w:bottom w:val="nil"/>
              <w:right w:val="nil"/>
            </w:tcBorders>
            <w:shd w:val="clear" w:color="auto" w:fill="auto"/>
            <w:vAlign w:val="bottom"/>
          </w:tcPr>
          <w:p w14:paraId="6BBBA3A6" w14:textId="77777777" w:rsidR="00722E5C" w:rsidRPr="00033F64" w:rsidRDefault="00722E5C" w:rsidP="00722E5C">
            <w:pPr>
              <w:widowControl w:val="0"/>
              <w:autoSpaceDE w:val="0"/>
              <w:autoSpaceDN w:val="0"/>
              <w:adjustRightInd w:val="0"/>
              <w:ind w:left="57"/>
              <w:jc w:val="right"/>
              <w:rPr>
                <w:sz w:val="20"/>
                <w:szCs w:val="20"/>
              </w:rPr>
            </w:pPr>
            <w:r w:rsidRPr="00033F64">
              <w:rPr>
                <w:sz w:val="20"/>
                <w:szCs w:val="20"/>
              </w:rPr>
              <w:t>36</w:t>
            </w:r>
          </w:p>
        </w:tc>
        <w:tc>
          <w:tcPr>
            <w:tcW w:w="646" w:type="dxa"/>
            <w:tcBorders>
              <w:left w:val="nil"/>
              <w:bottom w:val="nil"/>
              <w:right w:val="nil"/>
            </w:tcBorders>
            <w:shd w:val="clear" w:color="auto" w:fill="auto"/>
            <w:vAlign w:val="bottom"/>
          </w:tcPr>
          <w:p w14:paraId="1882048E" w14:textId="77777777" w:rsidR="00722E5C" w:rsidRPr="00033F64" w:rsidRDefault="00722E5C" w:rsidP="00722E5C">
            <w:pPr>
              <w:widowControl w:val="0"/>
              <w:autoSpaceDE w:val="0"/>
              <w:autoSpaceDN w:val="0"/>
              <w:adjustRightInd w:val="0"/>
              <w:ind w:left="57"/>
              <w:jc w:val="right"/>
              <w:rPr>
                <w:sz w:val="20"/>
                <w:szCs w:val="20"/>
              </w:rPr>
            </w:pPr>
            <w:r w:rsidRPr="00033F64">
              <w:rPr>
                <w:sz w:val="20"/>
                <w:szCs w:val="20"/>
              </w:rPr>
              <w:t>29</w:t>
            </w:r>
          </w:p>
        </w:tc>
        <w:tc>
          <w:tcPr>
            <w:tcW w:w="646" w:type="dxa"/>
            <w:tcBorders>
              <w:left w:val="nil"/>
              <w:bottom w:val="nil"/>
              <w:right w:val="nil"/>
            </w:tcBorders>
            <w:shd w:val="clear" w:color="auto" w:fill="auto"/>
            <w:vAlign w:val="bottom"/>
          </w:tcPr>
          <w:p w14:paraId="4EF568C4" w14:textId="77777777" w:rsidR="00722E5C" w:rsidRPr="00033F64" w:rsidRDefault="00722E5C" w:rsidP="00722E5C">
            <w:pPr>
              <w:widowControl w:val="0"/>
              <w:autoSpaceDE w:val="0"/>
              <w:autoSpaceDN w:val="0"/>
              <w:adjustRightInd w:val="0"/>
              <w:ind w:left="57"/>
              <w:jc w:val="right"/>
              <w:rPr>
                <w:sz w:val="20"/>
                <w:szCs w:val="20"/>
              </w:rPr>
            </w:pPr>
            <w:r w:rsidRPr="00033F64">
              <w:rPr>
                <w:sz w:val="20"/>
                <w:szCs w:val="20"/>
              </w:rPr>
              <w:t>12</w:t>
            </w:r>
          </w:p>
        </w:tc>
        <w:tc>
          <w:tcPr>
            <w:tcW w:w="647" w:type="dxa"/>
            <w:tcBorders>
              <w:left w:val="nil"/>
              <w:bottom w:val="nil"/>
              <w:right w:val="nil"/>
            </w:tcBorders>
            <w:shd w:val="clear" w:color="auto" w:fill="auto"/>
            <w:vAlign w:val="bottom"/>
          </w:tcPr>
          <w:p w14:paraId="37C11559" w14:textId="77777777" w:rsidR="00722E5C" w:rsidRPr="00033F64" w:rsidRDefault="00722E5C" w:rsidP="00722E5C">
            <w:pPr>
              <w:widowControl w:val="0"/>
              <w:autoSpaceDE w:val="0"/>
              <w:autoSpaceDN w:val="0"/>
              <w:adjustRightInd w:val="0"/>
              <w:ind w:left="57"/>
              <w:jc w:val="right"/>
              <w:rPr>
                <w:sz w:val="20"/>
                <w:szCs w:val="20"/>
              </w:rPr>
            </w:pPr>
            <w:r w:rsidRPr="00033F64">
              <w:rPr>
                <w:sz w:val="20"/>
                <w:szCs w:val="20"/>
              </w:rPr>
              <w:t>10</w:t>
            </w:r>
          </w:p>
        </w:tc>
      </w:tr>
      <w:tr w:rsidR="00920CC7" w14:paraId="79A6197F" w14:textId="77777777" w:rsidTr="00722E5C">
        <w:tblPrEx>
          <w:tblBorders>
            <w:top w:val="none" w:sz="0" w:space="0" w:color="auto"/>
          </w:tblBorders>
        </w:tblPrEx>
        <w:trPr>
          <w:gridAfter w:val="2"/>
          <w:wAfter w:w="1294" w:type="dxa"/>
          <w:jc w:val="center"/>
        </w:trPr>
        <w:tc>
          <w:tcPr>
            <w:tcW w:w="1984" w:type="dxa"/>
            <w:tcBorders>
              <w:top w:val="nil"/>
              <w:left w:val="nil"/>
              <w:right w:val="nil"/>
            </w:tcBorders>
            <w:vAlign w:val="bottom"/>
          </w:tcPr>
          <w:p w14:paraId="54E295E1" w14:textId="77777777" w:rsidR="00722E5C" w:rsidRPr="00033F64" w:rsidRDefault="00722E5C" w:rsidP="00722E5C">
            <w:pPr>
              <w:widowControl w:val="0"/>
              <w:autoSpaceDE w:val="0"/>
              <w:autoSpaceDN w:val="0"/>
              <w:adjustRightInd w:val="0"/>
              <w:ind w:left="57"/>
              <w:rPr>
                <w:kern w:val="1"/>
                <w:sz w:val="20"/>
                <w:szCs w:val="20"/>
              </w:rPr>
            </w:pPr>
            <w:r w:rsidRPr="00033F64">
              <w:rPr>
                <w:sz w:val="20"/>
                <w:szCs w:val="20"/>
              </w:rPr>
              <w:t>Clover</w:t>
            </w:r>
          </w:p>
        </w:tc>
        <w:tc>
          <w:tcPr>
            <w:tcW w:w="646" w:type="dxa"/>
            <w:tcBorders>
              <w:left w:val="nil"/>
              <w:right w:val="nil"/>
            </w:tcBorders>
            <w:shd w:val="clear" w:color="auto" w:fill="auto"/>
            <w:vAlign w:val="bottom"/>
          </w:tcPr>
          <w:p w14:paraId="139CBFC5"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22</w:t>
            </w:r>
          </w:p>
        </w:tc>
        <w:tc>
          <w:tcPr>
            <w:tcW w:w="646" w:type="dxa"/>
            <w:tcBorders>
              <w:left w:val="nil"/>
              <w:right w:val="nil"/>
            </w:tcBorders>
            <w:shd w:val="clear" w:color="auto" w:fill="auto"/>
            <w:vAlign w:val="bottom"/>
          </w:tcPr>
          <w:p w14:paraId="7F7592AC"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26</w:t>
            </w:r>
          </w:p>
        </w:tc>
        <w:tc>
          <w:tcPr>
            <w:tcW w:w="646" w:type="dxa"/>
            <w:tcBorders>
              <w:left w:val="nil"/>
              <w:right w:val="nil"/>
            </w:tcBorders>
            <w:shd w:val="clear" w:color="auto" w:fill="auto"/>
            <w:vAlign w:val="bottom"/>
          </w:tcPr>
          <w:p w14:paraId="5C88D3D5"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19</w:t>
            </w:r>
          </w:p>
        </w:tc>
        <w:tc>
          <w:tcPr>
            <w:tcW w:w="647" w:type="dxa"/>
            <w:tcBorders>
              <w:left w:val="nil"/>
              <w:right w:val="nil"/>
            </w:tcBorders>
            <w:shd w:val="clear" w:color="auto" w:fill="D9D9D9" w:themeFill="background1" w:themeFillShade="D9"/>
            <w:vAlign w:val="bottom"/>
          </w:tcPr>
          <w:p w14:paraId="08337C42"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46</w:t>
            </w:r>
          </w:p>
        </w:tc>
        <w:tc>
          <w:tcPr>
            <w:tcW w:w="646" w:type="dxa"/>
            <w:tcBorders>
              <w:left w:val="nil"/>
              <w:right w:val="nil"/>
            </w:tcBorders>
            <w:shd w:val="clear" w:color="auto" w:fill="D9D9D9" w:themeFill="background1" w:themeFillShade="D9"/>
            <w:vAlign w:val="bottom"/>
          </w:tcPr>
          <w:p w14:paraId="3A329657"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50</w:t>
            </w:r>
          </w:p>
        </w:tc>
        <w:tc>
          <w:tcPr>
            <w:tcW w:w="646" w:type="dxa"/>
            <w:tcBorders>
              <w:left w:val="nil"/>
              <w:right w:val="nil"/>
            </w:tcBorders>
            <w:shd w:val="clear" w:color="auto" w:fill="D9D9D9" w:themeFill="background1" w:themeFillShade="D9"/>
            <w:vAlign w:val="bottom"/>
          </w:tcPr>
          <w:p w14:paraId="41BE6172"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w:t>
            </w:r>
          </w:p>
        </w:tc>
        <w:tc>
          <w:tcPr>
            <w:tcW w:w="646" w:type="dxa"/>
            <w:tcBorders>
              <w:left w:val="nil"/>
              <w:right w:val="nil"/>
            </w:tcBorders>
            <w:shd w:val="clear" w:color="auto" w:fill="D9D9D9" w:themeFill="background1" w:themeFillShade="D9"/>
            <w:vAlign w:val="bottom"/>
          </w:tcPr>
          <w:p w14:paraId="3FAD2416"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23</w:t>
            </w:r>
          </w:p>
        </w:tc>
        <w:tc>
          <w:tcPr>
            <w:tcW w:w="647" w:type="dxa"/>
            <w:tcBorders>
              <w:left w:val="nil"/>
              <w:right w:val="nil"/>
            </w:tcBorders>
            <w:shd w:val="clear" w:color="auto" w:fill="D9D9D9" w:themeFill="background1" w:themeFillShade="D9"/>
            <w:vAlign w:val="bottom"/>
          </w:tcPr>
          <w:p w14:paraId="704E3961"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9</w:t>
            </w:r>
          </w:p>
        </w:tc>
        <w:tc>
          <w:tcPr>
            <w:tcW w:w="646" w:type="dxa"/>
            <w:tcBorders>
              <w:left w:val="nil"/>
              <w:right w:val="nil"/>
            </w:tcBorders>
            <w:shd w:val="clear" w:color="auto" w:fill="auto"/>
            <w:vAlign w:val="bottom"/>
          </w:tcPr>
          <w:p w14:paraId="03FC32D5"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38</w:t>
            </w:r>
          </w:p>
        </w:tc>
        <w:tc>
          <w:tcPr>
            <w:tcW w:w="646" w:type="dxa"/>
            <w:tcBorders>
              <w:left w:val="nil"/>
              <w:right w:val="nil"/>
            </w:tcBorders>
            <w:shd w:val="clear" w:color="auto" w:fill="auto"/>
            <w:vAlign w:val="bottom"/>
          </w:tcPr>
          <w:p w14:paraId="7D36BAC4"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27</w:t>
            </w:r>
          </w:p>
        </w:tc>
        <w:tc>
          <w:tcPr>
            <w:tcW w:w="646" w:type="dxa"/>
            <w:tcBorders>
              <w:left w:val="nil"/>
              <w:right w:val="nil"/>
            </w:tcBorders>
            <w:shd w:val="clear" w:color="auto" w:fill="auto"/>
            <w:vAlign w:val="bottom"/>
          </w:tcPr>
          <w:p w14:paraId="37A7E38B"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12</w:t>
            </w:r>
          </w:p>
        </w:tc>
        <w:tc>
          <w:tcPr>
            <w:tcW w:w="647" w:type="dxa"/>
            <w:tcBorders>
              <w:left w:val="nil"/>
              <w:right w:val="nil"/>
            </w:tcBorders>
            <w:shd w:val="clear" w:color="auto" w:fill="auto"/>
            <w:vAlign w:val="bottom"/>
          </w:tcPr>
          <w:p w14:paraId="3ED12C87"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10</w:t>
            </w:r>
          </w:p>
        </w:tc>
      </w:tr>
      <w:tr w:rsidR="00920CC7" w14:paraId="01CE863E" w14:textId="77777777" w:rsidTr="00722E5C">
        <w:tblPrEx>
          <w:tblBorders>
            <w:top w:val="none" w:sz="0" w:space="0" w:color="auto"/>
          </w:tblBorders>
        </w:tblPrEx>
        <w:trPr>
          <w:gridAfter w:val="2"/>
          <w:wAfter w:w="1294" w:type="dxa"/>
          <w:jc w:val="center"/>
        </w:trPr>
        <w:tc>
          <w:tcPr>
            <w:tcW w:w="1984" w:type="dxa"/>
            <w:tcBorders>
              <w:left w:val="nil"/>
              <w:right w:val="nil"/>
            </w:tcBorders>
            <w:vAlign w:val="bottom"/>
          </w:tcPr>
          <w:p w14:paraId="742D10E6" w14:textId="77777777" w:rsidR="00722E5C" w:rsidRPr="00033F64" w:rsidRDefault="00722E5C" w:rsidP="00722E5C">
            <w:pPr>
              <w:widowControl w:val="0"/>
              <w:autoSpaceDE w:val="0"/>
              <w:autoSpaceDN w:val="0"/>
              <w:adjustRightInd w:val="0"/>
              <w:ind w:left="57"/>
              <w:rPr>
                <w:kern w:val="1"/>
                <w:sz w:val="20"/>
                <w:szCs w:val="20"/>
              </w:rPr>
            </w:pPr>
            <w:r w:rsidRPr="00033F64">
              <w:rPr>
                <w:sz w:val="20"/>
                <w:szCs w:val="20"/>
              </w:rPr>
              <w:t>St Ivel Gold</w:t>
            </w:r>
          </w:p>
        </w:tc>
        <w:tc>
          <w:tcPr>
            <w:tcW w:w="646" w:type="dxa"/>
            <w:tcBorders>
              <w:left w:val="nil"/>
              <w:right w:val="nil"/>
            </w:tcBorders>
            <w:shd w:val="clear" w:color="auto" w:fill="auto"/>
            <w:vAlign w:val="bottom"/>
          </w:tcPr>
          <w:p w14:paraId="7FEE39D1"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24</w:t>
            </w:r>
          </w:p>
        </w:tc>
        <w:tc>
          <w:tcPr>
            <w:tcW w:w="646" w:type="dxa"/>
            <w:tcBorders>
              <w:left w:val="nil"/>
              <w:right w:val="nil"/>
            </w:tcBorders>
            <w:shd w:val="clear" w:color="auto" w:fill="auto"/>
            <w:vAlign w:val="bottom"/>
          </w:tcPr>
          <w:p w14:paraId="712D0746"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25</w:t>
            </w:r>
          </w:p>
        </w:tc>
        <w:tc>
          <w:tcPr>
            <w:tcW w:w="646" w:type="dxa"/>
            <w:tcBorders>
              <w:left w:val="nil"/>
              <w:right w:val="nil"/>
            </w:tcBorders>
            <w:shd w:val="clear" w:color="auto" w:fill="auto"/>
            <w:vAlign w:val="bottom"/>
          </w:tcPr>
          <w:p w14:paraId="677D0E79"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18</w:t>
            </w:r>
          </w:p>
        </w:tc>
        <w:tc>
          <w:tcPr>
            <w:tcW w:w="647" w:type="dxa"/>
            <w:tcBorders>
              <w:left w:val="nil"/>
              <w:right w:val="nil"/>
            </w:tcBorders>
            <w:shd w:val="clear" w:color="auto" w:fill="D9D9D9" w:themeFill="background1" w:themeFillShade="D9"/>
            <w:vAlign w:val="bottom"/>
          </w:tcPr>
          <w:p w14:paraId="43A13683"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46</w:t>
            </w:r>
          </w:p>
        </w:tc>
        <w:tc>
          <w:tcPr>
            <w:tcW w:w="646" w:type="dxa"/>
            <w:tcBorders>
              <w:left w:val="nil"/>
              <w:right w:val="nil"/>
            </w:tcBorders>
            <w:shd w:val="clear" w:color="auto" w:fill="D9D9D9" w:themeFill="background1" w:themeFillShade="D9"/>
            <w:vAlign w:val="bottom"/>
          </w:tcPr>
          <w:p w14:paraId="1AB5116A"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43</w:t>
            </w:r>
          </w:p>
        </w:tc>
        <w:tc>
          <w:tcPr>
            <w:tcW w:w="646" w:type="dxa"/>
            <w:tcBorders>
              <w:left w:val="nil"/>
              <w:right w:val="nil"/>
            </w:tcBorders>
            <w:shd w:val="clear" w:color="auto" w:fill="D9D9D9" w:themeFill="background1" w:themeFillShade="D9"/>
            <w:vAlign w:val="bottom"/>
          </w:tcPr>
          <w:p w14:paraId="2F69D079"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28</w:t>
            </w:r>
          </w:p>
        </w:tc>
        <w:tc>
          <w:tcPr>
            <w:tcW w:w="646" w:type="dxa"/>
            <w:tcBorders>
              <w:left w:val="nil"/>
              <w:right w:val="nil"/>
            </w:tcBorders>
            <w:shd w:val="clear" w:color="auto" w:fill="D9D9D9" w:themeFill="background1" w:themeFillShade="D9"/>
            <w:vAlign w:val="bottom"/>
          </w:tcPr>
          <w:p w14:paraId="096F77F2"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w:t>
            </w:r>
          </w:p>
        </w:tc>
        <w:tc>
          <w:tcPr>
            <w:tcW w:w="647" w:type="dxa"/>
            <w:tcBorders>
              <w:left w:val="nil"/>
              <w:right w:val="nil"/>
            </w:tcBorders>
            <w:shd w:val="clear" w:color="auto" w:fill="D9D9D9" w:themeFill="background1" w:themeFillShade="D9"/>
            <w:vAlign w:val="bottom"/>
          </w:tcPr>
          <w:p w14:paraId="1459250E"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15</w:t>
            </w:r>
          </w:p>
        </w:tc>
        <w:tc>
          <w:tcPr>
            <w:tcW w:w="646" w:type="dxa"/>
            <w:tcBorders>
              <w:left w:val="nil"/>
              <w:right w:val="nil"/>
            </w:tcBorders>
            <w:shd w:val="clear" w:color="auto" w:fill="auto"/>
            <w:vAlign w:val="bottom"/>
          </w:tcPr>
          <w:p w14:paraId="3AEF4F05"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43</w:t>
            </w:r>
          </w:p>
        </w:tc>
        <w:tc>
          <w:tcPr>
            <w:tcW w:w="646" w:type="dxa"/>
            <w:tcBorders>
              <w:left w:val="nil"/>
              <w:right w:val="nil"/>
            </w:tcBorders>
            <w:shd w:val="clear" w:color="auto" w:fill="auto"/>
            <w:vAlign w:val="bottom"/>
          </w:tcPr>
          <w:p w14:paraId="09B750DB"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31</w:t>
            </w:r>
          </w:p>
        </w:tc>
        <w:tc>
          <w:tcPr>
            <w:tcW w:w="646" w:type="dxa"/>
            <w:tcBorders>
              <w:left w:val="nil"/>
              <w:right w:val="nil"/>
            </w:tcBorders>
            <w:shd w:val="clear" w:color="auto" w:fill="auto"/>
            <w:vAlign w:val="bottom"/>
          </w:tcPr>
          <w:p w14:paraId="58A59376"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13</w:t>
            </w:r>
          </w:p>
        </w:tc>
        <w:tc>
          <w:tcPr>
            <w:tcW w:w="647" w:type="dxa"/>
            <w:tcBorders>
              <w:left w:val="nil"/>
              <w:right w:val="nil"/>
            </w:tcBorders>
            <w:shd w:val="clear" w:color="auto" w:fill="auto"/>
            <w:vAlign w:val="bottom"/>
          </w:tcPr>
          <w:p w14:paraId="6316EEA8"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9</w:t>
            </w:r>
          </w:p>
        </w:tc>
      </w:tr>
      <w:tr w:rsidR="00920CC7" w14:paraId="3D1A42C6" w14:textId="77777777" w:rsidTr="00722E5C">
        <w:tblPrEx>
          <w:tblBorders>
            <w:top w:val="none" w:sz="0" w:space="0" w:color="auto"/>
          </w:tblBorders>
        </w:tblPrEx>
        <w:trPr>
          <w:gridAfter w:val="2"/>
          <w:wAfter w:w="1294" w:type="dxa"/>
          <w:jc w:val="center"/>
        </w:trPr>
        <w:tc>
          <w:tcPr>
            <w:tcW w:w="1984" w:type="dxa"/>
            <w:tcBorders>
              <w:left w:val="nil"/>
              <w:bottom w:val="nil"/>
              <w:right w:val="nil"/>
            </w:tcBorders>
            <w:vAlign w:val="bottom"/>
          </w:tcPr>
          <w:p w14:paraId="6B009884" w14:textId="77777777" w:rsidR="00722E5C" w:rsidRPr="00033F64" w:rsidRDefault="00722E5C" w:rsidP="00722E5C">
            <w:pPr>
              <w:widowControl w:val="0"/>
              <w:autoSpaceDE w:val="0"/>
              <w:autoSpaceDN w:val="0"/>
              <w:adjustRightInd w:val="0"/>
              <w:ind w:left="57"/>
              <w:rPr>
                <w:kern w:val="1"/>
                <w:sz w:val="20"/>
                <w:szCs w:val="20"/>
              </w:rPr>
            </w:pPr>
            <w:r w:rsidRPr="00033F64">
              <w:rPr>
                <w:sz w:val="20"/>
                <w:szCs w:val="20"/>
              </w:rPr>
              <w:t>Vitalite</w:t>
            </w:r>
          </w:p>
        </w:tc>
        <w:tc>
          <w:tcPr>
            <w:tcW w:w="646" w:type="dxa"/>
            <w:tcBorders>
              <w:left w:val="nil"/>
              <w:bottom w:val="nil"/>
              <w:right w:val="nil"/>
            </w:tcBorders>
            <w:shd w:val="clear" w:color="auto" w:fill="auto"/>
            <w:vAlign w:val="bottom"/>
          </w:tcPr>
          <w:p w14:paraId="10E7EF4D"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24</w:t>
            </w:r>
          </w:p>
        </w:tc>
        <w:tc>
          <w:tcPr>
            <w:tcW w:w="646" w:type="dxa"/>
            <w:tcBorders>
              <w:left w:val="nil"/>
              <w:bottom w:val="nil"/>
              <w:right w:val="nil"/>
            </w:tcBorders>
            <w:shd w:val="clear" w:color="auto" w:fill="auto"/>
            <w:vAlign w:val="bottom"/>
          </w:tcPr>
          <w:p w14:paraId="2CD42461"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23</w:t>
            </w:r>
          </w:p>
        </w:tc>
        <w:tc>
          <w:tcPr>
            <w:tcW w:w="646" w:type="dxa"/>
            <w:tcBorders>
              <w:left w:val="nil"/>
              <w:bottom w:val="nil"/>
              <w:right w:val="nil"/>
            </w:tcBorders>
            <w:shd w:val="clear" w:color="auto" w:fill="auto"/>
            <w:vAlign w:val="bottom"/>
          </w:tcPr>
          <w:p w14:paraId="61847B0C"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17</w:t>
            </w:r>
          </w:p>
        </w:tc>
        <w:tc>
          <w:tcPr>
            <w:tcW w:w="647" w:type="dxa"/>
            <w:tcBorders>
              <w:left w:val="nil"/>
              <w:bottom w:val="nil"/>
              <w:right w:val="nil"/>
            </w:tcBorders>
            <w:shd w:val="clear" w:color="auto" w:fill="D9D9D9" w:themeFill="background1" w:themeFillShade="D9"/>
            <w:vAlign w:val="bottom"/>
          </w:tcPr>
          <w:p w14:paraId="32716516"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41</w:t>
            </w:r>
          </w:p>
        </w:tc>
        <w:tc>
          <w:tcPr>
            <w:tcW w:w="646" w:type="dxa"/>
            <w:tcBorders>
              <w:left w:val="nil"/>
              <w:bottom w:val="nil"/>
              <w:right w:val="nil"/>
            </w:tcBorders>
            <w:shd w:val="clear" w:color="auto" w:fill="D9D9D9" w:themeFill="background1" w:themeFillShade="D9"/>
            <w:vAlign w:val="bottom"/>
          </w:tcPr>
          <w:p w14:paraId="433FBBC8"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40</w:t>
            </w:r>
          </w:p>
        </w:tc>
        <w:tc>
          <w:tcPr>
            <w:tcW w:w="646" w:type="dxa"/>
            <w:tcBorders>
              <w:left w:val="nil"/>
              <w:bottom w:val="nil"/>
              <w:right w:val="nil"/>
            </w:tcBorders>
            <w:shd w:val="clear" w:color="auto" w:fill="D9D9D9" w:themeFill="background1" w:themeFillShade="D9"/>
            <w:vAlign w:val="bottom"/>
          </w:tcPr>
          <w:p w14:paraId="7F13C9BC"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22</w:t>
            </w:r>
          </w:p>
        </w:tc>
        <w:tc>
          <w:tcPr>
            <w:tcW w:w="646" w:type="dxa"/>
            <w:tcBorders>
              <w:left w:val="nil"/>
              <w:bottom w:val="nil"/>
              <w:right w:val="nil"/>
            </w:tcBorders>
            <w:shd w:val="clear" w:color="auto" w:fill="D9D9D9" w:themeFill="background1" w:themeFillShade="D9"/>
            <w:vAlign w:val="bottom"/>
          </w:tcPr>
          <w:p w14:paraId="352F2895"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32</w:t>
            </w:r>
          </w:p>
        </w:tc>
        <w:tc>
          <w:tcPr>
            <w:tcW w:w="647" w:type="dxa"/>
            <w:tcBorders>
              <w:left w:val="nil"/>
              <w:bottom w:val="nil"/>
              <w:right w:val="nil"/>
            </w:tcBorders>
            <w:shd w:val="clear" w:color="auto" w:fill="D9D9D9" w:themeFill="background1" w:themeFillShade="D9"/>
            <w:vAlign w:val="bottom"/>
          </w:tcPr>
          <w:p w14:paraId="6D34BC8F" w14:textId="77777777" w:rsidR="00722E5C" w:rsidRPr="00677554" w:rsidRDefault="00722E5C" w:rsidP="00722E5C">
            <w:pPr>
              <w:widowControl w:val="0"/>
              <w:autoSpaceDE w:val="0"/>
              <w:autoSpaceDN w:val="0"/>
              <w:adjustRightInd w:val="0"/>
              <w:jc w:val="right"/>
              <w:rPr>
                <w:kern w:val="1"/>
                <w:sz w:val="20"/>
                <w:szCs w:val="20"/>
              </w:rPr>
            </w:pPr>
            <w:r w:rsidRPr="00677554">
              <w:rPr>
                <w:sz w:val="20"/>
                <w:szCs w:val="20"/>
              </w:rPr>
              <w:t>-</w:t>
            </w:r>
          </w:p>
        </w:tc>
        <w:tc>
          <w:tcPr>
            <w:tcW w:w="646" w:type="dxa"/>
            <w:tcBorders>
              <w:left w:val="nil"/>
              <w:bottom w:val="nil"/>
              <w:right w:val="nil"/>
            </w:tcBorders>
            <w:shd w:val="clear" w:color="auto" w:fill="auto"/>
            <w:vAlign w:val="bottom"/>
          </w:tcPr>
          <w:p w14:paraId="1B32B163"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47</w:t>
            </w:r>
          </w:p>
        </w:tc>
        <w:tc>
          <w:tcPr>
            <w:tcW w:w="646" w:type="dxa"/>
            <w:tcBorders>
              <w:left w:val="nil"/>
              <w:bottom w:val="nil"/>
              <w:right w:val="nil"/>
            </w:tcBorders>
            <w:shd w:val="clear" w:color="auto" w:fill="auto"/>
            <w:vAlign w:val="bottom"/>
          </w:tcPr>
          <w:p w14:paraId="02CBEB20"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30</w:t>
            </w:r>
          </w:p>
        </w:tc>
        <w:tc>
          <w:tcPr>
            <w:tcW w:w="646" w:type="dxa"/>
            <w:tcBorders>
              <w:left w:val="nil"/>
              <w:bottom w:val="nil"/>
              <w:right w:val="nil"/>
            </w:tcBorders>
            <w:shd w:val="clear" w:color="auto" w:fill="auto"/>
            <w:vAlign w:val="bottom"/>
          </w:tcPr>
          <w:p w14:paraId="6407DB07"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13</w:t>
            </w:r>
          </w:p>
        </w:tc>
        <w:tc>
          <w:tcPr>
            <w:tcW w:w="647" w:type="dxa"/>
            <w:tcBorders>
              <w:left w:val="nil"/>
              <w:bottom w:val="nil"/>
              <w:right w:val="nil"/>
            </w:tcBorders>
            <w:shd w:val="clear" w:color="auto" w:fill="auto"/>
            <w:vAlign w:val="bottom"/>
          </w:tcPr>
          <w:p w14:paraId="1C6A826D"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9</w:t>
            </w:r>
          </w:p>
        </w:tc>
      </w:tr>
      <w:tr w:rsidR="00B67B8B" w14:paraId="4843A0B2" w14:textId="77777777" w:rsidTr="00440578">
        <w:tblPrEx>
          <w:tblBorders>
            <w:top w:val="none" w:sz="0" w:space="0" w:color="auto"/>
          </w:tblBorders>
        </w:tblPrEx>
        <w:trPr>
          <w:gridAfter w:val="2"/>
          <w:wAfter w:w="1294" w:type="dxa"/>
          <w:jc w:val="center"/>
        </w:trPr>
        <w:tc>
          <w:tcPr>
            <w:tcW w:w="1984" w:type="dxa"/>
            <w:tcBorders>
              <w:top w:val="nil"/>
              <w:left w:val="nil"/>
              <w:right w:val="nil"/>
            </w:tcBorders>
            <w:vAlign w:val="bottom"/>
          </w:tcPr>
          <w:p w14:paraId="33808218" w14:textId="77777777" w:rsidR="00722E5C" w:rsidRPr="00033F64" w:rsidRDefault="00722E5C" w:rsidP="00722E5C">
            <w:pPr>
              <w:widowControl w:val="0"/>
              <w:autoSpaceDE w:val="0"/>
              <w:autoSpaceDN w:val="0"/>
              <w:adjustRightInd w:val="0"/>
              <w:ind w:left="57"/>
              <w:rPr>
                <w:kern w:val="1"/>
                <w:sz w:val="20"/>
                <w:szCs w:val="20"/>
              </w:rPr>
            </w:pPr>
            <w:r w:rsidRPr="00033F64">
              <w:rPr>
                <w:sz w:val="20"/>
                <w:szCs w:val="20"/>
              </w:rPr>
              <w:t xml:space="preserve">Flora </w:t>
            </w:r>
          </w:p>
        </w:tc>
        <w:tc>
          <w:tcPr>
            <w:tcW w:w="646" w:type="dxa"/>
            <w:tcBorders>
              <w:top w:val="nil"/>
              <w:left w:val="nil"/>
              <w:right w:val="nil"/>
            </w:tcBorders>
            <w:shd w:val="clear" w:color="auto" w:fill="auto"/>
            <w:vAlign w:val="bottom"/>
          </w:tcPr>
          <w:p w14:paraId="640B963A"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27</w:t>
            </w:r>
          </w:p>
        </w:tc>
        <w:tc>
          <w:tcPr>
            <w:tcW w:w="646" w:type="dxa"/>
            <w:tcBorders>
              <w:top w:val="nil"/>
              <w:left w:val="nil"/>
              <w:right w:val="nil"/>
            </w:tcBorders>
            <w:shd w:val="clear" w:color="auto" w:fill="auto"/>
            <w:vAlign w:val="bottom"/>
          </w:tcPr>
          <w:p w14:paraId="2B8F2229"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25</w:t>
            </w:r>
          </w:p>
        </w:tc>
        <w:tc>
          <w:tcPr>
            <w:tcW w:w="646" w:type="dxa"/>
            <w:tcBorders>
              <w:top w:val="nil"/>
              <w:left w:val="nil"/>
              <w:right w:val="nil"/>
            </w:tcBorders>
            <w:shd w:val="clear" w:color="auto" w:fill="auto"/>
            <w:vAlign w:val="bottom"/>
          </w:tcPr>
          <w:p w14:paraId="2D1E58BC"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21</w:t>
            </w:r>
          </w:p>
        </w:tc>
        <w:tc>
          <w:tcPr>
            <w:tcW w:w="647" w:type="dxa"/>
            <w:tcBorders>
              <w:top w:val="nil"/>
              <w:left w:val="nil"/>
              <w:right w:val="nil"/>
            </w:tcBorders>
            <w:shd w:val="clear" w:color="auto" w:fill="auto"/>
            <w:vAlign w:val="bottom"/>
          </w:tcPr>
          <w:p w14:paraId="003EF5F9"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22</w:t>
            </w:r>
          </w:p>
        </w:tc>
        <w:tc>
          <w:tcPr>
            <w:tcW w:w="646" w:type="dxa"/>
            <w:tcBorders>
              <w:top w:val="nil"/>
              <w:left w:val="nil"/>
              <w:right w:val="nil"/>
            </w:tcBorders>
            <w:shd w:val="clear" w:color="auto" w:fill="auto"/>
            <w:vAlign w:val="bottom"/>
          </w:tcPr>
          <w:p w14:paraId="0A6F047D"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22</w:t>
            </w:r>
          </w:p>
        </w:tc>
        <w:tc>
          <w:tcPr>
            <w:tcW w:w="646" w:type="dxa"/>
            <w:tcBorders>
              <w:top w:val="nil"/>
              <w:left w:val="nil"/>
              <w:right w:val="nil"/>
            </w:tcBorders>
            <w:shd w:val="clear" w:color="auto" w:fill="auto"/>
            <w:vAlign w:val="bottom"/>
          </w:tcPr>
          <w:p w14:paraId="600BD746"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17</w:t>
            </w:r>
          </w:p>
        </w:tc>
        <w:tc>
          <w:tcPr>
            <w:tcW w:w="646" w:type="dxa"/>
            <w:tcBorders>
              <w:top w:val="nil"/>
              <w:left w:val="nil"/>
              <w:right w:val="nil"/>
            </w:tcBorders>
            <w:shd w:val="clear" w:color="auto" w:fill="auto"/>
            <w:vAlign w:val="bottom"/>
          </w:tcPr>
          <w:p w14:paraId="414E728F"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16</w:t>
            </w:r>
          </w:p>
        </w:tc>
        <w:tc>
          <w:tcPr>
            <w:tcW w:w="647" w:type="dxa"/>
            <w:tcBorders>
              <w:top w:val="nil"/>
              <w:left w:val="nil"/>
              <w:right w:val="nil"/>
            </w:tcBorders>
            <w:shd w:val="clear" w:color="auto" w:fill="auto"/>
            <w:vAlign w:val="bottom"/>
          </w:tcPr>
          <w:p w14:paraId="798DB635"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8</w:t>
            </w:r>
          </w:p>
        </w:tc>
        <w:tc>
          <w:tcPr>
            <w:tcW w:w="646" w:type="dxa"/>
            <w:tcBorders>
              <w:top w:val="nil"/>
              <w:left w:val="nil"/>
              <w:right w:val="nil"/>
            </w:tcBorders>
            <w:shd w:val="clear" w:color="auto" w:fill="auto"/>
            <w:vAlign w:val="bottom"/>
          </w:tcPr>
          <w:p w14:paraId="4C93FC6D"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w:t>
            </w:r>
          </w:p>
        </w:tc>
        <w:tc>
          <w:tcPr>
            <w:tcW w:w="646" w:type="dxa"/>
            <w:tcBorders>
              <w:top w:val="nil"/>
              <w:left w:val="nil"/>
              <w:right w:val="nil"/>
            </w:tcBorders>
            <w:shd w:val="clear" w:color="auto" w:fill="auto"/>
            <w:vAlign w:val="bottom"/>
          </w:tcPr>
          <w:p w14:paraId="6447AE19"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30</w:t>
            </w:r>
          </w:p>
        </w:tc>
        <w:tc>
          <w:tcPr>
            <w:tcW w:w="646" w:type="dxa"/>
            <w:tcBorders>
              <w:top w:val="nil"/>
              <w:left w:val="nil"/>
              <w:right w:val="nil"/>
            </w:tcBorders>
            <w:shd w:val="clear" w:color="auto" w:fill="auto"/>
            <w:vAlign w:val="bottom"/>
          </w:tcPr>
          <w:p w14:paraId="2CEEE061"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14</w:t>
            </w:r>
          </w:p>
        </w:tc>
        <w:tc>
          <w:tcPr>
            <w:tcW w:w="647" w:type="dxa"/>
            <w:tcBorders>
              <w:top w:val="nil"/>
              <w:left w:val="nil"/>
              <w:right w:val="nil"/>
            </w:tcBorders>
            <w:shd w:val="clear" w:color="auto" w:fill="auto"/>
            <w:vAlign w:val="bottom"/>
          </w:tcPr>
          <w:p w14:paraId="6322C745"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8</w:t>
            </w:r>
          </w:p>
        </w:tc>
      </w:tr>
      <w:tr w:rsidR="00B67B8B" w14:paraId="2E1E4CF7" w14:textId="77777777" w:rsidTr="00440578">
        <w:tblPrEx>
          <w:tblBorders>
            <w:top w:val="none" w:sz="0" w:space="0" w:color="auto"/>
          </w:tblBorders>
        </w:tblPrEx>
        <w:trPr>
          <w:gridAfter w:val="2"/>
          <w:wAfter w:w="1294" w:type="dxa"/>
          <w:jc w:val="center"/>
        </w:trPr>
        <w:tc>
          <w:tcPr>
            <w:tcW w:w="1984" w:type="dxa"/>
            <w:tcBorders>
              <w:left w:val="nil"/>
              <w:right w:val="nil"/>
            </w:tcBorders>
            <w:vAlign w:val="bottom"/>
          </w:tcPr>
          <w:p w14:paraId="6578A574" w14:textId="77777777" w:rsidR="00722E5C" w:rsidRPr="00033F64" w:rsidRDefault="00722E5C" w:rsidP="00722E5C">
            <w:pPr>
              <w:widowControl w:val="0"/>
              <w:autoSpaceDE w:val="0"/>
              <w:autoSpaceDN w:val="0"/>
              <w:adjustRightInd w:val="0"/>
              <w:ind w:left="57"/>
              <w:rPr>
                <w:kern w:val="1"/>
                <w:sz w:val="20"/>
                <w:szCs w:val="20"/>
              </w:rPr>
            </w:pPr>
            <w:r w:rsidRPr="00033F64">
              <w:rPr>
                <w:sz w:val="20"/>
                <w:szCs w:val="20"/>
              </w:rPr>
              <w:t xml:space="preserve">Stork </w:t>
            </w:r>
          </w:p>
        </w:tc>
        <w:tc>
          <w:tcPr>
            <w:tcW w:w="646" w:type="dxa"/>
            <w:tcBorders>
              <w:left w:val="nil"/>
              <w:right w:val="nil"/>
            </w:tcBorders>
            <w:shd w:val="clear" w:color="auto" w:fill="auto"/>
            <w:vAlign w:val="bottom"/>
          </w:tcPr>
          <w:p w14:paraId="60703658"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30</w:t>
            </w:r>
          </w:p>
        </w:tc>
        <w:tc>
          <w:tcPr>
            <w:tcW w:w="646" w:type="dxa"/>
            <w:tcBorders>
              <w:left w:val="nil"/>
              <w:right w:val="nil"/>
            </w:tcBorders>
            <w:shd w:val="clear" w:color="auto" w:fill="auto"/>
            <w:vAlign w:val="bottom"/>
          </w:tcPr>
          <w:p w14:paraId="4BE1BAB0"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28</w:t>
            </w:r>
          </w:p>
        </w:tc>
        <w:tc>
          <w:tcPr>
            <w:tcW w:w="646" w:type="dxa"/>
            <w:tcBorders>
              <w:left w:val="nil"/>
              <w:right w:val="nil"/>
            </w:tcBorders>
            <w:shd w:val="clear" w:color="auto" w:fill="auto"/>
            <w:vAlign w:val="bottom"/>
          </w:tcPr>
          <w:p w14:paraId="2DC3E148"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28</w:t>
            </w:r>
          </w:p>
        </w:tc>
        <w:tc>
          <w:tcPr>
            <w:tcW w:w="647" w:type="dxa"/>
            <w:tcBorders>
              <w:left w:val="nil"/>
              <w:right w:val="nil"/>
            </w:tcBorders>
            <w:shd w:val="clear" w:color="auto" w:fill="auto"/>
            <w:vAlign w:val="bottom"/>
          </w:tcPr>
          <w:p w14:paraId="4EA65DD9"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27</w:t>
            </w:r>
          </w:p>
        </w:tc>
        <w:tc>
          <w:tcPr>
            <w:tcW w:w="646" w:type="dxa"/>
            <w:tcBorders>
              <w:left w:val="nil"/>
              <w:right w:val="nil"/>
            </w:tcBorders>
            <w:shd w:val="clear" w:color="auto" w:fill="auto"/>
            <w:vAlign w:val="bottom"/>
          </w:tcPr>
          <w:p w14:paraId="5F6B2DBD"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26</w:t>
            </w:r>
          </w:p>
        </w:tc>
        <w:tc>
          <w:tcPr>
            <w:tcW w:w="646" w:type="dxa"/>
            <w:tcBorders>
              <w:left w:val="nil"/>
              <w:right w:val="nil"/>
            </w:tcBorders>
            <w:shd w:val="clear" w:color="auto" w:fill="auto"/>
            <w:vAlign w:val="bottom"/>
          </w:tcPr>
          <w:p w14:paraId="2DC698AF"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17</w:t>
            </w:r>
          </w:p>
        </w:tc>
        <w:tc>
          <w:tcPr>
            <w:tcW w:w="646" w:type="dxa"/>
            <w:tcBorders>
              <w:left w:val="nil"/>
              <w:right w:val="nil"/>
            </w:tcBorders>
            <w:shd w:val="clear" w:color="auto" w:fill="auto"/>
            <w:vAlign w:val="bottom"/>
          </w:tcPr>
          <w:p w14:paraId="36DC3011"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17</w:t>
            </w:r>
          </w:p>
        </w:tc>
        <w:tc>
          <w:tcPr>
            <w:tcW w:w="647" w:type="dxa"/>
            <w:tcBorders>
              <w:left w:val="nil"/>
              <w:right w:val="nil"/>
            </w:tcBorders>
            <w:shd w:val="clear" w:color="auto" w:fill="auto"/>
            <w:vAlign w:val="bottom"/>
          </w:tcPr>
          <w:p w14:paraId="382CC262"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8</w:t>
            </w:r>
          </w:p>
        </w:tc>
        <w:tc>
          <w:tcPr>
            <w:tcW w:w="646" w:type="dxa"/>
            <w:tcBorders>
              <w:left w:val="nil"/>
              <w:right w:val="nil"/>
            </w:tcBorders>
            <w:shd w:val="clear" w:color="auto" w:fill="auto"/>
            <w:vAlign w:val="bottom"/>
          </w:tcPr>
          <w:p w14:paraId="282A0B03"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44</w:t>
            </w:r>
          </w:p>
        </w:tc>
        <w:tc>
          <w:tcPr>
            <w:tcW w:w="646" w:type="dxa"/>
            <w:tcBorders>
              <w:left w:val="nil"/>
              <w:right w:val="nil"/>
            </w:tcBorders>
            <w:shd w:val="clear" w:color="auto" w:fill="auto"/>
            <w:vAlign w:val="bottom"/>
          </w:tcPr>
          <w:p w14:paraId="6FF52AA8"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w:t>
            </w:r>
          </w:p>
        </w:tc>
        <w:tc>
          <w:tcPr>
            <w:tcW w:w="646" w:type="dxa"/>
            <w:tcBorders>
              <w:left w:val="nil"/>
              <w:right w:val="nil"/>
            </w:tcBorders>
            <w:shd w:val="clear" w:color="auto" w:fill="auto"/>
            <w:vAlign w:val="bottom"/>
          </w:tcPr>
          <w:p w14:paraId="2B72748E"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17</w:t>
            </w:r>
          </w:p>
        </w:tc>
        <w:tc>
          <w:tcPr>
            <w:tcW w:w="647" w:type="dxa"/>
            <w:tcBorders>
              <w:left w:val="nil"/>
              <w:right w:val="nil"/>
            </w:tcBorders>
            <w:shd w:val="clear" w:color="auto" w:fill="auto"/>
            <w:vAlign w:val="bottom"/>
          </w:tcPr>
          <w:p w14:paraId="60EE396F"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10</w:t>
            </w:r>
          </w:p>
        </w:tc>
      </w:tr>
      <w:tr w:rsidR="00B67B8B" w14:paraId="63916692" w14:textId="77777777" w:rsidTr="00440578">
        <w:tblPrEx>
          <w:tblBorders>
            <w:top w:val="none" w:sz="0" w:space="0" w:color="auto"/>
          </w:tblBorders>
        </w:tblPrEx>
        <w:trPr>
          <w:gridAfter w:val="2"/>
          <w:wAfter w:w="1294" w:type="dxa"/>
          <w:jc w:val="center"/>
        </w:trPr>
        <w:tc>
          <w:tcPr>
            <w:tcW w:w="1984" w:type="dxa"/>
            <w:tcBorders>
              <w:left w:val="nil"/>
              <w:right w:val="nil"/>
            </w:tcBorders>
            <w:vAlign w:val="bottom"/>
          </w:tcPr>
          <w:p w14:paraId="5B7B59F3" w14:textId="77777777" w:rsidR="00722E5C" w:rsidRPr="00033F64" w:rsidRDefault="00722E5C" w:rsidP="00722E5C">
            <w:pPr>
              <w:widowControl w:val="0"/>
              <w:autoSpaceDE w:val="0"/>
              <w:autoSpaceDN w:val="0"/>
              <w:adjustRightInd w:val="0"/>
              <w:ind w:left="57"/>
              <w:rPr>
                <w:kern w:val="1"/>
                <w:sz w:val="20"/>
                <w:szCs w:val="20"/>
              </w:rPr>
            </w:pPr>
            <w:r w:rsidRPr="00033F64">
              <w:rPr>
                <w:sz w:val="20"/>
                <w:szCs w:val="20"/>
              </w:rPr>
              <w:t>Bertolli</w:t>
            </w:r>
          </w:p>
        </w:tc>
        <w:tc>
          <w:tcPr>
            <w:tcW w:w="646" w:type="dxa"/>
            <w:tcBorders>
              <w:left w:val="nil"/>
              <w:right w:val="nil"/>
            </w:tcBorders>
            <w:shd w:val="clear" w:color="auto" w:fill="auto"/>
            <w:vAlign w:val="bottom"/>
          </w:tcPr>
          <w:p w14:paraId="26369E4A"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31</w:t>
            </w:r>
          </w:p>
        </w:tc>
        <w:tc>
          <w:tcPr>
            <w:tcW w:w="646" w:type="dxa"/>
            <w:tcBorders>
              <w:left w:val="nil"/>
              <w:right w:val="nil"/>
            </w:tcBorders>
            <w:shd w:val="clear" w:color="auto" w:fill="auto"/>
            <w:vAlign w:val="bottom"/>
          </w:tcPr>
          <w:p w14:paraId="18633CA6"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31</w:t>
            </w:r>
          </w:p>
        </w:tc>
        <w:tc>
          <w:tcPr>
            <w:tcW w:w="646" w:type="dxa"/>
            <w:tcBorders>
              <w:left w:val="nil"/>
              <w:right w:val="nil"/>
            </w:tcBorders>
            <w:shd w:val="clear" w:color="auto" w:fill="auto"/>
            <w:vAlign w:val="bottom"/>
          </w:tcPr>
          <w:p w14:paraId="321A75E3"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25</w:t>
            </w:r>
          </w:p>
        </w:tc>
        <w:tc>
          <w:tcPr>
            <w:tcW w:w="647" w:type="dxa"/>
            <w:tcBorders>
              <w:left w:val="nil"/>
              <w:right w:val="nil"/>
            </w:tcBorders>
            <w:shd w:val="clear" w:color="auto" w:fill="auto"/>
            <w:vAlign w:val="bottom"/>
          </w:tcPr>
          <w:p w14:paraId="3C29472D"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19</w:t>
            </w:r>
          </w:p>
        </w:tc>
        <w:tc>
          <w:tcPr>
            <w:tcW w:w="646" w:type="dxa"/>
            <w:tcBorders>
              <w:left w:val="nil"/>
              <w:right w:val="nil"/>
            </w:tcBorders>
            <w:shd w:val="clear" w:color="auto" w:fill="auto"/>
            <w:vAlign w:val="bottom"/>
          </w:tcPr>
          <w:p w14:paraId="169C6EA7"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20</w:t>
            </w:r>
          </w:p>
        </w:tc>
        <w:tc>
          <w:tcPr>
            <w:tcW w:w="646" w:type="dxa"/>
            <w:tcBorders>
              <w:left w:val="nil"/>
              <w:right w:val="nil"/>
            </w:tcBorders>
            <w:shd w:val="clear" w:color="auto" w:fill="auto"/>
            <w:vAlign w:val="bottom"/>
          </w:tcPr>
          <w:p w14:paraId="0A4DC653"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14</w:t>
            </w:r>
          </w:p>
        </w:tc>
        <w:tc>
          <w:tcPr>
            <w:tcW w:w="646" w:type="dxa"/>
            <w:tcBorders>
              <w:left w:val="nil"/>
              <w:right w:val="nil"/>
            </w:tcBorders>
            <w:shd w:val="clear" w:color="auto" w:fill="auto"/>
            <w:vAlign w:val="bottom"/>
          </w:tcPr>
          <w:p w14:paraId="64BE26D5"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13</w:t>
            </w:r>
          </w:p>
        </w:tc>
        <w:tc>
          <w:tcPr>
            <w:tcW w:w="647" w:type="dxa"/>
            <w:tcBorders>
              <w:left w:val="nil"/>
              <w:right w:val="nil"/>
            </w:tcBorders>
            <w:shd w:val="clear" w:color="auto" w:fill="auto"/>
            <w:vAlign w:val="bottom"/>
          </w:tcPr>
          <w:p w14:paraId="6DE49A8F"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6</w:t>
            </w:r>
          </w:p>
        </w:tc>
        <w:tc>
          <w:tcPr>
            <w:tcW w:w="646" w:type="dxa"/>
            <w:tcBorders>
              <w:left w:val="nil"/>
              <w:right w:val="nil"/>
            </w:tcBorders>
            <w:shd w:val="clear" w:color="auto" w:fill="auto"/>
            <w:vAlign w:val="bottom"/>
          </w:tcPr>
          <w:p w14:paraId="760A5057"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37</w:t>
            </w:r>
          </w:p>
        </w:tc>
        <w:tc>
          <w:tcPr>
            <w:tcW w:w="646" w:type="dxa"/>
            <w:tcBorders>
              <w:left w:val="nil"/>
              <w:right w:val="nil"/>
            </w:tcBorders>
            <w:shd w:val="clear" w:color="auto" w:fill="auto"/>
            <w:vAlign w:val="bottom"/>
          </w:tcPr>
          <w:p w14:paraId="04B90522"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29</w:t>
            </w:r>
          </w:p>
        </w:tc>
        <w:tc>
          <w:tcPr>
            <w:tcW w:w="646" w:type="dxa"/>
            <w:tcBorders>
              <w:left w:val="nil"/>
              <w:right w:val="nil"/>
            </w:tcBorders>
            <w:shd w:val="clear" w:color="auto" w:fill="auto"/>
            <w:vAlign w:val="bottom"/>
          </w:tcPr>
          <w:p w14:paraId="49068FA4"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w:t>
            </w:r>
          </w:p>
        </w:tc>
        <w:tc>
          <w:tcPr>
            <w:tcW w:w="647" w:type="dxa"/>
            <w:tcBorders>
              <w:left w:val="nil"/>
              <w:right w:val="nil"/>
            </w:tcBorders>
            <w:shd w:val="clear" w:color="auto" w:fill="auto"/>
            <w:vAlign w:val="bottom"/>
          </w:tcPr>
          <w:p w14:paraId="1BC15974"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7</w:t>
            </w:r>
          </w:p>
        </w:tc>
      </w:tr>
      <w:tr w:rsidR="00B67B8B" w14:paraId="0FAB8353" w14:textId="77777777" w:rsidTr="00440578">
        <w:tblPrEx>
          <w:tblBorders>
            <w:top w:val="none" w:sz="0" w:space="0" w:color="auto"/>
          </w:tblBorders>
        </w:tblPrEx>
        <w:trPr>
          <w:gridAfter w:val="2"/>
          <w:wAfter w:w="1294" w:type="dxa"/>
          <w:jc w:val="center"/>
        </w:trPr>
        <w:tc>
          <w:tcPr>
            <w:tcW w:w="1984" w:type="dxa"/>
            <w:tcBorders>
              <w:left w:val="nil"/>
              <w:right w:val="nil"/>
            </w:tcBorders>
            <w:vAlign w:val="bottom"/>
          </w:tcPr>
          <w:p w14:paraId="5C18C80D" w14:textId="77777777" w:rsidR="00722E5C" w:rsidRPr="00033F64" w:rsidRDefault="00722E5C" w:rsidP="00722E5C">
            <w:pPr>
              <w:widowControl w:val="0"/>
              <w:autoSpaceDE w:val="0"/>
              <w:autoSpaceDN w:val="0"/>
              <w:adjustRightInd w:val="0"/>
              <w:ind w:left="57"/>
              <w:rPr>
                <w:kern w:val="1"/>
                <w:sz w:val="20"/>
                <w:szCs w:val="20"/>
              </w:rPr>
            </w:pPr>
            <w:r w:rsidRPr="00033F64">
              <w:rPr>
                <w:sz w:val="20"/>
                <w:szCs w:val="20"/>
              </w:rPr>
              <w:t>Willow</w:t>
            </w:r>
          </w:p>
        </w:tc>
        <w:tc>
          <w:tcPr>
            <w:tcW w:w="646" w:type="dxa"/>
            <w:tcBorders>
              <w:left w:val="nil"/>
              <w:bottom w:val="nil"/>
              <w:right w:val="nil"/>
            </w:tcBorders>
            <w:shd w:val="clear" w:color="auto" w:fill="auto"/>
            <w:vAlign w:val="bottom"/>
          </w:tcPr>
          <w:p w14:paraId="3DBF92D5"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24</w:t>
            </w:r>
          </w:p>
        </w:tc>
        <w:tc>
          <w:tcPr>
            <w:tcW w:w="646" w:type="dxa"/>
            <w:tcBorders>
              <w:left w:val="nil"/>
              <w:bottom w:val="nil"/>
              <w:right w:val="nil"/>
            </w:tcBorders>
            <w:shd w:val="clear" w:color="auto" w:fill="auto"/>
            <w:vAlign w:val="bottom"/>
          </w:tcPr>
          <w:p w14:paraId="7970D5BC"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30</w:t>
            </w:r>
          </w:p>
        </w:tc>
        <w:tc>
          <w:tcPr>
            <w:tcW w:w="646" w:type="dxa"/>
            <w:tcBorders>
              <w:left w:val="nil"/>
              <w:bottom w:val="nil"/>
              <w:right w:val="nil"/>
            </w:tcBorders>
            <w:shd w:val="clear" w:color="auto" w:fill="auto"/>
            <w:vAlign w:val="bottom"/>
          </w:tcPr>
          <w:p w14:paraId="78C47DC3"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36</w:t>
            </w:r>
          </w:p>
        </w:tc>
        <w:tc>
          <w:tcPr>
            <w:tcW w:w="647" w:type="dxa"/>
            <w:tcBorders>
              <w:left w:val="nil"/>
              <w:bottom w:val="nil"/>
              <w:right w:val="nil"/>
            </w:tcBorders>
            <w:shd w:val="clear" w:color="auto" w:fill="auto"/>
            <w:vAlign w:val="bottom"/>
          </w:tcPr>
          <w:p w14:paraId="25199468"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35</w:t>
            </w:r>
          </w:p>
        </w:tc>
        <w:tc>
          <w:tcPr>
            <w:tcW w:w="646" w:type="dxa"/>
            <w:tcBorders>
              <w:left w:val="nil"/>
              <w:bottom w:val="nil"/>
              <w:right w:val="nil"/>
            </w:tcBorders>
            <w:shd w:val="clear" w:color="auto" w:fill="auto"/>
            <w:vAlign w:val="bottom"/>
          </w:tcPr>
          <w:p w14:paraId="615F2947"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33</w:t>
            </w:r>
          </w:p>
        </w:tc>
        <w:tc>
          <w:tcPr>
            <w:tcW w:w="646" w:type="dxa"/>
            <w:tcBorders>
              <w:left w:val="nil"/>
              <w:bottom w:val="nil"/>
              <w:right w:val="nil"/>
            </w:tcBorders>
            <w:shd w:val="clear" w:color="auto" w:fill="auto"/>
            <w:vAlign w:val="bottom"/>
          </w:tcPr>
          <w:p w14:paraId="1ABF7E48"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23</w:t>
            </w:r>
          </w:p>
        </w:tc>
        <w:tc>
          <w:tcPr>
            <w:tcW w:w="646" w:type="dxa"/>
            <w:tcBorders>
              <w:left w:val="nil"/>
              <w:bottom w:val="nil"/>
              <w:right w:val="nil"/>
            </w:tcBorders>
            <w:shd w:val="clear" w:color="auto" w:fill="auto"/>
            <w:vAlign w:val="bottom"/>
          </w:tcPr>
          <w:p w14:paraId="3F5C62CD"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18</w:t>
            </w:r>
          </w:p>
        </w:tc>
        <w:tc>
          <w:tcPr>
            <w:tcW w:w="647" w:type="dxa"/>
            <w:tcBorders>
              <w:left w:val="nil"/>
              <w:bottom w:val="nil"/>
              <w:right w:val="nil"/>
            </w:tcBorders>
            <w:shd w:val="clear" w:color="auto" w:fill="auto"/>
            <w:vAlign w:val="bottom"/>
          </w:tcPr>
          <w:p w14:paraId="564739B9"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8</w:t>
            </w:r>
          </w:p>
        </w:tc>
        <w:tc>
          <w:tcPr>
            <w:tcW w:w="646" w:type="dxa"/>
            <w:tcBorders>
              <w:left w:val="nil"/>
              <w:bottom w:val="nil"/>
              <w:right w:val="nil"/>
            </w:tcBorders>
            <w:shd w:val="clear" w:color="auto" w:fill="auto"/>
            <w:vAlign w:val="bottom"/>
          </w:tcPr>
          <w:p w14:paraId="057E5397"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39</w:t>
            </w:r>
          </w:p>
        </w:tc>
        <w:tc>
          <w:tcPr>
            <w:tcW w:w="646" w:type="dxa"/>
            <w:tcBorders>
              <w:left w:val="nil"/>
              <w:bottom w:val="nil"/>
              <w:right w:val="nil"/>
            </w:tcBorders>
            <w:shd w:val="clear" w:color="auto" w:fill="auto"/>
            <w:vAlign w:val="bottom"/>
          </w:tcPr>
          <w:p w14:paraId="5A59721D"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36</w:t>
            </w:r>
          </w:p>
        </w:tc>
        <w:tc>
          <w:tcPr>
            <w:tcW w:w="646" w:type="dxa"/>
            <w:tcBorders>
              <w:left w:val="nil"/>
              <w:bottom w:val="nil"/>
              <w:right w:val="nil"/>
            </w:tcBorders>
            <w:shd w:val="clear" w:color="auto" w:fill="auto"/>
            <w:vAlign w:val="bottom"/>
          </w:tcPr>
          <w:p w14:paraId="347BAD75"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13</w:t>
            </w:r>
          </w:p>
        </w:tc>
        <w:tc>
          <w:tcPr>
            <w:tcW w:w="647" w:type="dxa"/>
            <w:tcBorders>
              <w:left w:val="nil"/>
              <w:bottom w:val="nil"/>
              <w:right w:val="nil"/>
            </w:tcBorders>
            <w:shd w:val="clear" w:color="auto" w:fill="auto"/>
            <w:vAlign w:val="bottom"/>
          </w:tcPr>
          <w:p w14:paraId="07BA4310" w14:textId="77777777" w:rsidR="00722E5C" w:rsidRPr="00033F64" w:rsidRDefault="00722E5C" w:rsidP="00722E5C">
            <w:pPr>
              <w:widowControl w:val="0"/>
              <w:autoSpaceDE w:val="0"/>
              <w:autoSpaceDN w:val="0"/>
              <w:adjustRightInd w:val="0"/>
              <w:jc w:val="right"/>
              <w:rPr>
                <w:kern w:val="1"/>
                <w:sz w:val="20"/>
                <w:szCs w:val="20"/>
              </w:rPr>
            </w:pPr>
            <w:r w:rsidRPr="00033F64">
              <w:rPr>
                <w:sz w:val="20"/>
                <w:szCs w:val="20"/>
              </w:rPr>
              <w:t>-</w:t>
            </w:r>
          </w:p>
        </w:tc>
      </w:tr>
      <w:tr w:rsidR="00B67B8B" w14:paraId="4C32B1D8" w14:textId="77777777" w:rsidTr="00440578">
        <w:tblPrEx>
          <w:tblBorders>
            <w:top w:val="none" w:sz="0" w:space="0" w:color="auto"/>
          </w:tblBorders>
        </w:tblPrEx>
        <w:trPr>
          <w:gridAfter w:val="2"/>
          <w:wAfter w:w="1294" w:type="dxa"/>
          <w:trHeight w:val="343"/>
          <w:jc w:val="center"/>
        </w:trPr>
        <w:tc>
          <w:tcPr>
            <w:tcW w:w="1984" w:type="dxa"/>
            <w:tcBorders>
              <w:top w:val="nil"/>
              <w:left w:val="nil"/>
              <w:bottom w:val="nil"/>
              <w:right w:val="nil"/>
            </w:tcBorders>
            <w:shd w:val="clear" w:color="auto" w:fill="auto"/>
            <w:vAlign w:val="center"/>
          </w:tcPr>
          <w:p w14:paraId="41D9B7B5" w14:textId="77777777" w:rsidR="00722E5C" w:rsidRPr="00033F64" w:rsidRDefault="00722E5C" w:rsidP="00722E5C">
            <w:pPr>
              <w:widowControl w:val="0"/>
              <w:autoSpaceDE w:val="0"/>
              <w:autoSpaceDN w:val="0"/>
              <w:adjustRightInd w:val="0"/>
              <w:ind w:left="57"/>
              <w:rPr>
                <w:b/>
                <w:color w:val="000000"/>
                <w:sz w:val="20"/>
                <w:szCs w:val="20"/>
              </w:rPr>
            </w:pPr>
          </w:p>
        </w:tc>
        <w:tc>
          <w:tcPr>
            <w:tcW w:w="646" w:type="dxa"/>
            <w:tcBorders>
              <w:top w:val="nil"/>
              <w:left w:val="nil"/>
              <w:bottom w:val="nil"/>
              <w:right w:val="nil"/>
            </w:tcBorders>
            <w:shd w:val="clear" w:color="auto" w:fill="auto"/>
            <w:vAlign w:val="center"/>
          </w:tcPr>
          <w:p w14:paraId="58696934" w14:textId="77777777" w:rsidR="00722E5C" w:rsidRPr="00033F64" w:rsidRDefault="00722E5C" w:rsidP="00722E5C">
            <w:pPr>
              <w:widowControl w:val="0"/>
              <w:autoSpaceDE w:val="0"/>
              <w:autoSpaceDN w:val="0"/>
              <w:adjustRightInd w:val="0"/>
              <w:jc w:val="right"/>
              <w:rPr>
                <w:b/>
                <w:sz w:val="20"/>
                <w:szCs w:val="20"/>
              </w:rPr>
            </w:pPr>
          </w:p>
        </w:tc>
        <w:tc>
          <w:tcPr>
            <w:tcW w:w="646" w:type="dxa"/>
            <w:tcBorders>
              <w:top w:val="nil"/>
              <w:left w:val="nil"/>
              <w:bottom w:val="nil"/>
              <w:right w:val="nil"/>
            </w:tcBorders>
            <w:shd w:val="clear" w:color="auto" w:fill="auto"/>
            <w:vAlign w:val="center"/>
          </w:tcPr>
          <w:p w14:paraId="5EF5D08C" w14:textId="77777777" w:rsidR="00722E5C" w:rsidRPr="00033F64" w:rsidRDefault="00722E5C" w:rsidP="00722E5C">
            <w:pPr>
              <w:widowControl w:val="0"/>
              <w:autoSpaceDE w:val="0"/>
              <w:autoSpaceDN w:val="0"/>
              <w:adjustRightInd w:val="0"/>
              <w:jc w:val="right"/>
              <w:rPr>
                <w:b/>
                <w:sz w:val="20"/>
                <w:szCs w:val="20"/>
              </w:rPr>
            </w:pPr>
          </w:p>
        </w:tc>
        <w:tc>
          <w:tcPr>
            <w:tcW w:w="646" w:type="dxa"/>
            <w:tcBorders>
              <w:top w:val="nil"/>
              <w:left w:val="nil"/>
              <w:bottom w:val="nil"/>
              <w:right w:val="nil"/>
            </w:tcBorders>
            <w:shd w:val="clear" w:color="auto" w:fill="auto"/>
            <w:vAlign w:val="center"/>
          </w:tcPr>
          <w:p w14:paraId="174E70D7" w14:textId="77777777" w:rsidR="00722E5C" w:rsidRPr="00033F64" w:rsidRDefault="00722E5C" w:rsidP="00722E5C">
            <w:pPr>
              <w:widowControl w:val="0"/>
              <w:autoSpaceDE w:val="0"/>
              <w:autoSpaceDN w:val="0"/>
              <w:adjustRightInd w:val="0"/>
              <w:jc w:val="right"/>
              <w:rPr>
                <w:b/>
                <w:sz w:val="20"/>
                <w:szCs w:val="20"/>
              </w:rPr>
            </w:pPr>
          </w:p>
        </w:tc>
        <w:tc>
          <w:tcPr>
            <w:tcW w:w="647" w:type="dxa"/>
            <w:tcBorders>
              <w:top w:val="nil"/>
              <w:left w:val="nil"/>
              <w:bottom w:val="nil"/>
              <w:right w:val="nil"/>
            </w:tcBorders>
            <w:shd w:val="clear" w:color="auto" w:fill="auto"/>
            <w:vAlign w:val="center"/>
          </w:tcPr>
          <w:p w14:paraId="374BA3C0" w14:textId="77777777" w:rsidR="00722E5C" w:rsidRPr="00033F64" w:rsidRDefault="00722E5C" w:rsidP="00722E5C">
            <w:pPr>
              <w:widowControl w:val="0"/>
              <w:autoSpaceDE w:val="0"/>
              <w:autoSpaceDN w:val="0"/>
              <w:adjustRightInd w:val="0"/>
              <w:jc w:val="right"/>
              <w:rPr>
                <w:b/>
                <w:sz w:val="20"/>
                <w:szCs w:val="20"/>
              </w:rPr>
            </w:pPr>
          </w:p>
        </w:tc>
        <w:tc>
          <w:tcPr>
            <w:tcW w:w="646" w:type="dxa"/>
            <w:tcBorders>
              <w:top w:val="nil"/>
              <w:left w:val="nil"/>
              <w:bottom w:val="nil"/>
              <w:right w:val="nil"/>
            </w:tcBorders>
            <w:shd w:val="clear" w:color="auto" w:fill="auto"/>
            <w:vAlign w:val="center"/>
          </w:tcPr>
          <w:p w14:paraId="6BD5C6B4" w14:textId="77777777" w:rsidR="00722E5C" w:rsidRPr="00033F64" w:rsidRDefault="00722E5C" w:rsidP="00722E5C">
            <w:pPr>
              <w:widowControl w:val="0"/>
              <w:autoSpaceDE w:val="0"/>
              <w:autoSpaceDN w:val="0"/>
              <w:adjustRightInd w:val="0"/>
              <w:jc w:val="right"/>
              <w:rPr>
                <w:b/>
                <w:sz w:val="20"/>
                <w:szCs w:val="20"/>
              </w:rPr>
            </w:pPr>
          </w:p>
        </w:tc>
        <w:tc>
          <w:tcPr>
            <w:tcW w:w="646" w:type="dxa"/>
            <w:tcBorders>
              <w:top w:val="nil"/>
              <w:left w:val="nil"/>
              <w:bottom w:val="nil"/>
              <w:right w:val="nil"/>
            </w:tcBorders>
            <w:shd w:val="clear" w:color="auto" w:fill="auto"/>
            <w:vAlign w:val="center"/>
          </w:tcPr>
          <w:p w14:paraId="0334CBF3" w14:textId="77777777" w:rsidR="00722E5C" w:rsidRPr="00033F64" w:rsidRDefault="00722E5C" w:rsidP="00722E5C">
            <w:pPr>
              <w:widowControl w:val="0"/>
              <w:autoSpaceDE w:val="0"/>
              <w:autoSpaceDN w:val="0"/>
              <w:adjustRightInd w:val="0"/>
              <w:jc w:val="right"/>
              <w:rPr>
                <w:b/>
                <w:sz w:val="20"/>
                <w:szCs w:val="20"/>
              </w:rPr>
            </w:pPr>
          </w:p>
        </w:tc>
        <w:tc>
          <w:tcPr>
            <w:tcW w:w="646" w:type="dxa"/>
            <w:tcBorders>
              <w:top w:val="nil"/>
              <w:left w:val="nil"/>
              <w:bottom w:val="nil"/>
              <w:right w:val="nil"/>
            </w:tcBorders>
            <w:shd w:val="clear" w:color="auto" w:fill="auto"/>
            <w:vAlign w:val="center"/>
          </w:tcPr>
          <w:p w14:paraId="1B80D3C4" w14:textId="77777777" w:rsidR="00722E5C" w:rsidRPr="00033F64" w:rsidRDefault="00722E5C" w:rsidP="00722E5C">
            <w:pPr>
              <w:widowControl w:val="0"/>
              <w:autoSpaceDE w:val="0"/>
              <w:autoSpaceDN w:val="0"/>
              <w:adjustRightInd w:val="0"/>
              <w:jc w:val="right"/>
              <w:rPr>
                <w:b/>
                <w:sz w:val="20"/>
                <w:szCs w:val="20"/>
              </w:rPr>
            </w:pPr>
          </w:p>
        </w:tc>
        <w:tc>
          <w:tcPr>
            <w:tcW w:w="647" w:type="dxa"/>
            <w:tcBorders>
              <w:top w:val="nil"/>
              <w:left w:val="nil"/>
              <w:bottom w:val="nil"/>
              <w:right w:val="nil"/>
            </w:tcBorders>
            <w:shd w:val="clear" w:color="auto" w:fill="auto"/>
            <w:vAlign w:val="center"/>
          </w:tcPr>
          <w:p w14:paraId="3848B94F" w14:textId="77777777" w:rsidR="00722E5C" w:rsidRPr="00033F64" w:rsidRDefault="00722E5C" w:rsidP="00722E5C">
            <w:pPr>
              <w:widowControl w:val="0"/>
              <w:autoSpaceDE w:val="0"/>
              <w:autoSpaceDN w:val="0"/>
              <w:adjustRightInd w:val="0"/>
              <w:jc w:val="right"/>
              <w:rPr>
                <w:b/>
                <w:sz w:val="20"/>
                <w:szCs w:val="20"/>
              </w:rPr>
            </w:pPr>
          </w:p>
        </w:tc>
        <w:tc>
          <w:tcPr>
            <w:tcW w:w="646" w:type="dxa"/>
            <w:tcBorders>
              <w:top w:val="nil"/>
              <w:left w:val="nil"/>
              <w:bottom w:val="nil"/>
              <w:right w:val="nil"/>
            </w:tcBorders>
            <w:shd w:val="clear" w:color="auto" w:fill="auto"/>
            <w:vAlign w:val="center"/>
          </w:tcPr>
          <w:p w14:paraId="58F9D188" w14:textId="77777777" w:rsidR="00722E5C" w:rsidRPr="00033F64" w:rsidRDefault="00722E5C" w:rsidP="00722E5C">
            <w:pPr>
              <w:widowControl w:val="0"/>
              <w:autoSpaceDE w:val="0"/>
              <w:autoSpaceDN w:val="0"/>
              <w:adjustRightInd w:val="0"/>
              <w:jc w:val="right"/>
              <w:rPr>
                <w:b/>
                <w:sz w:val="20"/>
                <w:szCs w:val="20"/>
              </w:rPr>
            </w:pPr>
          </w:p>
        </w:tc>
        <w:tc>
          <w:tcPr>
            <w:tcW w:w="646" w:type="dxa"/>
            <w:tcBorders>
              <w:top w:val="nil"/>
              <w:left w:val="nil"/>
              <w:bottom w:val="nil"/>
              <w:right w:val="nil"/>
            </w:tcBorders>
            <w:shd w:val="clear" w:color="auto" w:fill="auto"/>
            <w:vAlign w:val="center"/>
          </w:tcPr>
          <w:p w14:paraId="02E83357" w14:textId="77777777" w:rsidR="00722E5C" w:rsidRPr="00033F64" w:rsidRDefault="00722E5C" w:rsidP="00722E5C">
            <w:pPr>
              <w:widowControl w:val="0"/>
              <w:autoSpaceDE w:val="0"/>
              <w:autoSpaceDN w:val="0"/>
              <w:adjustRightInd w:val="0"/>
              <w:jc w:val="right"/>
              <w:rPr>
                <w:b/>
                <w:sz w:val="20"/>
                <w:szCs w:val="20"/>
              </w:rPr>
            </w:pPr>
          </w:p>
        </w:tc>
        <w:tc>
          <w:tcPr>
            <w:tcW w:w="646" w:type="dxa"/>
            <w:tcBorders>
              <w:top w:val="nil"/>
              <w:left w:val="nil"/>
              <w:bottom w:val="nil"/>
              <w:right w:val="nil"/>
            </w:tcBorders>
            <w:shd w:val="clear" w:color="auto" w:fill="auto"/>
            <w:vAlign w:val="center"/>
          </w:tcPr>
          <w:p w14:paraId="2106376C" w14:textId="77777777" w:rsidR="00722E5C" w:rsidRPr="00033F64" w:rsidRDefault="00722E5C" w:rsidP="00722E5C">
            <w:pPr>
              <w:widowControl w:val="0"/>
              <w:autoSpaceDE w:val="0"/>
              <w:autoSpaceDN w:val="0"/>
              <w:adjustRightInd w:val="0"/>
              <w:jc w:val="right"/>
              <w:rPr>
                <w:b/>
                <w:sz w:val="20"/>
                <w:szCs w:val="20"/>
              </w:rPr>
            </w:pPr>
          </w:p>
        </w:tc>
        <w:tc>
          <w:tcPr>
            <w:tcW w:w="647" w:type="dxa"/>
            <w:tcBorders>
              <w:top w:val="nil"/>
              <w:left w:val="nil"/>
              <w:bottom w:val="nil"/>
              <w:right w:val="nil"/>
            </w:tcBorders>
            <w:shd w:val="clear" w:color="auto" w:fill="auto"/>
            <w:vAlign w:val="center"/>
          </w:tcPr>
          <w:p w14:paraId="0688E12A" w14:textId="77777777" w:rsidR="00722E5C" w:rsidRPr="00033F64" w:rsidRDefault="00722E5C" w:rsidP="00722E5C">
            <w:pPr>
              <w:widowControl w:val="0"/>
              <w:autoSpaceDE w:val="0"/>
              <w:autoSpaceDN w:val="0"/>
              <w:adjustRightInd w:val="0"/>
              <w:jc w:val="right"/>
              <w:rPr>
                <w:b/>
                <w:sz w:val="20"/>
                <w:szCs w:val="20"/>
              </w:rPr>
            </w:pPr>
          </w:p>
        </w:tc>
      </w:tr>
      <w:tr w:rsidR="00920CC7" w14:paraId="4A914806" w14:textId="77777777" w:rsidTr="00722E5C">
        <w:tblPrEx>
          <w:tblBorders>
            <w:top w:val="none" w:sz="0" w:space="0" w:color="auto"/>
          </w:tblBorders>
        </w:tblPrEx>
        <w:trPr>
          <w:gridAfter w:val="2"/>
          <w:wAfter w:w="1294" w:type="dxa"/>
          <w:trHeight w:val="343"/>
          <w:jc w:val="center"/>
        </w:trPr>
        <w:tc>
          <w:tcPr>
            <w:tcW w:w="1984" w:type="dxa"/>
            <w:tcBorders>
              <w:top w:val="nil"/>
              <w:left w:val="nil"/>
              <w:bottom w:val="single" w:sz="4" w:space="0" w:color="auto"/>
              <w:right w:val="nil"/>
            </w:tcBorders>
            <w:vAlign w:val="center"/>
          </w:tcPr>
          <w:p w14:paraId="4FDD7E0A" w14:textId="77777777" w:rsidR="00722E5C" w:rsidRPr="00033F64" w:rsidRDefault="00722E5C" w:rsidP="00722E5C">
            <w:pPr>
              <w:widowControl w:val="0"/>
              <w:autoSpaceDE w:val="0"/>
              <w:autoSpaceDN w:val="0"/>
              <w:adjustRightInd w:val="0"/>
              <w:ind w:left="57"/>
              <w:rPr>
                <w:b/>
                <w:kern w:val="1"/>
                <w:sz w:val="20"/>
                <w:szCs w:val="20"/>
              </w:rPr>
            </w:pPr>
            <w:r w:rsidRPr="00033F64">
              <w:rPr>
                <w:b/>
                <w:color w:val="000000"/>
                <w:sz w:val="20"/>
                <w:szCs w:val="20"/>
              </w:rPr>
              <w:t>Average Dup</w:t>
            </w:r>
            <w:r>
              <w:rPr>
                <w:b/>
                <w:color w:val="000000"/>
                <w:sz w:val="20"/>
                <w:szCs w:val="20"/>
              </w:rPr>
              <w:t>lication</w:t>
            </w:r>
          </w:p>
        </w:tc>
        <w:tc>
          <w:tcPr>
            <w:tcW w:w="646" w:type="dxa"/>
            <w:tcBorders>
              <w:top w:val="nil"/>
              <w:left w:val="nil"/>
              <w:bottom w:val="single" w:sz="4" w:space="0" w:color="auto"/>
              <w:right w:val="nil"/>
            </w:tcBorders>
            <w:shd w:val="clear" w:color="auto" w:fill="F2F2F2" w:themeFill="background1" w:themeFillShade="F2"/>
            <w:vAlign w:val="center"/>
          </w:tcPr>
          <w:p w14:paraId="7F3925EA" w14:textId="77777777" w:rsidR="00722E5C" w:rsidRPr="00033F64" w:rsidRDefault="00722E5C" w:rsidP="00722E5C">
            <w:pPr>
              <w:widowControl w:val="0"/>
              <w:autoSpaceDE w:val="0"/>
              <w:autoSpaceDN w:val="0"/>
              <w:adjustRightInd w:val="0"/>
              <w:jc w:val="right"/>
              <w:rPr>
                <w:b/>
                <w:sz w:val="20"/>
                <w:szCs w:val="20"/>
              </w:rPr>
            </w:pPr>
            <w:r w:rsidRPr="00033F64">
              <w:rPr>
                <w:b/>
                <w:sz w:val="20"/>
                <w:szCs w:val="20"/>
              </w:rPr>
              <w:t>27</w:t>
            </w:r>
          </w:p>
        </w:tc>
        <w:tc>
          <w:tcPr>
            <w:tcW w:w="646" w:type="dxa"/>
            <w:tcBorders>
              <w:top w:val="nil"/>
              <w:left w:val="nil"/>
              <w:bottom w:val="single" w:sz="4" w:space="0" w:color="auto"/>
              <w:right w:val="nil"/>
            </w:tcBorders>
            <w:shd w:val="clear" w:color="auto" w:fill="F2F2F2" w:themeFill="background1" w:themeFillShade="F2"/>
            <w:vAlign w:val="center"/>
          </w:tcPr>
          <w:p w14:paraId="4E706B82" w14:textId="77777777" w:rsidR="00722E5C" w:rsidRPr="00033F64" w:rsidRDefault="00722E5C" w:rsidP="00722E5C">
            <w:pPr>
              <w:widowControl w:val="0"/>
              <w:autoSpaceDE w:val="0"/>
              <w:autoSpaceDN w:val="0"/>
              <w:adjustRightInd w:val="0"/>
              <w:jc w:val="right"/>
              <w:rPr>
                <w:b/>
                <w:sz w:val="20"/>
                <w:szCs w:val="20"/>
              </w:rPr>
            </w:pPr>
            <w:r w:rsidRPr="00033F64">
              <w:rPr>
                <w:b/>
                <w:sz w:val="20"/>
                <w:szCs w:val="20"/>
              </w:rPr>
              <w:t>28</w:t>
            </w:r>
          </w:p>
        </w:tc>
        <w:tc>
          <w:tcPr>
            <w:tcW w:w="646" w:type="dxa"/>
            <w:tcBorders>
              <w:top w:val="nil"/>
              <w:left w:val="nil"/>
              <w:bottom w:val="single" w:sz="4" w:space="0" w:color="auto"/>
              <w:right w:val="nil"/>
            </w:tcBorders>
            <w:shd w:val="clear" w:color="auto" w:fill="F2F2F2" w:themeFill="background1" w:themeFillShade="F2"/>
            <w:vAlign w:val="center"/>
          </w:tcPr>
          <w:p w14:paraId="49D92A79" w14:textId="77777777" w:rsidR="00722E5C" w:rsidRPr="00033F64" w:rsidRDefault="00722E5C" w:rsidP="00722E5C">
            <w:pPr>
              <w:widowControl w:val="0"/>
              <w:autoSpaceDE w:val="0"/>
              <w:autoSpaceDN w:val="0"/>
              <w:adjustRightInd w:val="0"/>
              <w:jc w:val="right"/>
              <w:rPr>
                <w:b/>
                <w:sz w:val="20"/>
                <w:szCs w:val="20"/>
              </w:rPr>
            </w:pPr>
            <w:r w:rsidRPr="00033F64">
              <w:rPr>
                <w:b/>
                <w:sz w:val="20"/>
                <w:szCs w:val="20"/>
              </w:rPr>
              <w:t>25</w:t>
            </w:r>
          </w:p>
        </w:tc>
        <w:tc>
          <w:tcPr>
            <w:tcW w:w="647" w:type="dxa"/>
            <w:tcBorders>
              <w:top w:val="nil"/>
              <w:left w:val="nil"/>
              <w:bottom w:val="single" w:sz="4" w:space="0" w:color="auto"/>
              <w:right w:val="nil"/>
            </w:tcBorders>
            <w:shd w:val="clear" w:color="auto" w:fill="D9D9D9" w:themeFill="background1" w:themeFillShade="D9"/>
            <w:vAlign w:val="center"/>
          </w:tcPr>
          <w:p w14:paraId="2B3F5267" w14:textId="77777777" w:rsidR="00722E5C" w:rsidRPr="00033F64" w:rsidRDefault="00722E5C" w:rsidP="00722E5C">
            <w:pPr>
              <w:widowControl w:val="0"/>
              <w:autoSpaceDE w:val="0"/>
              <w:autoSpaceDN w:val="0"/>
              <w:adjustRightInd w:val="0"/>
              <w:jc w:val="right"/>
              <w:rPr>
                <w:b/>
                <w:sz w:val="20"/>
                <w:szCs w:val="20"/>
              </w:rPr>
            </w:pPr>
            <w:r w:rsidRPr="00033F64">
              <w:rPr>
                <w:b/>
                <w:sz w:val="20"/>
                <w:szCs w:val="20"/>
              </w:rPr>
              <w:t>32</w:t>
            </w:r>
          </w:p>
        </w:tc>
        <w:tc>
          <w:tcPr>
            <w:tcW w:w="646" w:type="dxa"/>
            <w:tcBorders>
              <w:top w:val="nil"/>
              <w:left w:val="nil"/>
              <w:bottom w:val="single" w:sz="4" w:space="0" w:color="auto"/>
              <w:right w:val="nil"/>
            </w:tcBorders>
            <w:shd w:val="clear" w:color="auto" w:fill="D9D9D9" w:themeFill="background1" w:themeFillShade="D9"/>
            <w:vAlign w:val="center"/>
          </w:tcPr>
          <w:p w14:paraId="37490938" w14:textId="77777777" w:rsidR="00722E5C" w:rsidRPr="00033F64" w:rsidRDefault="00722E5C" w:rsidP="00722E5C">
            <w:pPr>
              <w:widowControl w:val="0"/>
              <w:autoSpaceDE w:val="0"/>
              <w:autoSpaceDN w:val="0"/>
              <w:adjustRightInd w:val="0"/>
              <w:jc w:val="right"/>
              <w:rPr>
                <w:b/>
                <w:sz w:val="20"/>
                <w:szCs w:val="20"/>
              </w:rPr>
            </w:pPr>
            <w:r w:rsidRPr="00033F64">
              <w:rPr>
                <w:b/>
                <w:sz w:val="20"/>
                <w:szCs w:val="20"/>
              </w:rPr>
              <w:t>31</w:t>
            </w:r>
          </w:p>
        </w:tc>
        <w:tc>
          <w:tcPr>
            <w:tcW w:w="646" w:type="dxa"/>
            <w:tcBorders>
              <w:top w:val="nil"/>
              <w:left w:val="nil"/>
              <w:bottom w:val="single" w:sz="4" w:space="0" w:color="auto"/>
              <w:right w:val="nil"/>
            </w:tcBorders>
            <w:shd w:val="clear" w:color="auto" w:fill="D9D9D9" w:themeFill="background1" w:themeFillShade="D9"/>
            <w:vAlign w:val="center"/>
          </w:tcPr>
          <w:p w14:paraId="07F36DFB" w14:textId="77777777" w:rsidR="00722E5C" w:rsidRPr="00033F64" w:rsidRDefault="00722E5C" w:rsidP="00722E5C">
            <w:pPr>
              <w:widowControl w:val="0"/>
              <w:autoSpaceDE w:val="0"/>
              <w:autoSpaceDN w:val="0"/>
              <w:adjustRightInd w:val="0"/>
              <w:jc w:val="right"/>
              <w:rPr>
                <w:b/>
                <w:sz w:val="20"/>
                <w:szCs w:val="20"/>
              </w:rPr>
            </w:pPr>
            <w:r w:rsidRPr="00033F64">
              <w:rPr>
                <w:b/>
                <w:sz w:val="20"/>
                <w:szCs w:val="20"/>
              </w:rPr>
              <w:t>20</w:t>
            </w:r>
          </w:p>
        </w:tc>
        <w:tc>
          <w:tcPr>
            <w:tcW w:w="646" w:type="dxa"/>
            <w:tcBorders>
              <w:top w:val="nil"/>
              <w:left w:val="nil"/>
              <w:bottom w:val="single" w:sz="4" w:space="0" w:color="auto"/>
              <w:right w:val="nil"/>
            </w:tcBorders>
            <w:shd w:val="clear" w:color="auto" w:fill="D9D9D9" w:themeFill="background1" w:themeFillShade="D9"/>
            <w:vAlign w:val="center"/>
          </w:tcPr>
          <w:p w14:paraId="20CEF859" w14:textId="77777777" w:rsidR="00722E5C" w:rsidRPr="00033F64" w:rsidRDefault="00722E5C" w:rsidP="00722E5C">
            <w:pPr>
              <w:widowControl w:val="0"/>
              <w:autoSpaceDE w:val="0"/>
              <w:autoSpaceDN w:val="0"/>
              <w:adjustRightInd w:val="0"/>
              <w:jc w:val="right"/>
              <w:rPr>
                <w:b/>
                <w:sz w:val="20"/>
                <w:szCs w:val="20"/>
              </w:rPr>
            </w:pPr>
            <w:r w:rsidRPr="00033F64">
              <w:rPr>
                <w:b/>
                <w:sz w:val="20"/>
                <w:szCs w:val="20"/>
              </w:rPr>
              <w:t>19</w:t>
            </w:r>
          </w:p>
        </w:tc>
        <w:tc>
          <w:tcPr>
            <w:tcW w:w="647" w:type="dxa"/>
            <w:tcBorders>
              <w:top w:val="nil"/>
              <w:left w:val="nil"/>
              <w:bottom w:val="single" w:sz="4" w:space="0" w:color="auto"/>
              <w:right w:val="nil"/>
            </w:tcBorders>
            <w:shd w:val="clear" w:color="auto" w:fill="D9D9D9" w:themeFill="background1" w:themeFillShade="D9"/>
            <w:vAlign w:val="center"/>
          </w:tcPr>
          <w:p w14:paraId="3F1A30B8" w14:textId="77777777" w:rsidR="00722E5C" w:rsidRPr="00033F64" w:rsidRDefault="00722E5C" w:rsidP="00722E5C">
            <w:pPr>
              <w:widowControl w:val="0"/>
              <w:autoSpaceDE w:val="0"/>
              <w:autoSpaceDN w:val="0"/>
              <w:adjustRightInd w:val="0"/>
              <w:jc w:val="right"/>
              <w:rPr>
                <w:b/>
                <w:sz w:val="20"/>
                <w:szCs w:val="20"/>
              </w:rPr>
            </w:pPr>
            <w:r w:rsidRPr="00033F64">
              <w:rPr>
                <w:b/>
                <w:sz w:val="20"/>
                <w:szCs w:val="20"/>
              </w:rPr>
              <w:t>8</w:t>
            </w:r>
          </w:p>
        </w:tc>
        <w:tc>
          <w:tcPr>
            <w:tcW w:w="646" w:type="dxa"/>
            <w:tcBorders>
              <w:top w:val="nil"/>
              <w:left w:val="nil"/>
              <w:bottom w:val="single" w:sz="4" w:space="0" w:color="auto"/>
              <w:right w:val="nil"/>
            </w:tcBorders>
            <w:vAlign w:val="center"/>
          </w:tcPr>
          <w:p w14:paraId="6ACBDA22" w14:textId="77777777" w:rsidR="00722E5C" w:rsidRPr="00033F64" w:rsidRDefault="00722E5C" w:rsidP="00722E5C">
            <w:pPr>
              <w:widowControl w:val="0"/>
              <w:autoSpaceDE w:val="0"/>
              <w:autoSpaceDN w:val="0"/>
              <w:adjustRightInd w:val="0"/>
              <w:jc w:val="right"/>
              <w:rPr>
                <w:b/>
                <w:sz w:val="20"/>
                <w:szCs w:val="20"/>
              </w:rPr>
            </w:pPr>
            <w:r w:rsidRPr="00033F64">
              <w:rPr>
                <w:b/>
                <w:sz w:val="20"/>
                <w:szCs w:val="20"/>
              </w:rPr>
              <w:t>39</w:t>
            </w:r>
          </w:p>
        </w:tc>
        <w:tc>
          <w:tcPr>
            <w:tcW w:w="646" w:type="dxa"/>
            <w:tcBorders>
              <w:top w:val="nil"/>
              <w:left w:val="nil"/>
              <w:bottom w:val="single" w:sz="4" w:space="0" w:color="auto"/>
              <w:right w:val="nil"/>
            </w:tcBorders>
            <w:vAlign w:val="center"/>
          </w:tcPr>
          <w:p w14:paraId="297C3BA5" w14:textId="77777777" w:rsidR="00722E5C" w:rsidRPr="00033F64" w:rsidRDefault="00722E5C" w:rsidP="00722E5C">
            <w:pPr>
              <w:widowControl w:val="0"/>
              <w:autoSpaceDE w:val="0"/>
              <w:autoSpaceDN w:val="0"/>
              <w:adjustRightInd w:val="0"/>
              <w:jc w:val="right"/>
              <w:rPr>
                <w:b/>
                <w:sz w:val="20"/>
                <w:szCs w:val="20"/>
              </w:rPr>
            </w:pPr>
            <w:r w:rsidRPr="00033F64">
              <w:rPr>
                <w:b/>
                <w:sz w:val="20"/>
                <w:szCs w:val="20"/>
              </w:rPr>
              <w:t>30</w:t>
            </w:r>
          </w:p>
        </w:tc>
        <w:tc>
          <w:tcPr>
            <w:tcW w:w="646" w:type="dxa"/>
            <w:tcBorders>
              <w:top w:val="nil"/>
              <w:left w:val="nil"/>
              <w:bottom w:val="single" w:sz="4" w:space="0" w:color="auto"/>
              <w:right w:val="nil"/>
            </w:tcBorders>
            <w:vAlign w:val="center"/>
          </w:tcPr>
          <w:p w14:paraId="1E08F4FF" w14:textId="77777777" w:rsidR="00722E5C" w:rsidRPr="00033F64" w:rsidRDefault="00722E5C" w:rsidP="00722E5C">
            <w:pPr>
              <w:widowControl w:val="0"/>
              <w:autoSpaceDE w:val="0"/>
              <w:autoSpaceDN w:val="0"/>
              <w:adjustRightInd w:val="0"/>
              <w:jc w:val="right"/>
              <w:rPr>
                <w:b/>
                <w:sz w:val="20"/>
                <w:szCs w:val="20"/>
              </w:rPr>
            </w:pPr>
            <w:r w:rsidRPr="00033F64">
              <w:rPr>
                <w:b/>
                <w:sz w:val="20"/>
                <w:szCs w:val="20"/>
              </w:rPr>
              <w:t>15</w:t>
            </w:r>
          </w:p>
        </w:tc>
        <w:tc>
          <w:tcPr>
            <w:tcW w:w="647" w:type="dxa"/>
            <w:tcBorders>
              <w:top w:val="nil"/>
              <w:left w:val="nil"/>
              <w:bottom w:val="single" w:sz="4" w:space="0" w:color="auto"/>
              <w:right w:val="nil"/>
            </w:tcBorders>
            <w:vAlign w:val="center"/>
          </w:tcPr>
          <w:p w14:paraId="58AB9C1F" w14:textId="77777777" w:rsidR="00722E5C" w:rsidRPr="00033F64" w:rsidRDefault="00722E5C" w:rsidP="00722E5C">
            <w:pPr>
              <w:widowControl w:val="0"/>
              <w:autoSpaceDE w:val="0"/>
              <w:autoSpaceDN w:val="0"/>
              <w:adjustRightInd w:val="0"/>
              <w:jc w:val="right"/>
              <w:rPr>
                <w:b/>
                <w:sz w:val="20"/>
                <w:szCs w:val="20"/>
              </w:rPr>
            </w:pPr>
            <w:r w:rsidRPr="00033F64">
              <w:rPr>
                <w:b/>
                <w:sz w:val="20"/>
                <w:szCs w:val="20"/>
              </w:rPr>
              <w:t>10</w:t>
            </w:r>
          </w:p>
        </w:tc>
      </w:tr>
    </w:tbl>
    <w:p w14:paraId="4284E433" w14:textId="77777777" w:rsidR="00722E5C" w:rsidRPr="00491D4A" w:rsidRDefault="00722E5C" w:rsidP="00722E5C">
      <w:pPr>
        <w:spacing w:before="120"/>
        <w:jc w:val="center"/>
        <w:rPr>
          <w:rFonts w:cs="Arial"/>
          <w:sz w:val="18"/>
          <w:szCs w:val="18"/>
        </w:rPr>
      </w:pPr>
      <w:r w:rsidRPr="00491D4A">
        <w:rPr>
          <w:rFonts w:cs="Arial"/>
          <w:i/>
          <w:sz w:val="18"/>
          <w:szCs w:val="18"/>
        </w:rPr>
        <w:t>Kantar Worldpanel: 52 weeks to Jan 2005.</w:t>
      </w:r>
      <w:r>
        <w:rPr>
          <w:rFonts w:cs="Arial"/>
          <w:i/>
          <w:sz w:val="18"/>
          <w:szCs w:val="18"/>
        </w:rPr>
        <w:t xml:space="preserve"> </w:t>
      </w:r>
    </w:p>
    <w:p w14:paraId="7F334015" w14:textId="77777777" w:rsidR="00722E5C" w:rsidRDefault="00722E5C" w:rsidP="00722E5C">
      <w:pPr>
        <w:jc w:val="center"/>
        <w:rPr>
          <w:rFonts w:cs="Arial"/>
        </w:rPr>
      </w:pPr>
    </w:p>
    <w:p w14:paraId="6C2E5160" w14:textId="77777777" w:rsidR="00722E5C" w:rsidRDefault="00722E5C" w:rsidP="00722E5C">
      <w:pPr>
        <w:jc w:val="center"/>
        <w:rPr>
          <w:rFonts w:cs="Arial"/>
        </w:rPr>
      </w:pPr>
    </w:p>
    <w:p w14:paraId="47F4B182" w14:textId="77777777" w:rsidR="00722E5C" w:rsidRDefault="00722E5C" w:rsidP="00722E5C">
      <w:pPr>
        <w:jc w:val="center"/>
        <w:rPr>
          <w:rFonts w:cs="Arial"/>
        </w:rPr>
      </w:pPr>
    </w:p>
    <w:p w14:paraId="114A95C8" w14:textId="77777777" w:rsidR="00722E5C" w:rsidRDefault="00722E5C" w:rsidP="00722E5C">
      <w:pPr>
        <w:jc w:val="center"/>
        <w:rPr>
          <w:rFonts w:cs="Arial"/>
        </w:rPr>
      </w:pPr>
    </w:p>
    <w:p w14:paraId="7560CD0E" w14:textId="77777777" w:rsidR="00722E5C" w:rsidRDefault="00722E5C" w:rsidP="00722E5C">
      <w:pPr>
        <w:jc w:val="center"/>
        <w:rPr>
          <w:rFonts w:cs="Arial"/>
        </w:rPr>
      </w:pPr>
    </w:p>
    <w:p w14:paraId="1DA78328" w14:textId="77777777" w:rsidR="00722E5C" w:rsidRDefault="00722E5C" w:rsidP="00722E5C">
      <w:pPr>
        <w:jc w:val="center"/>
        <w:rPr>
          <w:rFonts w:cs="Arial"/>
        </w:rPr>
      </w:pPr>
    </w:p>
    <w:p w14:paraId="3E5F4CC1" w14:textId="77777777" w:rsidR="00722E5C" w:rsidRDefault="00722E5C" w:rsidP="00722E5C">
      <w:pPr>
        <w:rPr>
          <w:rFonts w:cs="Arial"/>
        </w:rPr>
      </w:pPr>
    </w:p>
    <w:p w14:paraId="69105CEE" w14:textId="77777777" w:rsidR="00722E5C" w:rsidRDefault="00722E5C" w:rsidP="00722E5C">
      <w:pPr>
        <w:jc w:val="center"/>
        <w:rPr>
          <w:rFonts w:cs="Arial"/>
        </w:rPr>
      </w:pPr>
    </w:p>
    <w:p w14:paraId="33CA07FA" w14:textId="1D2F3176" w:rsidR="00722E5C" w:rsidRPr="00BC62D1" w:rsidRDefault="00722E5C" w:rsidP="00722E5C">
      <w:pPr>
        <w:spacing w:after="120" w:line="480" w:lineRule="auto"/>
        <w:jc w:val="center"/>
        <w:outlineLvl w:val="0"/>
        <w:rPr>
          <w:i/>
        </w:rPr>
      </w:pPr>
      <w:r>
        <w:rPr>
          <w:b/>
        </w:rPr>
        <w:t xml:space="preserve">Table </w:t>
      </w:r>
      <w:r w:rsidRPr="00BC62D1">
        <w:rPr>
          <w:b/>
        </w:rPr>
        <w:t>1</w:t>
      </w:r>
      <w:r w:rsidR="00BF152C">
        <w:rPr>
          <w:b/>
        </w:rPr>
        <w:t>0</w:t>
      </w:r>
      <w:r>
        <w:rPr>
          <w:b/>
        </w:rPr>
        <w:t>.</w:t>
      </w:r>
      <w:r w:rsidRPr="00BC62D1">
        <w:rPr>
          <w:b/>
        </w:rPr>
        <w:t xml:space="preserve">  Loyalty Deviations in Sugar Confectionery</w:t>
      </w:r>
    </w:p>
    <w:tbl>
      <w:tblPr>
        <w:tblW w:w="5679" w:type="dxa"/>
        <w:jc w:val="center"/>
        <w:tblLayout w:type="fixed"/>
        <w:tblLook w:val="0000" w:firstRow="0" w:lastRow="0" w:firstColumn="0" w:lastColumn="0" w:noHBand="0" w:noVBand="0"/>
      </w:tblPr>
      <w:tblGrid>
        <w:gridCol w:w="2135"/>
        <w:gridCol w:w="992"/>
        <w:gridCol w:w="567"/>
        <w:gridCol w:w="709"/>
        <w:gridCol w:w="709"/>
        <w:gridCol w:w="567"/>
      </w:tblGrid>
      <w:tr w:rsidR="00722E5C" w:rsidRPr="00D07677" w14:paraId="5B588EB9" w14:textId="77777777" w:rsidTr="00440578">
        <w:trPr>
          <w:trHeight w:val="240"/>
          <w:jc w:val="center"/>
        </w:trPr>
        <w:tc>
          <w:tcPr>
            <w:tcW w:w="2135" w:type="dxa"/>
            <w:tcBorders>
              <w:top w:val="single" w:sz="4" w:space="0" w:color="auto"/>
            </w:tcBorders>
            <w:shd w:val="clear" w:color="auto" w:fill="auto"/>
            <w:noWrap/>
            <w:vAlign w:val="center"/>
          </w:tcPr>
          <w:p w14:paraId="68A0E2C6" w14:textId="77777777" w:rsidR="00722E5C" w:rsidRPr="00BC62D1" w:rsidRDefault="00722E5C" w:rsidP="00722E5C">
            <w:pPr>
              <w:spacing w:after="120"/>
              <w:rPr>
                <w:sz w:val="20"/>
                <w:szCs w:val="20"/>
              </w:rPr>
            </w:pPr>
            <w:r w:rsidRPr="00BC62D1">
              <w:rPr>
                <w:sz w:val="20"/>
                <w:szCs w:val="20"/>
              </w:rPr>
              <w:t xml:space="preserve">Brand </w:t>
            </w:r>
          </w:p>
        </w:tc>
        <w:tc>
          <w:tcPr>
            <w:tcW w:w="992" w:type="dxa"/>
            <w:vMerge w:val="restart"/>
            <w:tcBorders>
              <w:top w:val="single" w:sz="4" w:space="0" w:color="auto"/>
            </w:tcBorders>
            <w:shd w:val="clear" w:color="auto" w:fill="auto"/>
            <w:noWrap/>
            <w:vAlign w:val="center"/>
          </w:tcPr>
          <w:p w14:paraId="7F28C7C7" w14:textId="77777777" w:rsidR="00722E5C" w:rsidRPr="00BC62D1" w:rsidRDefault="00722E5C" w:rsidP="00722E5C">
            <w:pPr>
              <w:spacing w:after="120"/>
              <w:jc w:val="right"/>
              <w:rPr>
                <w:sz w:val="20"/>
                <w:szCs w:val="20"/>
              </w:rPr>
            </w:pPr>
            <w:r w:rsidRPr="00BC62D1">
              <w:rPr>
                <w:sz w:val="20"/>
                <w:szCs w:val="20"/>
              </w:rPr>
              <w:t xml:space="preserve">Market Share </w:t>
            </w:r>
          </w:p>
        </w:tc>
        <w:tc>
          <w:tcPr>
            <w:tcW w:w="1276" w:type="dxa"/>
            <w:gridSpan w:val="2"/>
            <w:vMerge w:val="restart"/>
            <w:tcBorders>
              <w:top w:val="single" w:sz="4" w:space="0" w:color="auto"/>
            </w:tcBorders>
            <w:shd w:val="clear" w:color="auto" w:fill="auto"/>
            <w:noWrap/>
            <w:vAlign w:val="center"/>
          </w:tcPr>
          <w:p w14:paraId="5A85152D" w14:textId="77777777" w:rsidR="00722E5C" w:rsidRPr="00BC62D1" w:rsidRDefault="00722E5C" w:rsidP="00722E5C">
            <w:pPr>
              <w:spacing w:after="120"/>
              <w:jc w:val="right"/>
              <w:rPr>
                <w:sz w:val="20"/>
                <w:szCs w:val="20"/>
              </w:rPr>
            </w:pPr>
            <w:r w:rsidRPr="00BC62D1">
              <w:rPr>
                <w:sz w:val="20"/>
                <w:szCs w:val="20"/>
              </w:rPr>
              <w:t>Penetration %</w:t>
            </w:r>
          </w:p>
        </w:tc>
        <w:tc>
          <w:tcPr>
            <w:tcW w:w="1276" w:type="dxa"/>
            <w:gridSpan w:val="2"/>
            <w:vMerge w:val="restart"/>
            <w:tcBorders>
              <w:top w:val="single" w:sz="4" w:space="0" w:color="auto"/>
            </w:tcBorders>
            <w:shd w:val="clear" w:color="auto" w:fill="auto"/>
            <w:noWrap/>
            <w:vAlign w:val="center"/>
          </w:tcPr>
          <w:p w14:paraId="3E8A512A" w14:textId="77777777" w:rsidR="00722E5C" w:rsidRPr="00BC62D1" w:rsidRDefault="00722E5C" w:rsidP="00722E5C">
            <w:pPr>
              <w:spacing w:after="120"/>
              <w:jc w:val="right"/>
              <w:rPr>
                <w:rFonts w:ascii="Arial" w:hAnsi="Arial"/>
                <w:sz w:val="20"/>
                <w:szCs w:val="20"/>
              </w:rPr>
            </w:pPr>
            <w:r w:rsidRPr="00BC62D1">
              <w:rPr>
                <w:sz w:val="20"/>
                <w:szCs w:val="20"/>
              </w:rPr>
              <w:t xml:space="preserve"> Purchase per buyer </w:t>
            </w:r>
          </w:p>
        </w:tc>
      </w:tr>
      <w:tr w:rsidR="00722E5C" w:rsidRPr="00D07677" w14:paraId="65A9CF5B" w14:textId="77777777" w:rsidTr="00440578">
        <w:trPr>
          <w:trHeight w:val="240"/>
          <w:jc w:val="center"/>
        </w:trPr>
        <w:tc>
          <w:tcPr>
            <w:tcW w:w="2135" w:type="dxa"/>
            <w:tcBorders>
              <w:bottom w:val="single" w:sz="4" w:space="0" w:color="auto"/>
            </w:tcBorders>
            <w:shd w:val="clear" w:color="auto" w:fill="auto"/>
            <w:noWrap/>
            <w:vAlign w:val="center"/>
          </w:tcPr>
          <w:p w14:paraId="6F684092" w14:textId="77777777" w:rsidR="00722E5C" w:rsidRPr="00D07677" w:rsidRDefault="00722E5C" w:rsidP="00722E5C">
            <w:pPr>
              <w:rPr>
                <w:rFonts w:ascii="Arial" w:hAnsi="Arial"/>
                <w:sz w:val="20"/>
                <w:szCs w:val="20"/>
              </w:rPr>
            </w:pPr>
            <w:r w:rsidRPr="00D07677">
              <w:rPr>
                <w:sz w:val="20"/>
                <w:szCs w:val="20"/>
              </w:rPr>
              <w:t> </w:t>
            </w:r>
          </w:p>
        </w:tc>
        <w:tc>
          <w:tcPr>
            <w:tcW w:w="992" w:type="dxa"/>
            <w:vMerge/>
            <w:tcBorders>
              <w:bottom w:val="single" w:sz="4" w:space="0" w:color="auto"/>
            </w:tcBorders>
            <w:shd w:val="clear" w:color="auto" w:fill="auto"/>
            <w:noWrap/>
            <w:vAlign w:val="center"/>
          </w:tcPr>
          <w:p w14:paraId="0D821A6D" w14:textId="77777777" w:rsidR="00722E5C" w:rsidRPr="00D07677" w:rsidRDefault="00722E5C" w:rsidP="00722E5C">
            <w:pPr>
              <w:jc w:val="right"/>
              <w:rPr>
                <w:b/>
                <w:sz w:val="20"/>
                <w:szCs w:val="20"/>
              </w:rPr>
            </w:pPr>
          </w:p>
        </w:tc>
        <w:tc>
          <w:tcPr>
            <w:tcW w:w="1276" w:type="dxa"/>
            <w:gridSpan w:val="2"/>
            <w:vMerge/>
            <w:tcBorders>
              <w:bottom w:val="single" w:sz="4" w:space="0" w:color="auto"/>
            </w:tcBorders>
            <w:shd w:val="clear" w:color="auto" w:fill="auto"/>
            <w:noWrap/>
            <w:vAlign w:val="center"/>
          </w:tcPr>
          <w:p w14:paraId="533C84F7" w14:textId="77777777" w:rsidR="00722E5C" w:rsidRPr="00D07677" w:rsidRDefault="00722E5C" w:rsidP="00722E5C">
            <w:pPr>
              <w:jc w:val="right"/>
              <w:rPr>
                <w:b/>
                <w:sz w:val="20"/>
                <w:szCs w:val="20"/>
              </w:rPr>
            </w:pPr>
          </w:p>
        </w:tc>
        <w:tc>
          <w:tcPr>
            <w:tcW w:w="1276" w:type="dxa"/>
            <w:gridSpan w:val="2"/>
            <w:vMerge/>
            <w:tcBorders>
              <w:bottom w:val="single" w:sz="4" w:space="0" w:color="auto"/>
            </w:tcBorders>
            <w:shd w:val="clear" w:color="auto" w:fill="auto"/>
            <w:noWrap/>
            <w:vAlign w:val="center"/>
          </w:tcPr>
          <w:p w14:paraId="53C5C881" w14:textId="77777777" w:rsidR="00722E5C" w:rsidRPr="00D07677" w:rsidRDefault="00722E5C" w:rsidP="00722E5C">
            <w:pPr>
              <w:jc w:val="right"/>
              <w:rPr>
                <w:rFonts w:ascii="Arial" w:hAnsi="Arial"/>
                <w:sz w:val="20"/>
                <w:szCs w:val="20"/>
              </w:rPr>
            </w:pPr>
          </w:p>
        </w:tc>
      </w:tr>
      <w:tr w:rsidR="00722E5C" w:rsidRPr="00D07677" w14:paraId="0C2023B6" w14:textId="77777777" w:rsidTr="00440578">
        <w:trPr>
          <w:trHeight w:val="283"/>
          <w:jc w:val="center"/>
        </w:trPr>
        <w:tc>
          <w:tcPr>
            <w:tcW w:w="2135" w:type="dxa"/>
            <w:tcBorders>
              <w:top w:val="single" w:sz="4" w:space="0" w:color="auto"/>
            </w:tcBorders>
            <w:shd w:val="clear" w:color="auto" w:fill="auto"/>
            <w:noWrap/>
            <w:vAlign w:val="center"/>
          </w:tcPr>
          <w:p w14:paraId="3E84D5BD" w14:textId="77777777" w:rsidR="00722E5C" w:rsidRPr="00D07677" w:rsidRDefault="00722E5C" w:rsidP="00722E5C">
            <w:pPr>
              <w:rPr>
                <w:rFonts w:ascii="Arial" w:hAnsi="Arial"/>
                <w:sz w:val="20"/>
                <w:szCs w:val="20"/>
              </w:rPr>
            </w:pPr>
          </w:p>
        </w:tc>
        <w:tc>
          <w:tcPr>
            <w:tcW w:w="992" w:type="dxa"/>
            <w:tcBorders>
              <w:top w:val="single" w:sz="4" w:space="0" w:color="auto"/>
            </w:tcBorders>
            <w:shd w:val="clear" w:color="auto" w:fill="auto"/>
            <w:noWrap/>
            <w:vAlign w:val="center"/>
          </w:tcPr>
          <w:p w14:paraId="09087AEC" w14:textId="77777777" w:rsidR="00722E5C" w:rsidRPr="00D07677" w:rsidRDefault="00722E5C" w:rsidP="00722E5C">
            <w:pPr>
              <w:jc w:val="right"/>
              <w:rPr>
                <w:b/>
                <w:sz w:val="20"/>
                <w:szCs w:val="20"/>
              </w:rPr>
            </w:pPr>
            <w:r w:rsidRPr="00D07677">
              <w:rPr>
                <w:b/>
                <w:sz w:val="20"/>
                <w:szCs w:val="20"/>
              </w:rPr>
              <w:t>%</w:t>
            </w:r>
          </w:p>
        </w:tc>
        <w:tc>
          <w:tcPr>
            <w:tcW w:w="567" w:type="dxa"/>
            <w:tcBorders>
              <w:top w:val="single" w:sz="4" w:space="0" w:color="auto"/>
            </w:tcBorders>
            <w:shd w:val="clear" w:color="auto" w:fill="auto"/>
            <w:noWrap/>
            <w:vAlign w:val="center"/>
          </w:tcPr>
          <w:p w14:paraId="2560593F" w14:textId="77777777" w:rsidR="00722E5C" w:rsidRPr="00D07677" w:rsidRDefault="00722E5C" w:rsidP="00722E5C">
            <w:pPr>
              <w:jc w:val="right"/>
              <w:rPr>
                <w:sz w:val="20"/>
                <w:szCs w:val="20"/>
              </w:rPr>
            </w:pPr>
            <w:r w:rsidRPr="00D07677">
              <w:rPr>
                <w:sz w:val="20"/>
                <w:szCs w:val="20"/>
              </w:rPr>
              <w:t>O</w:t>
            </w:r>
          </w:p>
        </w:tc>
        <w:tc>
          <w:tcPr>
            <w:tcW w:w="709" w:type="dxa"/>
            <w:tcBorders>
              <w:top w:val="single" w:sz="4" w:space="0" w:color="auto"/>
            </w:tcBorders>
            <w:vAlign w:val="center"/>
          </w:tcPr>
          <w:p w14:paraId="7C4C917C" w14:textId="77777777" w:rsidR="00722E5C" w:rsidRPr="00D07677" w:rsidRDefault="00722E5C" w:rsidP="00722E5C">
            <w:pPr>
              <w:jc w:val="right"/>
              <w:rPr>
                <w:b/>
                <w:sz w:val="20"/>
                <w:szCs w:val="20"/>
              </w:rPr>
            </w:pPr>
            <w:r w:rsidRPr="00D07677">
              <w:rPr>
                <w:b/>
                <w:sz w:val="20"/>
                <w:szCs w:val="20"/>
              </w:rPr>
              <w:t>T</w:t>
            </w:r>
          </w:p>
        </w:tc>
        <w:tc>
          <w:tcPr>
            <w:tcW w:w="709" w:type="dxa"/>
            <w:tcBorders>
              <w:top w:val="single" w:sz="4" w:space="0" w:color="auto"/>
            </w:tcBorders>
            <w:shd w:val="clear" w:color="auto" w:fill="auto"/>
            <w:noWrap/>
            <w:vAlign w:val="center"/>
          </w:tcPr>
          <w:p w14:paraId="20764CD1" w14:textId="77777777" w:rsidR="00722E5C" w:rsidRPr="00D07677" w:rsidRDefault="00722E5C" w:rsidP="00722E5C">
            <w:pPr>
              <w:jc w:val="right"/>
              <w:rPr>
                <w:sz w:val="20"/>
                <w:szCs w:val="20"/>
              </w:rPr>
            </w:pPr>
            <w:r w:rsidRPr="00D07677">
              <w:rPr>
                <w:sz w:val="20"/>
                <w:szCs w:val="20"/>
              </w:rPr>
              <w:t>O</w:t>
            </w:r>
          </w:p>
        </w:tc>
        <w:tc>
          <w:tcPr>
            <w:tcW w:w="567" w:type="dxa"/>
            <w:tcBorders>
              <w:top w:val="single" w:sz="4" w:space="0" w:color="auto"/>
            </w:tcBorders>
            <w:shd w:val="clear" w:color="auto" w:fill="auto"/>
            <w:noWrap/>
            <w:vAlign w:val="center"/>
          </w:tcPr>
          <w:p w14:paraId="756DB0AF" w14:textId="77777777" w:rsidR="00722E5C" w:rsidRPr="00D07677" w:rsidRDefault="00722E5C" w:rsidP="00722E5C">
            <w:pPr>
              <w:jc w:val="right"/>
              <w:rPr>
                <w:b/>
                <w:sz w:val="20"/>
                <w:szCs w:val="20"/>
              </w:rPr>
            </w:pPr>
            <w:r w:rsidRPr="00D07677">
              <w:rPr>
                <w:b/>
                <w:sz w:val="20"/>
                <w:szCs w:val="20"/>
              </w:rPr>
              <w:t>T</w:t>
            </w:r>
          </w:p>
        </w:tc>
      </w:tr>
      <w:tr w:rsidR="00722E5C" w:rsidRPr="00D07677" w14:paraId="3E2BCD45" w14:textId="77777777" w:rsidTr="00440578">
        <w:trPr>
          <w:trHeight w:val="283"/>
          <w:jc w:val="center"/>
        </w:trPr>
        <w:tc>
          <w:tcPr>
            <w:tcW w:w="2135" w:type="dxa"/>
            <w:shd w:val="clear" w:color="auto" w:fill="auto"/>
            <w:noWrap/>
            <w:vAlign w:val="center"/>
          </w:tcPr>
          <w:p w14:paraId="4806B397" w14:textId="77777777" w:rsidR="00722E5C" w:rsidRPr="00D07677" w:rsidRDefault="00722E5C" w:rsidP="00722E5C">
            <w:pPr>
              <w:rPr>
                <w:rFonts w:ascii="Arial" w:hAnsi="Arial"/>
                <w:sz w:val="20"/>
                <w:szCs w:val="20"/>
              </w:rPr>
            </w:pPr>
          </w:p>
        </w:tc>
        <w:tc>
          <w:tcPr>
            <w:tcW w:w="992" w:type="dxa"/>
            <w:shd w:val="clear" w:color="auto" w:fill="auto"/>
            <w:noWrap/>
            <w:vAlign w:val="center"/>
          </w:tcPr>
          <w:p w14:paraId="442483B8" w14:textId="77777777" w:rsidR="00722E5C" w:rsidRPr="00D07677" w:rsidRDefault="00722E5C" w:rsidP="00722E5C">
            <w:pPr>
              <w:jc w:val="right"/>
              <w:rPr>
                <w:b/>
                <w:sz w:val="20"/>
                <w:szCs w:val="20"/>
              </w:rPr>
            </w:pPr>
          </w:p>
        </w:tc>
        <w:tc>
          <w:tcPr>
            <w:tcW w:w="567" w:type="dxa"/>
            <w:shd w:val="clear" w:color="auto" w:fill="auto"/>
            <w:noWrap/>
            <w:vAlign w:val="center"/>
          </w:tcPr>
          <w:p w14:paraId="47DDF7D8" w14:textId="77777777" w:rsidR="00722E5C" w:rsidRPr="00D07677" w:rsidRDefault="00722E5C" w:rsidP="00722E5C">
            <w:pPr>
              <w:jc w:val="right"/>
              <w:rPr>
                <w:sz w:val="20"/>
                <w:szCs w:val="20"/>
              </w:rPr>
            </w:pPr>
          </w:p>
        </w:tc>
        <w:tc>
          <w:tcPr>
            <w:tcW w:w="709" w:type="dxa"/>
            <w:vAlign w:val="center"/>
          </w:tcPr>
          <w:p w14:paraId="2979F6AE" w14:textId="77777777" w:rsidR="00722E5C" w:rsidRPr="00D07677" w:rsidRDefault="00722E5C" w:rsidP="00722E5C">
            <w:pPr>
              <w:jc w:val="right"/>
              <w:rPr>
                <w:b/>
                <w:sz w:val="20"/>
                <w:szCs w:val="20"/>
              </w:rPr>
            </w:pPr>
          </w:p>
        </w:tc>
        <w:tc>
          <w:tcPr>
            <w:tcW w:w="709" w:type="dxa"/>
            <w:shd w:val="clear" w:color="auto" w:fill="auto"/>
            <w:noWrap/>
            <w:vAlign w:val="center"/>
          </w:tcPr>
          <w:p w14:paraId="46F9498D" w14:textId="77777777" w:rsidR="00722E5C" w:rsidRPr="00D07677" w:rsidRDefault="00722E5C" w:rsidP="00722E5C">
            <w:pPr>
              <w:jc w:val="right"/>
              <w:rPr>
                <w:sz w:val="20"/>
                <w:szCs w:val="20"/>
              </w:rPr>
            </w:pPr>
          </w:p>
        </w:tc>
        <w:tc>
          <w:tcPr>
            <w:tcW w:w="567" w:type="dxa"/>
            <w:shd w:val="clear" w:color="auto" w:fill="auto"/>
            <w:noWrap/>
            <w:vAlign w:val="center"/>
          </w:tcPr>
          <w:p w14:paraId="648785FB" w14:textId="77777777" w:rsidR="00722E5C" w:rsidRPr="00D07677" w:rsidRDefault="00722E5C" w:rsidP="00722E5C">
            <w:pPr>
              <w:jc w:val="right"/>
              <w:rPr>
                <w:b/>
                <w:sz w:val="20"/>
                <w:szCs w:val="20"/>
              </w:rPr>
            </w:pPr>
          </w:p>
        </w:tc>
      </w:tr>
      <w:tr w:rsidR="00722E5C" w:rsidRPr="00D07677" w14:paraId="7C2358EB" w14:textId="77777777" w:rsidTr="00440578">
        <w:trPr>
          <w:trHeight w:val="240"/>
          <w:jc w:val="center"/>
        </w:trPr>
        <w:tc>
          <w:tcPr>
            <w:tcW w:w="2135" w:type="dxa"/>
            <w:shd w:val="clear" w:color="auto" w:fill="auto"/>
            <w:noWrap/>
            <w:vAlign w:val="center"/>
          </w:tcPr>
          <w:p w14:paraId="316E96CD" w14:textId="77777777" w:rsidR="00722E5C" w:rsidRPr="00F10F86" w:rsidRDefault="00722E5C" w:rsidP="00722E5C">
            <w:pPr>
              <w:rPr>
                <w:rFonts w:eastAsia="MS PGothic"/>
                <w:color w:val="000000" w:themeColor="text1"/>
                <w:kern w:val="24"/>
                <w:sz w:val="20"/>
                <w:szCs w:val="20"/>
              </w:rPr>
            </w:pPr>
            <w:r>
              <w:rPr>
                <w:sz w:val="20"/>
                <w:szCs w:val="20"/>
              </w:rPr>
              <w:t xml:space="preserve"> Wrigleys</w:t>
            </w:r>
          </w:p>
        </w:tc>
        <w:tc>
          <w:tcPr>
            <w:tcW w:w="992" w:type="dxa"/>
            <w:shd w:val="clear" w:color="auto" w:fill="auto"/>
            <w:noWrap/>
            <w:vAlign w:val="center"/>
          </w:tcPr>
          <w:p w14:paraId="7A9BFBEE" w14:textId="77777777" w:rsidR="00722E5C" w:rsidRPr="00F10F86" w:rsidRDefault="00722E5C" w:rsidP="00722E5C">
            <w:pPr>
              <w:jc w:val="right"/>
              <w:rPr>
                <w:rFonts w:eastAsia="MS PGothic"/>
                <w:color w:val="000000" w:themeColor="text1"/>
                <w:kern w:val="24"/>
                <w:sz w:val="20"/>
                <w:szCs w:val="20"/>
              </w:rPr>
            </w:pPr>
            <w:r>
              <w:rPr>
                <w:sz w:val="20"/>
                <w:szCs w:val="20"/>
              </w:rPr>
              <w:t>32</w:t>
            </w:r>
          </w:p>
        </w:tc>
        <w:tc>
          <w:tcPr>
            <w:tcW w:w="567" w:type="dxa"/>
            <w:shd w:val="clear" w:color="auto" w:fill="auto"/>
            <w:noWrap/>
            <w:vAlign w:val="center"/>
          </w:tcPr>
          <w:p w14:paraId="4D1CC1E9" w14:textId="77777777" w:rsidR="00722E5C" w:rsidRPr="00F10F86" w:rsidRDefault="00722E5C" w:rsidP="00722E5C">
            <w:pPr>
              <w:jc w:val="right"/>
              <w:rPr>
                <w:rFonts w:eastAsia="MS PGothic"/>
                <w:color w:val="000000" w:themeColor="text1"/>
                <w:kern w:val="24"/>
                <w:sz w:val="20"/>
                <w:szCs w:val="20"/>
                <w:lang w:val="is-IS"/>
              </w:rPr>
            </w:pPr>
            <w:r>
              <w:rPr>
                <w:sz w:val="20"/>
                <w:szCs w:val="20"/>
              </w:rPr>
              <w:t>35</w:t>
            </w:r>
          </w:p>
        </w:tc>
        <w:tc>
          <w:tcPr>
            <w:tcW w:w="709" w:type="dxa"/>
            <w:vAlign w:val="center"/>
          </w:tcPr>
          <w:p w14:paraId="6347E993" w14:textId="77777777" w:rsidR="00722E5C" w:rsidRPr="00F10F86" w:rsidRDefault="00722E5C" w:rsidP="00722E5C">
            <w:pPr>
              <w:jc w:val="right"/>
              <w:rPr>
                <w:rFonts w:eastAsia="MS PGothic"/>
                <w:b/>
                <w:bCs/>
                <w:color w:val="000000" w:themeColor="text1"/>
                <w:kern w:val="24"/>
                <w:sz w:val="20"/>
                <w:szCs w:val="20"/>
              </w:rPr>
            </w:pPr>
            <w:r>
              <w:rPr>
                <w:b/>
                <w:bCs/>
                <w:sz w:val="20"/>
                <w:szCs w:val="20"/>
              </w:rPr>
              <w:t>53</w:t>
            </w:r>
          </w:p>
        </w:tc>
        <w:tc>
          <w:tcPr>
            <w:tcW w:w="709" w:type="dxa"/>
            <w:shd w:val="clear" w:color="auto" w:fill="auto"/>
            <w:noWrap/>
            <w:vAlign w:val="center"/>
          </w:tcPr>
          <w:p w14:paraId="58D895C0" w14:textId="77777777" w:rsidR="00722E5C" w:rsidRPr="00F10F86" w:rsidRDefault="00722E5C" w:rsidP="00722E5C">
            <w:pPr>
              <w:tabs>
                <w:tab w:val="decimal" w:pos="279"/>
              </w:tabs>
              <w:jc w:val="right"/>
              <w:rPr>
                <w:rFonts w:eastAsia="MS PGothic"/>
                <w:color w:val="000000" w:themeColor="text1"/>
                <w:kern w:val="24"/>
                <w:sz w:val="20"/>
                <w:szCs w:val="20"/>
                <w:lang w:val="nb-NO"/>
              </w:rPr>
            </w:pPr>
            <w:r>
              <w:rPr>
                <w:sz w:val="20"/>
                <w:szCs w:val="20"/>
              </w:rPr>
              <w:t>10.7</w:t>
            </w:r>
          </w:p>
        </w:tc>
        <w:tc>
          <w:tcPr>
            <w:tcW w:w="567" w:type="dxa"/>
            <w:shd w:val="clear" w:color="auto" w:fill="auto"/>
            <w:noWrap/>
            <w:vAlign w:val="center"/>
          </w:tcPr>
          <w:p w14:paraId="07F5CF6E" w14:textId="77777777" w:rsidR="00722E5C" w:rsidRPr="00F10F86" w:rsidRDefault="00722E5C" w:rsidP="00722E5C">
            <w:pPr>
              <w:ind w:left="137" w:hanging="137"/>
              <w:jc w:val="right"/>
              <w:rPr>
                <w:rFonts w:eastAsia="MS PGothic"/>
                <w:b/>
                <w:bCs/>
                <w:color w:val="000000" w:themeColor="text1"/>
                <w:kern w:val="24"/>
                <w:sz w:val="20"/>
                <w:szCs w:val="20"/>
                <w:lang w:val="hr-HR"/>
              </w:rPr>
            </w:pPr>
            <w:r>
              <w:rPr>
                <w:b/>
                <w:bCs/>
                <w:sz w:val="20"/>
                <w:szCs w:val="20"/>
              </w:rPr>
              <w:t>7.1</w:t>
            </w:r>
          </w:p>
        </w:tc>
      </w:tr>
      <w:tr w:rsidR="00722E5C" w:rsidRPr="00D07677" w14:paraId="2E7821A3" w14:textId="77777777" w:rsidTr="00440578">
        <w:trPr>
          <w:trHeight w:val="240"/>
          <w:jc w:val="center"/>
        </w:trPr>
        <w:tc>
          <w:tcPr>
            <w:tcW w:w="2135" w:type="dxa"/>
            <w:shd w:val="clear" w:color="auto" w:fill="auto"/>
            <w:noWrap/>
            <w:vAlign w:val="center"/>
          </w:tcPr>
          <w:p w14:paraId="731724C8" w14:textId="77777777" w:rsidR="00722E5C" w:rsidRPr="00F10F86" w:rsidRDefault="00722E5C" w:rsidP="00722E5C">
            <w:pPr>
              <w:rPr>
                <w:rFonts w:eastAsia="MS PGothic"/>
                <w:color w:val="000000" w:themeColor="text1"/>
                <w:kern w:val="24"/>
                <w:sz w:val="20"/>
                <w:szCs w:val="20"/>
              </w:rPr>
            </w:pPr>
            <w:r>
              <w:rPr>
                <w:sz w:val="20"/>
                <w:szCs w:val="20"/>
              </w:rPr>
              <w:t xml:space="preserve"> Orbit</w:t>
            </w:r>
          </w:p>
        </w:tc>
        <w:tc>
          <w:tcPr>
            <w:tcW w:w="992" w:type="dxa"/>
            <w:shd w:val="clear" w:color="auto" w:fill="auto"/>
            <w:noWrap/>
            <w:vAlign w:val="center"/>
          </w:tcPr>
          <w:p w14:paraId="59EAFEC5" w14:textId="77777777" w:rsidR="00722E5C" w:rsidRPr="00F10F86" w:rsidRDefault="00722E5C" w:rsidP="00722E5C">
            <w:pPr>
              <w:jc w:val="right"/>
              <w:rPr>
                <w:rFonts w:eastAsia="MS PGothic"/>
                <w:color w:val="000000" w:themeColor="text1"/>
                <w:kern w:val="24"/>
                <w:sz w:val="20"/>
                <w:szCs w:val="20"/>
              </w:rPr>
            </w:pPr>
            <w:r>
              <w:rPr>
                <w:sz w:val="20"/>
                <w:szCs w:val="20"/>
              </w:rPr>
              <w:t>5</w:t>
            </w:r>
          </w:p>
        </w:tc>
        <w:tc>
          <w:tcPr>
            <w:tcW w:w="567" w:type="dxa"/>
            <w:shd w:val="clear" w:color="auto" w:fill="auto"/>
            <w:noWrap/>
            <w:vAlign w:val="center"/>
          </w:tcPr>
          <w:p w14:paraId="273CBDFC" w14:textId="77777777" w:rsidR="00722E5C" w:rsidRPr="00F10F86" w:rsidRDefault="00722E5C" w:rsidP="00722E5C">
            <w:pPr>
              <w:jc w:val="right"/>
              <w:rPr>
                <w:rFonts w:eastAsia="MS PGothic"/>
                <w:color w:val="000000" w:themeColor="text1"/>
                <w:kern w:val="24"/>
                <w:sz w:val="20"/>
                <w:szCs w:val="20"/>
                <w:lang w:val="is-IS"/>
              </w:rPr>
            </w:pPr>
            <w:r>
              <w:rPr>
                <w:sz w:val="20"/>
                <w:szCs w:val="20"/>
              </w:rPr>
              <w:t>12</w:t>
            </w:r>
          </w:p>
        </w:tc>
        <w:tc>
          <w:tcPr>
            <w:tcW w:w="709" w:type="dxa"/>
            <w:vAlign w:val="center"/>
          </w:tcPr>
          <w:p w14:paraId="60512E08" w14:textId="77777777" w:rsidR="00722E5C" w:rsidRPr="00F10F86" w:rsidRDefault="00722E5C" w:rsidP="00722E5C">
            <w:pPr>
              <w:jc w:val="right"/>
              <w:rPr>
                <w:rFonts w:eastAsia="MS PGothic"/>
                <w:b/>
                <w:bCs/>
                <w:color w:val="000000" w:themeColor="text1"/>
                <w:kern w:val="24"/>
                <w:sz w:val="20"/>
                <w:szCs w:val="20"/>
              </w:rPr>
            </w:pPr>
            <w:r>
              <w:rPr>
                <w:b/>
                <w:bCs/>
                <w:sz w:val="20"/>
                <w:szCs w:val="20"/>
              </w:rPr>
              <w:t>15</w:t>
            </w:r>
          </w:p>
        </w:tc>
        <w:tc>
          <w:tcPr>
            <w:tcW w:w="709" w:type="dxa"/>
            <w:shd w:val="clear" w:color="auto" w:fill="auto"/>
            <w:noWrap/>
            <w:vAlign w:val="center"/>
          </w:tcPr>
          <w:p w14:paraId="255FDFAB" w14:textId="77777777" w:rsidR="00722E5C" w:rsidRPr="00F10F86" w:rsidRDefault="00722E5C" w:rsidP="00722E5C">
            <w:pPr>
              <w:tabs>
                <w:tab w:val="decimal" w:pos="279"/>
              </w:tabs>
              <w:jc w:val="right"/>
              <w:rPr>
                <w:rFonts w:eastAsia="MS PGothic"/>
                <w:color w:val="000000" w:themeColor="text1"/>
                <w:kern w:val="24"/>
                <w:sz w:val="20"/>
                <w:szCs w:val="20"/>
                <w:lang w:val="nb-NO"/>
              </w:rPr>
            </w:pPr>
            <w:r>
              <w:rPr>
                <w:sz w:val="20"/>
                <w:szCs w:val="20"/>
              </w:rPr>
              <w:t>4.8</w:t>
            </w:r>
          </w:p>
        </w:tc>
        <w:tc>
          <w:tcPr>
            <w:tcW w:w="567" w:type="dxa"/>
            <w:shd w:val="clear" w:color="auto" w:fill="auto"/>
            <w:noWrap/>
            <w:vAlign w:val="center"/>
          </w:tcPr>
          <w:p w14:paraId="6A147923" w14:textId="77777777" w:rsidR="00722E5C" w:rsidRPr="00F10F86" w:rsidRDefault="00722E5C" w:rsidP="00722E5C">
            <w:pPr>
              <w:ind w:left="137" w:hanging="137"/>
              <w:jc w:val="right"/>
              <w:rPr>
                <w:rFonts w:eastAsia="MS PGothic"/>
                <w:b/>
                <w:bCs/>
                <w:color w:val="000000" w:themeColor="text1"/>
                <w:kern w:val="24"/>
                <w:sz w:val="20"/>
                <w:szCs w:val="20"/>
                <w:lang w:val="hr-HR"/>
              </w:rPr>
            </w:pPr>
            <w:r>
              <w:rPr>
                <w:b/>
                <w:bCs/>
                <w:sz w:val="20"/>
                <w:szCs w:val="20"/>
              </w:rPr>
              <w:t>3.9</w:t>
            </w:r>
          </w:p>
        </w:tc>
      </w:tr>
      <w:tr w:rsidR="00722E5C" w:rsidRPr="00D07677" w14:paraId="4F612372" w14:textId="77777777" w:rsidTr="00440578">
        <w:trPr>
          <w:trHeight w:val="240"/>
          <w:jc w:val="center"/>
        </w:trPr>
        <w:tc>
          <w:tcPr>
            <w:tcW w:w="2135" w:type="dxa"/>
            <w:shd w:val="clear" w:color="auto" w:fill="auto"/>
            <w:noWrap/>
            <w:vAlign w:val="center"/>
          </w:tcPr>
          <w:p w14:paraId="51AF2F99" w14:textId="77777777" w:rsidR="00722E5C" w:rsidRPr="00F10F86" w:rsidRDefault="00722E5C" w:rsidP="00722E5C">
            <w:pPr>
              <w:rPr>
                <w:rFonts w:eastAsia="MS PGothic"/>
                <w:color w:val="000000" w:themeColor="text1"/>
                <w:kern w:val="24"/>
                <w:sz w:val="20"/>
                <w:szCs w:val="20"/>
              </w:rPr>
            </w:pPr>
            <w:r>
              <w:rPr>
                <w:sz w:val="20"/>
                <w:szCs w:val="20"/>
              </w:rPr>
              <w:t xml:space="preserve"> Hubba Bubba</w:t>
            </w:r>
          </w:p>
        </w:tc>
        <w:tc>
          <w:tcPr>
            <w:tcW w:w="992" w:type="dxa"/>
            <w:shd w:val="clear" w:color="auto" w:fill="auto"/>
            <w:noWrap/>
            <w:vAlign w:val="center"/>
          </w:tcPr>
          <w:p w14:paraId="48C1E210" w14:textId="77777777" w:rsidR="00722E5C" w:rsidRPr="00F10F86" w:rsidRDefault="00722E5C" w:rsidP="00722E5C">
            <w:pPr>
              <w:jc w:val="right"/>
              <w:rPr>
                <w:rFonts w:eastAsia="MS PGothic"/>
                <w:color w:val="000000" w:themeColor="text1"/>
                <w:kern w:val="24"/>
                <w:sz w:val="20"/>
                <w:szCs w:val="20"/>
              </w:rPr>
            </w:pPr>
            <w:r>
              <w:rPr>
                <w:sz w:val="20"/>
                <w:szCs w:val="20"/>
              </w:rPr>
              <w:t>2</w:t>
            </w:r>
          </w:p>
        </w:tc>
        <w:tc>
          <w:tcPr>
            <w:tcW w:w="567" w:type="dxa"/>
            <w:shd w:val="clear" w:color="auto" w:fill="auto"/>
            <w:noWrap/>
            <w:vAlign w:val="center"/>
          </w:tcPr>
          <w:p w14:paraId="510A65B7" w14:textId="77777777" w:rsidR="00722E5C" w:rsidRPr="00F10F86" w:rsidRDefault="00722E5C" w:rsidP="00722E5C">
            <w:pPr>
              <w:jc w:val="right"/>
              <w:rPr>
                <w:rFonts w:eastAsia="MS PGothic"/>
                <w:color w:val="000000" w:themeColor="text1"/>
                <w:kern w:val="24"/>
                <w:sz w:val="20"/>
                <w:szCs w:val="20"/>
                <w:lang w:val="is-IS"/>
              </w:rPr>
            </w:pPr>
            <w:r>
              <w:rPr>
                <w:sz w:val="20"/>
                <w:szCs w:val="20"/>
              </w:rPr>
              <w:t>5</w:t>
            </w:r>
          </w:p>
        </w:tc>
        <w:tc>
          <w:tcPr>
            <w:tcW w:w="709" w:type="dxa"/>
            <w:vAlign w:val="center"/>
          </w:tcPr>
          <w:p w14:paraId="16ECF885" w14:textId="77777777" w:rsidR="00722E5C" w:rsidRPr="00F10F86" w:rsidRDefault="00722E5C" w:rsidP="00722E5C">
            <w:pPr>
              <w:jc w:val="right"/>
              <w:rPr>
                <w:rFonts w:eastAsia="MS PGothic"/>
                <w:b/>
                <w:bCs/>
                <w:color w:val="000000" w:themeColor="text1"/>
                <w:kern w:val="24"/>
                <w:sz w:val="20"/>
                <w:szCs w:val="20"/>
              </w:rPr>
            </w:pPr>
            <w:r>
              <w:rPr>
                <w:b/>
                <w:bCs/>
                <w:sz w:val="20"/>
                <w:szCs w:val="20"/>
              </w:rPr>
              <w:t>5</w:t>
            </w:r>
          </w:p>
        </w:tc>
        <w:tc>
          <w:tcPr>
            <w:tcW w:w="709" w:type="dxa"/>
            <w:shd w:val="clear" w:color="auto" w:fill="auto"/>
            <w:noWrap/>
            <w:vAlign w:val="center"/>
          </w:tcPr>
          <w:p w14:paraId="1C06D465" w14:textId="77777777" w:rsidR="00722E5C" w:rsidRPr="00F10F86" w:rsidRDefault="00722E5C" w:rsidP="00722E5C">
            <w:pPr>
              <w:tabs>
                <w:tab w:val="decimal" w:pos="279"/>
              </w:tabs>
              <w:jc w:val="right"/>
              <w:rPr>
                <w:rFonts w:eastAsia="MS PGothic"/>
                <w:color w:val="000000" w:themeColor="text1"/>
                <w:kern w:val="24"/>
                <w:sz w:val="20"/>
                <w:szCs w:val="20"/>
                <w:lang w:val="nb-NO"/>
              </w:rPr>
            </w:pPr>
            <w:r>
              <w:rPr>
                <w:sz w:val="20"/>
                <w:szCs w:val="20"/>
              </w:rPr>
              <w:t>3.9</w:t>
            </w:r>
          </w:p>
        </w:tc>
        <w:tc>
          <w:tcPr>
            <w:tcW w:w="567" w:type="dxa"/>
            <w:shd w:val="clear" w:color="auto" w:fill="auto"/>
            <w:noWrap/>
            <w:vAlign w:val="center"/>
          </w:tcPr>
          <w:p w14:paraId="4D0EE482" w14:textId="77777777" w:rsidR="00722E5C" w:rsidRPr="00F10F86" w:rsidRDefault="00722E5C" w:rsidP="00722E5C">
            <w:pPr>
              <w:ind w:left="137" w:hanging="137"/>
              <w:jc w:val="right"/>
              <w:rPr>
                <w:rFonts w:eastAsia="MS PGothic"/>
                <w:b/>
                <w:bCs/>
                <w:color w:val="000000" w:themeColor="text1"/>
                <w:kern w:val="24"/>
                <w:sz w:val="20"/>
                <w:szCs w:val="20"/>
                <w:lang w:val="hr-HR"/>
              </w:rPr>
            </w:pPr>
            <w:r>
              <w:rPr>
                <w:b/>
                <w:bCs/>
                <w:sz w:val="20"/>
                <w:szCs w:val="20"/>
              </w:rPr>
              <w:t>3.5</w:t>
            </w:r>
          </w:p>
        </w:tc>
      </w:tr>
      <w:tr w:rsidR="00722E5C" w:rsidRPr="00D07677" w14:paraId="1C7D2192" w14:textId="77777777" w:rsidTr="00440578">
        <w:trPr>
          <w:trHeight w:val="433"/>
          <w:jc w:val="center"/>
        </w:trPr>
        <w:tc>
          <w:tcPr>
            <w:tcW w:w="2135" w:type="dxa"/>
            <w:shd w:val="clear" w:color="auto" w:fill="auto"/>
            <w:noWrap/>
            <w:vAlign w:val="bottom"/>
          </w:tcPr>
          <w:p w14:paraId="5C99AC8C" w14:textId="77777777" w:rsidR="00722E5C" w:rsidRPr="00F10F86" w:rsidRDefault="00722E5C" w:rsidP="00722E5C">
            <w:pPr>
              <w:rPr>
                <w:rFonts w:eastAsia="MS PGothic"/>
                <w:color w:val="000000" w:themeColor="text1"/>
                <w:kern w:val="24"/>
                <w:sz w:val="20"/>
                <w:szCs w:val="20"/>
              </w:rPr>
            </w:pPr>
            <w:r>
              <w:rPr>
                <w:sz w:val="20"/>
                <w:szCs w:val="20"/>
              </w:rPr>
              <w:t xml:space="preserve"> Rowntrees</w:t>
            </w:r>
          </w:p>
        </w:tc>
        <w:tc>
          <w:tcPr>
            <w:tcW w:w="992" w:type="dxa"/>
            <w:shd w:val="clear" w:color="auto" w:fill="auto"/>
            <w:noWrap/>
            <w:vAlign w:val="bottom"/>
          </w:tcPr>
          <w:p w14:paraId="0E7D526D" w14:textId="77777777" w:rsidR="00722E5C" w:rsidRPr="00F10F86" w:rsidRDefault="00722E5C" w:rsidP="00722E5C">
            <w:pPr>
              <w:jc w:val="right"/>
              <w:rPr>
                <w:rFonts w:eastAsia="MS PGothic"/>
                <w:color w:val="000000" w:themeColor="text1"/>
                <w:kern w:val="24"/>
                <w:sz w:val="20"/>
                <w:szCs w:val="20"/>
              </w:rPr>
            </w:pPr>
            <w:r>
              <w:rPr>
                <w:sz w:val="20"/>
                <w:szCs w:val="20"/>
              </w:rPr>
              <w:t>9</w:t>
            </w:r>
          </w:p>
        </w:tc>
        <w:tc>
          <w:tcPr>
            <w:tcW w:w="567" w:type="dxa"/>
            <w:shd w:val="clear" w:color="auto" w:fill="auto"/>
            <w:noWrap/>
            <w:vAlign w:val="bottom"/>
          </w:tcPr>
          <w:p w14:paraId="78CFD1B9" w14:textId="77777777" w:rsidR="00722E5C" w:rsidRPr="00F10F86" w:rsidRDefault="00722E5C" w:rsidP="00722E5C">
            <w:pPr>
              <w:jc w:val="right"/>
              <w:rPr>
                <w:rFonts w:eastAsia="MS PGothic"/>
                <w:color w:val="000000" w:themeColor="text1"/>
                <w:kern w:val="24"/>
                <w:sz w:val="20"/>
                <w:szCs w:val="20"/>
                <w:lang w:val="is-IS"/>
              </w:rPr>
            </w:pPr>
            <w:r>
              <w:rPr>
                <w:sz w:val="20"/>
                <w:szCs w:val="20"/>
              </w:rPr>
              <w:t>22</w:t>
            </w:r>
          </w:p>
        </w:tc>
        <w:tc>
          <w:tcPr>
            <w:tcW w:w="709" w:type="dxa"/>
            <w:vAlign w:val="bottom"/>
          </w:tcPr>
          <w:p w14:paraId="57AD93E7" w14:textId="77777777" w:rsidR="00722E5C" w:rsidRPr="00F10F86" w:rsidRDefault="00722E5C" w:rsidP="00722E5C">
            <w:pPr>
              <w:jc w:val="right"/>
              <w:rPr>
                <w:rFonts w:eastAsia="MS PGothic"/>
                <w:b/>
                <w:bCs/>
                <w:color w:val="000000" w:themeColor="text1"/>
                <w:kern w:val="24"/>
                <w:sz w:val="20"/>
                <w:szCs w:val="20"/>
              </w:rPr>
            </w:pPr>
            <w:r>
              <w:rPr>
                <w:b/>
                <w:bCs/>
                <w:sz w:val="20"/>
                <w:szCs w:val="20"/>
              </w:rPr>
              <w:t>24</w:t>
            </w:r>
          </w:p>
        </w:tc>
        <w:tc>
          <w:tcPr>
            <w:tcW w:w="709" w:type="dxa"/>
            <w:shd w:val="clear" w:color="auto" w:fill="auto"/>
            <w:noWrap/>
            <w:vAlign w:val="bottom"/>
          </w:tcPr>
          <w:p w14:paraId="390FDBC3" w14:textId="77777777" w:rsidR="00722E5C" w:rsidRPr="00F10F86" w:rsidRDefault="00722E5C" w:rsidP="00722E5C">
            <w:pPr>
              <w:tabs>
                <w:tab w:val="decimal" w:pos="279"/>
              </w:tabs>
              <w:jc w:val="right"/>
              <w:rPr>
                <w:rFonts w:eastAsia="MS PGothic"/>
                <w:color w:val="000000" w:themeColor="text1"/>
                <w:kern w:val="24"/>
                <w:sz w:val="20"/>
                <w:szCs w:val="20"/>
                <w:lang w:val="nb-NO"/>
              </w:rPr>
            </w:pPr>
            <w:r>
              <w:rPr>
                <w:sz w:val="20"/>
                <w:szCs w:val="20"/>
              </w:rPr>
              <w:t>4.7</w:t>
            </w:r>
          </w:p>
        </w:tc>
        <w:tc>
          <w:tcPr>
            <w:tcW w:w="567" w:type="dxa"/>
            <w:shd w:val="clear" w:color="auto" w:fill="auto"/>
            <w:noWrap/>
            <w:vAlign w:val="bottom"/>
          </w:tcPr>
          <w:p w14:paraId="306E8F53" w14:textId="77777777" w:rsidR="00722E5C" w:rsidRPr="00F10F86" w:rsidRDefault="00722E5C" w:rsidP="00722E5C">
            <w:pPr>
              <w:ind w:left="137" w:hanging="137"/>
              <w:jc w:val="right"/>
              <w:rPr>
                <w:rFonts w:eastAsia="MS PGothic"/>
                <w:b/>
                <w:bCs/>
                <w:color w:val="000000" w:themeColor="text1"/>
                <w:kern w:val="24"/>
                <w:sz w:val="20"/>
                <w:szCs w:val="20"/>
                <w:lang w:val="hr-HR"/>
              </w:rPr>
            </w:pPr>
            <w:r>
              <w:rPr>
                <w:b/>
                <w:bCs/>
                <w:sz w:val="20"/>
                <w:szCs w:val="20"/>
              </w:rPr>
              <w:t>4.3</w:t>
            </w:r>
          </w:p>
        </w:tc>
      </w:tr>
      <w:tr w:rsidR="00722E5C" w:rsidRPr="00D07677" w14:paraId="3937F6CB" w14:textId="77777777" w:rsidTr="00440578">
        <w:trPr>
          <w:trHeight w:val="240"/>
          <w:jc w:val="center"/>
        </w:trPr>
        <w:tc>
          <w:tcPr>
            <w:tcW w:w="2135" w:type="dxa"/>
            <w:shd w:val="clear" w:color="auto" w:fill="auto"/>
            <w:noWrap/>
            <w:vAlign w:val="center"/>
          </w:tcPr>
          <w:p w14:paraId="077D9D48" w14:textId="77777777" w:rsidR="00722E5C" w:rsidRPr="00F10F86" w:rsidRDefault="00722E5C" w:rsidP="00722E5C">
            <w:pPr>
              <w:rPr>
                <w:rFonts w:eastAsia="MS PGothic"/>
                <w:color w:val="000000" w:themeColor="text1"/>
                <w:kern w:val="24"/>
                <w:sz w:val="20"/>
                <w:szCs w:val="20"/>
              </w:rPr>
            </w:pPr>
            <w:r>
              <w:rPr>
                <w:sz w:val="20"/>
                <w:szCs w:val="20"/>
              </w:rPr>
              <w:t xml:space="preserve"> Bassetts</w:t>
            </w:r>
          </w:p>
        </w:tc>
        <w:tc>
          <w:tcPr>
            <w:tcW w:w="992" w:type="dxa"/>
            <w:shd w:val="clear" w:color="auto" w:fill="auto"/>
            <w:noWrap/>
            <w:vAlign w:val="center"/>
          </w:tcPr>
          <w:p w14:paraId="79079251" w14:textId="77777777" w:rsidR="00722E5C" w:rsidRPr="00F10F86" w:rsidRDefault="00722E5C" w:rsidP="00722E5C">
            <w:pPr>
              <w:jc w:val="right"/>
              <w:rPr>
                <w:rFonts w:eastAsia="MS PGothic"/>
                <w:color w:val="000000" w:themeColor="text1"/>
                <w:kern w:val="24"/>
                <w:sz w:val="20"/>
                <w:szCs w:val="20"/>
              </w:rPr>
            </w:pPr>
            <w:r>
              <w:rPr>
                <w:sz w:val="20"/>
                <w:szCs w:val="20"/>
              </w:rPr>
              <w:t>10</w:t>
            </w:r>
          </w:p>
        </w:tc>
        <w:tc>
          <w:tcPr>
            <w:tcW w:w="567" w:type="dxa"/>
            <w:shd w:val="clear" w:color="auto" w:fill="auto"/>
            <w:noWrap/>
            <w:vAlign w:val="center"/>
          </w:tcPr>
          <w:p w14:paraId="3285325A" w14:textId="77777777" w:rsidR="00722E5C" w:rsidRPr="00F10F86" w:rsidRDefault="00722E5C" w:rsidP="00722E5C">
            <w:pPr>
              <w:jc w:val="right"/>
              <w:rPr>
                <w:rFonts w:eastAsia="MS PGothic"/>
                <w:color w:val="000000" w:themeColor="text1"/>
                <w:kern w:val="24"/>
                <w:sz w:val="20"/>
                <w:szCs w:val="20"/>
                <w:lang w:val="is-IS"/>
              </w:rPr>
            </w:pPr>
            <w:r>
              <w:rPr>
                <w:sz w:val="20"/>
                <w:szCs w:val="20"/>
              </w:rPr>
              <w:t>29</w:t>
            </w:r>
          </w:p>
        </w:tc>
        <w:tc>
          <w:tcPr>
            <w:tcW w:w="709" w:type="dxa"/>
            <w:vAlign w:val="center"/>
          </w:tcPr>
          <w:p w14:paraId="3AE9632A" w14:textId="77777777" w:rsidR="00722E5C" w:rsidRPr="00F10F86" w:rsidRDefault="00722E5C" w:rsidP="00722E5C">
            <w:pPr>
              <w:jc w:val="right"/>
              <w:rPr>
                <w:rFonts w:eastAsia="MS PGothic"/>
                <w:b/>
                <w:bCs/>
                <w:color w:val="000000" w:themeColor="text1"/>
                <w:kern w:val="24"/>
                <w:sz w:val="20"/>
                <w:szCs w:val="20"/>
              </w:rPr>
            </w:pPr>
            <w:r>
              <w:rPr>
                <w:b/>
                <w:bCs/>
                <w:sz w:val="20"/>
                <w:szCs w:val="20"/>
              </w:rPr>
              <w:t>27</w:t>
            </w:r>
          </w:p>
        </w:tc>
        <w:tc>
          <w:tcPr>
            <w:tcW w:w="709" w:type="dxa"/>
            <w:shd w:val="clear" w:color="auto" w:fill="auto"/>
            <w:noWrap/>
            <w:vAlign w:val="center"/>
          </w:tcPr>
          <w:p w14:paraId="268E0C24" w14:textId="77777777" w:rsidR="00722E5C" w:rsidRPr="00F10F86" w:rsidRDefault="00722E5C" w:rsidP="00722E5C">
            <w:pPr>
              <w:tabs>
                <w:tab w:val="decimal" w:pos="279"/>
              </w:tabs>
              <w:jc w:val="right"/>
              <w:rPr>
                <w:rFonts w:eastAsia="MS PGothic"/>
                <w:color w:val="000000" w:themeColor="text1"/>
                <w:kern w:val="24"/>
                <w:sz w:val="20"/>
                <w:szCs w:val="20"/>
                <w:lang w:val="nb-NO"/>
              </w:rPr>
            </w:pPr>
            <w:r>
              <w:rPr>
                <w:sz w:val="20"/>
                <w:szCs w:val="20"/>
              </w:rPr>
              <w:t>4.2</w:t>
            </w:r>
          </w:p>
        </w:tc>
        <w:tc>
          <w:tcPr>
            <w:tcW w:w="567" w:type="dxa"/>
            <w:shd w:val="clear" w:color="auto" w:fill="auto"/>
            <w:noWrap/>
            <w:vAlign w:val="center"/>
          </w:tcPr>
          <w:p w14:paraId="3274784D" w14:textId="77777777" w:rsidR="00722E5C" w:rsidRPr="00F10F86" w:rsidRDefault="00722E5C" w:rsidP="00722E5C">
            <w:pPr>
              <w:ind w:left="137" w:hanging="137"/>
              <w:jc w:val="right"/>
              <w:rPr>
                <w:rFonts w:eastAsia="MS PGothic"/>
                <w:b/>
                <w:bCs/>
                <w:color w:val="000000" w:themeColor="text1"/>
                <w:kern w:val="24"/>
                <w:sz w:val="20"/>
                <w:szCs w:val="20"/>
                <w:lang w:val="hr-HR"/>
              </w:rPr>
            </w:pPr>
            <w:r>
              <w:rPr>
                <w:b/>
                <w:bCs/>
                <w:sz w:val="20"/>
                <w:szCs w:val="20"/>
              </w:rPr>
              <w:t>4.5</w:t>
            </w:r>
          </w:p>
        </w:tc>
      </w:tr>
      <w:tr w:rsidR="00722E5C" w:rsidRPr="00D07677" w14:paraId="6522DAB2" w14:textId="77777777" w:rsidTr="00440578">
        <w:trPr>
          <w:trHeight w:val="240"/>
          <w:jc w:val="center"/>
        </w:trPr>
        <w:tc>
          <w:tcPr>
            <w:tcW w:w="2135" w:type="dxa"/>
            <w:shd w:val="clear" w:color="auto" w:fill="auto"/>
            <w:noWrap/>
            <w:vAlign w:val="center"/>
          </w:tcPr>
          <w:p w14:paraId="330394E6" w14:textId="77777777" w:rsidR="00722E5C" w:rsidRPr="00F10F86" w:rsidRDefault="00722E5C" w:rsidP="00722E5C">
            <w:pPr>
              <w:rPr>
                <w:rFonts w:eastAsia="MS PGothic"/>
                <w:color w:val="000000" w:themeColor="text1"/>
                <w:kern w:val="24"/>
                <w:sz w:val="20"/>
                <w:szCs w:val="20"/>
              </w:rPr>
            </w:pPr>
            <w:r>
              <w:rPr>
                <w:sz w:val="20"/>
                <w:szCs w:val="20"/>
              </w:rPr>
              <w:t xml:space="preserve"> Haribo</w:t>
            </w:r>
          </w:p>
        </w:tc>
        <w:tc>
          <w:tcPr>
            <w:tcW w:w="992" w:type="dxa"/>
            <w:shd w:val="clear" w:color="auto" w:fill="auto"/>
            <w:noWrap/>
            <w:vAlign w:val="center"/>
          </w:tcPr>
          <w:p w14:paraId="2B741C83" w14:textId="77777777" w:rsidR="00722E5C" w:rsidRPr="00F10F86" w:rsidRDefault="00722E5C" w:rsidP="00722E5C">
            <w:pPr>
              <w:jc w:val="right"/>
              <w:rPr>
                <w:rFonts w:eastAsia="MS PGothic"/>
                <w:color w:val="000000" w:themeColor="text1"/>
                <w:kern w:val="24"/>
                <w:sz w:val="20"/>
                <w:szCs w:val="20"/>
              </w:rPr>
            </w:pPr>
            <w:r>
              <w:rPr>
                <w:sz w:val="20"/>
                <w:szCs w:val="20"/>
              </w:rPr>
              <w:t>4</w:t>
            </w:r>
          </w:p>
        </w:tc>
        <w:tc>
          <w:tcPr>
            <w:tcW w:w="567" w:type="dxa"/>
            <w:shd w:val="clear" w:color="auto" w:fill="auto"/>
            <w:noWrap/>
            <w:vAlign w:val="center"/>
          </w:tcPr>
          <w:p w14:paraId="2076A914" w14:textId="77777777" w:rsidR="00722E5C" w:rsidRPr="00F10F86" w:rsidRDefault="00722E5C" w:rsidP="00722E5C">
            <w:pPr>
              <w:jc w:val="right"/>
              <w:rPr>
                <w:rFonts w:eastAsia="MS PGothic"/>
                <w:color w:val="000000" w:themeColor="text1"/>
                <w:kern w:val="24"/>
                <w:sz w:val="20"/>
                <w:szCs w:val="20"/>
                <w:lang w:val="is-IS"/>
              </w:rPr>
            </w:pPr>
            <w:r>
              <w:rPr>
                <w:sz w:val="20"/>
                <w:szCs w:val="20"/>
              </w:rPr>
              <w:t>14</w:t>
            </w:r>
          </w:p>
        </w:tc>
        <w:tc>
          <w:tcPr>
            <w:tcW w:w="709" w:type="dxa"/>
            <w:vAlign w:val="center"/>
          </w:tcPr>
          <w:p w14:paraId="034135CB" w14:textId="77777777" w:rsidR="00722E5C" w:rsidRPr="00F10F86" w:rsidRDefault="00722E5C" w:rsidP="00722E5C">
            <w:pPr>
              <w:jc w:val="right"/>
              <w:rPr>
                <w:rFonts w:eastAsia="MS PGothic"/>
                <w:b/>
                <w:bCs/>
                <w:color w:val="000000" w:themeColor="text1"/>
                <w:kern w:val="24"/>
                <w:sz w:val="20"/>
                <w:szCs w:val="20"/>
              </w:rPr>
            </w:pPr>
            <w:r>
              <w:rPr>
                <w:b/>
                <w:bCs/>
                <w:sz w:val="20"/>
                <w:szCs w:val="20"/>
              </w:rPr>
              <w:t>12</w:t>
            </w:r>
          </w:p>
        </w:tc>
        <w:tc>
          <w:tcPr>
            <w:tcW w:w="709" w:type="dxa"/>
            <w:shd w:val="clear" w:color="auto" w:fill="auto"/>
            <w:noWrap/>
            <w:vAlign w:val="center"/>
          </w:tcPr>
          <w:p w14:paraId="77B951D5" w14:textId="77777777" w:rsidR="00722E5C" w:rsidRPr="00F10F86" w:rsidRDefault="00722E5C" w:rsidP="00722E5C">
            <w:pPr>
              <w:tabs>
                <w:tab w:val="decimal" w:pos="279"/>
              </w:tabs>
              <w:jc w:val="right"/>
              <w:rPr>
                <w:rFonts w:eastAsia="MS PGothic"/>
                <w:color w:val="000000" w:themeColor="text1"/>
                <w:kern w:val="24"/>
                <w:sz w:val="20"/>
                <w:szCs w:val="20"/>
                <w:lang w:val="nb-NO"/>
              </w:rPr>
            </w:pPr>
            <w:r>
              <w:rPr>
                <w:sz w:val="20"/>
                <w:szCs w:val="20"/>
              </w:rPr>
              <w:t>3.2</w:t>
            </w:r>
          </w:p>
        </w:tc>
        <w:tc>
          <w:tcPr>
            <w:tcW w:w="567" w:type="dxa"/>
            <w:shd w:val="clear" w:color="auto" w:fill="auto"/>
            <w:noWrap/>
            <w:vAlign w:val="center"/>
          </w:tcPr>
          <w:p w14:paraId="1B855537" w14:textId="77777777" w:rsidR="00722E5C" w:rsidRPr="00F10F86" w:rsidRDefault="00722E5C" w:rsidP="00722E5C">
            <w:pPr>
              <w:ind w:left="137" w:hanging="137"/>
              <w:jc w:val="right"/>
              <w:rPr>
                <w:rFonts w:eastAsia="MS PGothic"/>
                <w:b/>
                <w:bCs/>
                <w:color w:val="000000" w:themeColor="text1"/>
                <w:kern w:val="24"/>
                <w:sz w:val="20"/>
                <w:szCs w:val="20"/>
                <w:lang w:val="hr-HR"/>
              </w:rPr>
            </w:pPr>
            <w:r>
              <w:rPr>
                <w:b/>
                <w:bCs/>
                <w:sz w:val="20"/>
                <w:szCs w:val="20"/>
              </w:rPr>
              <w:t>3.8</w:t>
            </w:r>
          </w:p>
        </w:tc>
      </w:tr>
      <w:tr w:rsidR="00722E5C" w:rsidRPr="00D07677" w14:paraId="1CF9D99F" w14:textId="77777777" w:rsidTr="00440578">
        <w:trPr>
          <w:trHeight w:val="390"/>
          <w:jc w:val="center"/>
        </w:trPr>
        <w:tc>
          <w:tcPr>
            <w:tcW w:w="2135" w:type="dxa"/>
            <w:shd w:val="clear" w:color="auto" w:fill="auto"/>
            <w:noWrap/>
            <w:vAlign w:val="bottom"/>
          </w:tcPr>
          <w:p w14:paraId="052CD5F4" w14:textId="77777777" w:rsidR="00722E5C" w:rsidRPr="007179A9" w:rsidRDefault="00722E5C" w:rsidP="00722E5C">
            <w:pPr>
              <w:rPr>
                <w:sz w:val="20"/>
                <w:szCs w:val="20"/>
              </w:rPr>
            </w:pPr>
            <w:r>
              <w:rPr>
                <w:sz w:val="20"/>
                <w:szCs w:val="20"/>
              </w:rPr>
              <w:t xml:space="preserve"> Skittles</w:t>
            </w:r>
          </w:p>
        </w:tc>
        <w:tc>
          <w:tcPr>
            <w:tcW w:w="992" w:type="dxa"/>
            <w:shd w:val="clear" w:color="auto" w:fill="auto"/>
            <w:noWrap/>
            <w:vAlign w:val="bottom"/>
          </w:tcPr>
          <w:p w14:paraId="2418ABB6" w14:textId="77777777" w:rsidR="00722E5C" w:rsidRPr="007179A9" w:rsidRDefault="00722E5C" w:rsidP="00722E5C">
            <w:pPr>
              <w:jc w:val="right"/>
              <w:rPr>
                <w:sz w:val="20"/>
                <w:szCs w:val="20"/>
              </w:rPr>
            </w:pPr>
            <w:r>
              <w:rPr>
                <w:sz w:val="20"/>
                <w:szCs w:val="20"/>
              </w:rPr>
              <w:t>2</w:t>
            </w:r>
          </w:p>
        </w:tc>
        <w:tc>
          <w:tcPr>
            <w:tcW w:w="567" w:type="dxa"/>
            <w:shd w:val="clear" w:color="auto" w:fill="auto"/>
            <w:noWrap/>
            <w:vAlign w:val="bottom"/>
          </w:tcPr>
          <w:p w14:paraId="61803630" w14:textId="77777777" w:rsidR="00722E5C" w:rsidRPr="007179A9" w:rsidRDefault="00722E5C" w:rsidP="00722E5C">
            <w:pPr>
              <w:jc w:val="right"/>
              <w:rPr>
                <w:sz w:val="20"/>
                <w:szCs w:val="20"/>
              </w:rPr>
            </w:pPr>
            <w:r>
              <w:rPr>
                <w:sz w:val="20"/>
                <w:szCs w:val="20"/>
              </w:rPr>
              <w:t>9</w:t>
            </w:r>
          </w:p>
        </w:tc>
        <w:tc>
          <w:tcPr>
            <w:tcW w:w="709" w:type="dxa"/>
            <w:vAlign w:val="bottom"/>
          </w:tcPr>
          <w:p w14:paraId="0EABBDCF" w14:textId="77777777" w:rsidR="00722E5C" w:rsidRPr="007179A9" w:rsidRDefault="00722E5C" w:rsidP="00722E5C">
            <w:pPr>
              <w:jc w:val="right"/>
              <w:rPr>
                <w:b/>
                <w:sz w:val="20"/>
                <w:szCs w:val="20"/>
              </w:rPr>
            </w:pPr>
            <w:r>
              <w:rPr>
                <w:b/>
                <w:bCs/>
                <w:sz w:val="20"/>
                <w:szCs w:val="20"/>
              </w:rPr>
              <w:t>7</w:t>
            </w:r>
          </w:p>
        </w:tc>
        <w:tc>
          <w:tcPr>
            <w:tcW w:w="709" w:type="dxa"/>
            <w:shd w:val="clear" w:color="auto" w:fill="auto"/>
            <w:noWrap/>
            <w:vAlign w:val="bottom"/>
          </w:tcPr>
          <w:p w14:paraId="6D9D7707" w14:textId="77777777" w:rsidR="00722E5C" w:rsidRPr="007179A9" w:rsidRDefault="00722E5C" w:rsidP="00722E5C">
            <w:pPr>
              <w:tabs>
                <w:tab w:val="decimal" w:pos="279"/>
              </w:tabs>
              <w:jc w:val="right"/>
              <w:rPr>
                <w:sz w:val="20"/>
                <w:szCs w:val="20"/>
              </w:rPr>
            </w:pPr>
            <w:r>
              <w:rPr>
                <w:sz w:val="20"/>
                <w:szCs w:val="20"/>
              </w:rPr>
              <w:t>2.5</w:t>
            </w:r>
          </w:p>
        </w:tc>
        <w:tc>
          <w:tcPr>
            <w:tcW w:w="567" w:type="dxa"/>
            <w:shd w:val="clear" w:color="auto" w:fill="auto"/>
            <w:noWrap/>
            <w:vAlign w:val="bottom"/>
          </w:tcPr>
          <w:p w14:paraId="4CEC36A9" w14:textId="77777777" w:rsidR="00722E5C" w:rsidRPr="007179A9" w:rsidRDefault="00722E5C" w:rsidP="00722E5C">
            <w:pPr>
              <w:ind w:left="137" w:hanging="137"/>
              <w:jc w:val="right"/>
              <w:rPr>
                <w:b/>
                <w:sz w:val="20"/>
                <w:szCs w:val="20"/>
              </w:rPr>
            </w:pPr>
            <w:r>
              <w:rPr>
                <w:b/>
                <w:bCs/>
                <w:sz w:val="20"/>
                <w:szCs w:val="20"/>
              </w:rPr>
              <w:t>3.6</w:t>
            </w:r>
          </w:p>
        </w:tc>
      </w:tr>
      <w:tr w:rsidR="00722E5C" w:rsidRPr="00D07677" w14:paraId="55E70E90" w14:textId="77777777" w:rsidTr="00440578">
        <w:trPr>
          <w:trHeight w:val="87"/>
          <w:jc w:val="center"/>
        </w:trPr>
        <w:tc>
          <w:tcPr>
            <w:tcW w:w="2135" w:type="dxa"/>
            <w:shd w:val="clear" w:color="auto" w:fill="auto"/>
            <w:noWrap/>
            <w:vAlign w:val="center"/>
          </w:tcPr>
          <w:p w14:paraId="381E75A4" w14:textId="77777777" w:rsidR="00722E5C" w:rsidRPr="007179A9" w:rsidRDefault="00722E5C" w:rsidP="00722E5C">
            <w:pPr>
              <w:rPr>
                <w:sz w:val="20"/>
                <w:szCs w:val="20"/>
              </w:rPr>
            </w:pPr>
            <w:r>
              <w:rPr>
                <w:sz w:val="20"/>
                <w:szCs w:val="20"/>
              </w:rPr>
              <w:t xml:space="preserve"> Starburst Fruits</w:t>
            </w:r>
          </w:p>
        </w:tc>
        <w:tc>
          <w:tcPr>
            <w:tcW w:w="992" w:type="dxa"/>
            <w:shd w:val="clear" w:color="auto" w:fill="auto"/>
            <w:noWrap/>
            <w:vAlign w:val="center"/>
          </w:tcPr>
          <w:p w14:paraId="0393D5FF" w14:textId="77777777" w:rsidR="00722E5C" w:rsidRPr="007179A9" w:rsidRDefault="00722E5C" w:rsidP="00722E5C">
            <w:pPr>
              <w:jc w:val="right"/>
              <w:rPr>
                <w:sz w:val="20"/>
                <w:szCs w:val="20"/>
              </w:rPr>
            </w:pPr>
            <w:r>
              <w:rPr>
                <w:sz w:val="20"/>
                <w:szCs w:val="20"/>
              </w:rPr>
              <w:t>2</w:t>
            </w:r>
          </w:p>
        </w:tc>
        <w:tc>
          <w:tcPr>
            <w:tcW w:w="567" w:type="dxa"/>
            <w:shd w:val="clear" w:color="auto" w:fill="auto"/>
            <w:noWrap/>
            <w:vAlign w:val="center"/>
          </w:tcPr>
          <w:p w14:paraId="59853AB4" w14:textId="77777777" w:rsidR="00722E5C" w:rsidRPr="007179A9" w:rsidRDefault="00722E5C" w:rsidP="00722E5C">
            <w:pPr>
              <w:jc w:val="right"/>
              <w:rPr>
                <w:sz w:val="20"/>
                <w:szCs w:val="20"/>
              </w:rPr>
            </w:pPr>
            <w:r>
              <w:rPr>
                <w:sz w:val="20"/>
                <w:szCs w:val="20"/>
              </w:rPr>
              <w:t>10</w:t>
            </w:r>
          </w:p>
        </w:tc>
        <w:tc>
          <w:tcPr>
            <w:tcW w:w="709" w:type="dxa"/>
            <w:vAlign w:val="center"/>
          </w:tcPr>
          <w:p w14:paraId="6729E587" w14:textId="77777777" w:rsidR="00722E5C" w:rsidRPr="007179A9" w:rsidRDefault="00722E5C" w:rsidP="00722E5C">
            <w:pPr>
              <w:jc w:val="right"/>
              <w:rPr>
                <w:b/>
                <w:sz w:val="20"/>
                <w:szCs w:val="20"/>
              </w:rPr>
            </w:pPr>
            <w:r>
              <w:rPr>
                <w:b/>
                <w:bCs/>
                <w:sz w:val="20"/>
                <w:szCs w:val="20"/>
              </w:rPr>
              <w:t>5</w:t>
            </w:r>
          </w:p>
        </w:tc>
        <w:tc>
          <w:tcPr>
            <w:tcW w:w="709" w:type="dxa"/>
            <w:shd w:val="clear" w:color="auto" w:fill="auto"/>
            <w:noWrap/>
            <w:vAlign w:val="center"/>
          </w:tcPr>
          <w:p w14:paraId="4D575996" w14:textId="77777777" w:rsidR="00722E5C" w:rsidRPr="007179A9" w:rsidRDefault="00722E5C" w:rsidP="00722E5C">
            <w:pPr>
              <w:tabs>
                <w:tab w:val="decimal" w:pos="279"/>
              </w:tabs>
              <w:jc w:val="right"/>
              <w:rPr>
                <w:sz w:val="20"/>
                <w:szCs w:val="20"/>
              </w:rPr>
            </w:pPr>
            <w:r>
              <w:rPr>
                <w:sz w:val="20"/>
                <w:szCs w:val="20"/>
              </w:rPr>
              <w:t>1.8</w:t>
            </w:r>
          </w:p>
        </w:tc>
        <w:tc>
          <w:tcPr>
            <w:tcW w:w="567" w:type="dxa"/>
            <w:shd w:val="clear" w:color="auto" w:fill="auto"/>
            <w:noWrap/>
            <w:vAlign w:val="center"/>
          </w:tcPr>
          <w:p w14:paraId="2B14BEC3" w14:textId="77777777" w:rsidR="00722E5C" w:rsidRPr="007179A9" w:rsidRDefault="00722E5C" w:rsidP="00722E5C">
            <w:pPr>
              <w:ind w:left="137" w:hanging="137"/>
              <w:jc w:val="right"/>
              <w:rPr>
                <w:b/>
                <w:sz w:val="20"/>
                <w:szCs w:val="20"/>
              </w:rPr>
            </w:pPr>
            <w:r>
              <w:rPr>
                <w:b/>
                <w:bCs/>
                <w:sz w:val="20"/>
                <w:szCs w:val="20"/>
              </w:rPr>
              <w:t>3.5</w:t>
            </w:r>
          </w:p>
        </w:tc>
      </w:tr>
      <w:tr w:rsidR="00722E5C" w:rsidRPr="00D07677" w14:paraId="564194EE" w14:textId="77777777" w:rsidTr="00440578">
        <w:trPr>
          <w:trHeight w:val="453"/>
          <w:jc w:val="center"/>
        </w:trPr>
        <w:tc>
          <w:tcPr>
            <w:tcW w:w="2135" w:type="dxa"/>
            <w:shd w:val="clear" w:color="auto" w:fill="auto"/>
            <w:noWrap/>
          </w:tcPr>
          <w:p w14:paraId="1C268E58" w14:textId="77777777" w:rsidR="00722E5C" w:rsidRPr="00F10F86" w:rsidRDefault="00722E5C" w:rsidP="00722E5C">
            <w:pPr>
              <w:rPr>
                <w:rFonts w:eastAsia="MS PGothic"/>
                <w:color w:val="000000" w:themeColor="text1"/>
                <w:kern w:val="24"/>
                <w:sz w:val="20"/>
                <w:szCs w:val="20"/>
              </w:rPr>
            </w:pPr>
            <w:r>
              <w:rPr>
                <w:sz w:val="20"/>
                <w:szCs w:val="20"/>
              </w:rPr>
              <w:t xml:space="preserve"> Tic Tac</w:t>
            </w:r>
          </w:p>
        </w:tc>
        <w:tc>
          <w:tcPr>
            <w:tcW w:w="992" w:type="dxa"/>
            <w:shd w:val="clear" w:color="auto" w:fill="auto"/>
            <w:noWrap/>
          </w:tcPr>
          <w:p w14:paraId="0E2F8C41" w14:textId="77777777" w:rsidR="00722E5C" w:rsidRPr="00F10F86" w:rsidRDefault="00722E5C" w:rsidP="00722E5C">
            <w:pPr>
              <w:jc w:val="right"/>
              <w:rPr>
                <w:rFonts w:eastAsia="MS PGothic"/>
                <w:color w:val="000000" w:themeColor="text1"/>
                <w:kern w:val="24"/>
                <w:sz w:val="20"/>
                <w:szCs w:val="20"/>
              </w:rPr>
            </w:pPr>
            <w:r>
              <w:rPr>
                <w:sz w:val="20"/>
                <w:szCs w:val="20"/>
              </w:rPr>
              <w:t>1</w:t>
            </w:r>
          </w:p>
        </w:tc>
        <w:tc>
          <w:tcPr>
            <w:tcW w:w="567" w:type="dxa"/>
            <w:shd w:val="clear" w:color="auto" w:fill="auto"/>
            <w:noWrap/>
          </w:tcPr>
          <w:p w14:paraId="51245BA0" w14:textId="77777777" w:rsidR="00722E5C" w:rsidRPr="00F10F86" w:rsidRDefault="00722E5C" w:rsidP="00722E5C">
            <w:pPr>
              <w:jc w:val="right"/>
              <w:rPr>
                <w:rFonts w:eastAsia="MS PGothic"/>
                <w:color w:val="000000" w:themeColor="text1"/>
                <w:kern w:val="24"/>
                <w:sz w:val="20"/>
                <w:szCs w:val="20"/>
                <w:lang w:val="is-IS"/>
              </w:rPr>
            </w:pPr>
            <w:r>
              <w:rPr>
                <w:sz w:val="20"/>
                <w:szCs w:val="20"/>
              </w:rPr>
              <w:t>6</w:t>
            </w:r>
          </w:p>
        </w:tc>
        <w:tc>
          <w:tcPr>
            <w:tcW w:w="709" w:type="dxa"/>
          </w:tcPr>
          <w:p w14:paraId="7ADBE3EF" w14:textId="77777777" w:rsidR="00722E5C" w:rsidRPr="00F10F86" w:rsidRDefault="00722E5C" w:rsidP="00722E5C">
            <w:pPr>
              <w:jc w:val="right"/>
              <w:rPr>
                <w:rFonts w:eastAsia="MS PGothic"/>
                <w:b/>
                <w:bCs/>
                <w:color w:val="000000" w:themeColor="text1"/>
                <w:kern w:val="24"/>
                <w:sz w:val="20"/>
                <w:szCs w:val="20"/>
              </w:rPr>
            </w:pPr>
            <w:r>
              <w:rPr>
                <w:b/>
                <w:bCs/>
                <w:sz w:val="20"/>
                <w:szCs w:val="20"/>
              </w:rPr>
              <w:t>5</w:t>
            </w:r>
          </w:p>
        </w:tc>
        <w:tc>
          <w:tcPr>
            <w:tcW w:w="709" w:type="dxa"/>
            <w:shd w:val="clear" w:color="auto" w:fill="auto"/>
            <w:noWrap/>
          </w:tcPr>
          <w:p w14:paraId="60C44DB8" w14:textId="77777777" w:rsidR="00722E5C" w:rsidRPr="00F10F86" w:rsidRDefault="00722E5C" w:rsidP="00722E5C">
            <w:pPr>
              <w:tabs>
                <w:tab w:val="decimal" w:pos="279"/>
              </w:tabs>
              <w:jc w:val="right"/>
              <w:rPr>
                <w:rFonts w:eastAsia="MS PGothic"/>
                <w:color w:val="000000" w:themeColor="text1"/>
                <w:kern w:val="24"/>
                <w:sz w:val="20"/>
                <w:szCs w:val="20"/>
                <w:lang w:val="nb-NO"/>
              </w:rPr>
            </w:pPr>
            <w:r>
              <w:rPr>
                <w:sz w:val="20"/>
                <w:szCs w:val="20"/>
              </w:rPr>
              <w:t>2.5</w:t>
            </w:r>
          </w:p>
        </w:tc>
        <w:tc>
          <w:tcPr>
            <w:tcW w:w="567" w:type="dxa"/>
            <w:shd w:val="clear" w:color="auto" w:fill="auto"/>
            <w:noWrap/>
          </w:tcPr>
          <w:p w14:paraId="65E67C75" w14:textId="77777777" w:rsidR="00722E5C" w:rsidRPr="00F10F86" w:rsidRDefault="00722E5C" w:rsidP="00722E5C">
            <w:pPr>
              <w:ind w:left="137" w:hanging="137"/>
              <w:jc w:val="right"/>
              <w:rPr>
                <w:rFonts w:eastAsia="MS PGothic"/>
                <w:b/>
                <w:bCs/>
                <w:color w:val="000000" w:themeColor="text1"/>
                <w:kern w:val="24"/>
                <w:sz w:val="20"/>
                <w:szCs w:val="20"/>
                <w:lang w:val="hr-HR"/>
              </w:rPr>
            </w:pPr>
            <w:r>
              <w:rPr>
                <w:b/>
                <w:bCs/>
                <w:sz w:val="20"/>
                <w:szCs w:val="20"/>
              </w:rPr>
              <w:t>3.5</w:t>
            </w:r>
          </w:p>
        </w:tc>
      </w:tr>
      <w:tr w:rsidR="00722E5C" w:rsidRPr="00D07677" w14:paraId="62E721E4" w14:textId="77777777" w:rsidTr="00440578">
        <w:trPr>
          <w:trHeight w:val="240"/>
          <w:jc w:val="center"/>
        </w:trPr>
        <w:tc>
          <w:tcPr>
            <w:tcW w:w="2135" w:type="dxa"/>
            <w:shd w:val="clear" w:color="auto" w:fill="auto"/>
            <w:noWrap/>
            <w:vAlign w:val="center"/>
          </w:tcPr>
          <w:p w14:paraId="2CFB550A" w14:textId="77777777" w:rsidR="00722E5C" w:rsidRPr="007179A9" w:rsidRDefault="00722E5C" w:rsidP="00722E5C">
            <w:pPr>
              <w:rPr>
                <w:sz w:val="20"/>
                <w:szCs w:val="20"/>
              </w:rPr>
            </w:pPr>
            <w:r>
              <w:rPr>
                <w:sz w:val="20"/>
                <w:szCs w:val="20"/>
              </w:rPr>
              <w:t xml:space="preserve"> Werthers</w:t>
            </w:r>
          </w:p>
        </w:tc>
        <w:tc>
          <w:tcPr>
            <w:tcW w:w="992" w:type="dxa"/>
            <w:shd w:val="clear" w:color="auto" w:fill="auto"/>
            <w:noWrap/>
            <w:vAlign w:val="center"/>
          </w:tcPr>
          <w:p w14:paraId="40FA2DA9" w14:textId="77777777" w:rsidR="00722E5C" w:rsidRPr="007179A9" w:rsidRDefault="00722E5C" w:rsidP="00722E5C">
            <w:pPr>
              <w:jc w:val="right"/>
              <w:rPr>
                <w:sz w:val="20"/>
                <w:szCs w:val="20"/>
              </w:rPr>
            </w:pPr>
            <w:r>
              <w:rPr>
                <w:sz w:val="20"/>
                <w:szCs w:val="20"/>
              </w:rPr>
              <w:t>1</w:t>
            </w:r>
          </w:p>
        </w:tc>
        <w:tc>
          <w:tcPr>
            <w:tcW w:w="567" w:type="dxa"/>
            <w:shd w:val="clear" w:color="auto" w:fill="auto"/>
            <w:noWrap/>
            <w:vAlign w:val="center"/>
          </w:tcPr>
          <w:p w14:paraId="58B67BBE" w14:textId="77777777" w:rsidR="00722E5C" w:rsidRPr="007179A9" w:rsidRDefault="00722E5C" w:rsidP="00722E5C">
            <w:pPr>
              <w:jc w:val="right"/>
              <w:rPr>
                <w:sz w:val="20"/>
                <w:szCs w:val="20"/>
              </w:rPr>
            </w:pPr>
            <w:r>
              <w:rPr>
                <w:sz w:val="20"/>
                <w:szCs w:val="20"/>
              </w:rPr>
              <w:t>5</w:t>
            </w:r>
          </w:p>
        </w:tc>
        <w:tc>
          <w:tcPr>
            <w:tcW w:w="709" w:type="dxa"/>
            <w:vAlign w:val="center"/>
          </w:tcPr>
          <w:p w14:paraId="6BB60F92" w14:textId="77777777" w:rsidR="00722E5C" w:rsidRPr="007179A9" w:rsidRDefault="00722E5C" w:rsidP="00722E5C">
            <w:pPr>
              <w:jc w:val="right"/>
              <w:rPr>
                <w:b/>
                <w:sz w:val="20"/>
                <w:szCs w:val="20"/>
              </w:rPr>
            </w:pPr>
            <w:r>
              <w:rPr>
                <w:b/>
                <w:bCs/>
                <w:sz w:val="20"/>
                <w:szCs w:val="20"/>
              </w:rPr>
              <w:t>3</w:t>
            </w:r>
          </w:p>
        </w:tc>
        <w:tc>
          <w:tcPr>
            <w:tcW w:w="709" w:type="dxa"/>
            <w:shd w:val="clear" w:color="auto" w:fill="auto"/>
            <w:noWrap/>
            <w:vAlign w:val="center"/>
          </w:tcPr>
          <w:p w14:paraId="4280554A" w14:textId="77777777" w:rsidR="00722E5C" w:rsidRPr="007179A9" w:rsidRDefault="00722E5C" w:rsidP="00722E5C">
            <w:pPr>
              <w:tabs>
                <w:tab w:val="decimal" w:pos="279"/>
              </w:tabs>
              <w:jc w:val="right"/>
              <w:rPr>
                <w:sz w:val="20"/>
                <w:szCs w:val="20"/>
              </w:rPr>
            </w:pPr>
            <w:r>
              <w:rPr>
                <w:sz w:val="20"/>
                <w:szCs w:val="20"/>
              </w:rPr>
              <w:t>2.4</w:t>
            </w:r>
          </w:p>
        </w:tc>
        <w:tc>
          <w:tcPr>
            <w:tcW w:w="567" w:type="dxa"/>
            <w:shd w:val="clear" w:color="auto" w:fill="auto"/>
            <w:noWrap/>
            <w:vAlign w:val="center"/>
          </w:tcPr>
          <w:p w14:paraId="5054DE75" w14:textId="77777777" w:rsidR="00722E5C" w:rsidRPr="007179A9" w:rsidRDefault="00722E5C" w:rsidP="00722E5C">
            <w:pPr>
              <w:ind w:left="137" w:hanging="137"/>
              <w:jc w:val="right"/>
              <w:rPr>
                <w:b/>
                <w:sz w:val="20"/>
                <w:szCs w:val="20"/>
              </w:rPr>
            </w:pPr>
            <w:r>
              <w:rPr>
                <w:b/>
                <w:bCs/>
                <w:sz w:val="20"/>
                <w:szCs w:val="20"/>
              </w:rPr>
              <w:t>3.4</w:t>
            </w:r>
          </w:p>
        </w:tc>
      </w:tr>
      <w:tr w:rsidR="00722E5C" w:rsidRPr="00D07677" w14:paraId="02585B68" w14:textId="77777777" w:rsidTr="00440578">
        <w:trPr>
          <w:trHeight w:val="240"/>
          <w:jc w:val="center"/>
        </w:trPr>
        <w:tc>
          <w:tcPr>
            <w:tcW w:w="2135" w:type="dxa"/>
            <w:shd w:val="clear" w:color="auto" w:fill="auto"/>
            <w:noWrap/>
            <w:vAlign w:val="center"/>
          </w:tcPr>
          <w:p w14:paraId="580C1D8A" w14:textId="77777777" w:rsidR="00722E5C" w:rsidRPr="007179A9" w:rsidRDefault="00722E5C" w:rsidP="00722E5C">
            <w:pPr>
              <w:rPr>
                <w:sz w:val="20"/>
                <w:szCs w:val="20"/>
              </w:rPr>
            </w:pPr>
            <w:r>
              <w:rPr>
                <w:sz w:val="20"/>
                <w:szCs w:val="20"/>
              </w:rPr>
              <w:t xml:space="preserve"> Hall Soothers</w:t>
            </w:r>
          </w:p>
        </w:tc>
        <w:tc>
          <w:tcPr>
            <w:tcW w:w="992" w:type="dxa"/>
            <w:shd w:val="clear" w:color="auto" w:fill="auto"/>
            <w:noWrap/>
            <w:vAlign w:val="center"/>
          </w:tcPr>
          <w:p w14:paraId="63D61EAF" w14:textId="77777777" w:rsidR="00722E5C" w:rsidRPr="007179A9" w:rsidRDefault="00722E5C" w:rsidP="00722E5C">
            <w:pPr>
              <w:jc w:val="right"/>
              <w:rPr>
                <w:sz w:val="20"/>
                <w:szCs w:val="20"/>
              </w:rPr>
            </w:pPr>
            <w:r>
              <w:rPr>
                <w:sz w:val="20"/>
                <w:szCs w:val="20"/>
              </w:rPr>
              <w:t>1</w:t>
            </w:r>
          </w:p>
        </w:tc>
        <w:tc>
          <w:tcPr>
            <w:tcW w:w="567" w:type="dxa"/>
            <w:shd w:val="clear" w:color="auto" w:fill="auto"/>
            <w:noWrap/>
            <w:vAlign w:val="center"/>
          </w:tcPr>
          <w:p w14:paraId="2863FA77" w14:textId="77777777" w:rsidR="00722E5C" w:rsidRPr="007179A9" w:rsidRDefault="00722E5C" w:rsidP="00722E5C">
            <w:pPr>
              <w:jc w:val="right"/>
              <w:rPr>
                <w:sz w:val="20"/>
                <w:szCs w:val="20"/>
              </w:rPr>
            </w:pPr>
            <w:r>
              <w:rPr>
                <w:sz w:val="20"/>
                <w:szCs w:val="20"/>
              </w:rPr>
              <w:t>4</w:t>
            </w:r>
          </w:p>
        </w:tc>
        <w:tc>
          <w:tcPr>
            <w:tcW w:w="709" w:type="dxa"/>
            <w:vAlign w:val="center"/>
          </w:tcPr>
          <w:p w14:paraId="1E8C675F" w14:textId="77777777" w:rsidR="00722E5C" w:rsidRPr="007179A9" w:rsidRDefault="00722E5C" w:rsidP="00722E5C">
            <w:pPr>
              <w:jc w:val="right"/>
              <w:rPr>
                <w:b/>
                <w:sz w:val="20"/>
                <w:szCs w:val="20"/>
              </w:rPr>
            </w:pPr>
            <w:r>
              <w:rPr>
                <w:b/>
                <w:bCs/>
                <w:sz w:val="20"/>
                <w:szCs w:val="20"/>
              </w:rPr>
              <w:t>3</w:t>
            </w:r>
          </w:p>
        </w:tc>
        <w:tc>
          <w:tcPr>
            <w:tcW w:w="709" w:type="dxa"/>
            <w:shd w:val="clear" w:color="auto" w:fill="auto"/>
            <w:noWrap/>
            <w:vAlign w:val="center"/>
          </w:tcPr>
          <w:p w14:paraId="0B666D93" w14:textId="77777777" w:rsidR="00722E5C" w:rsidRPr="007179A9" w:rsidRDefault="00722E5C" w:rsidP="00722E5C">
            <w:pPr>
              <w:tabs>
                <w:tab w:val="decimal" w:pos="279"/>
              </w:tabs>
              <w:jc w:val="right"/>
              <w:rPr>
                <w:sz w:val="20"/>
                <w:szCs w:val="20"/>
              </w:rPr>
            </w:pPr>
            <w:r>
              <w:rPr>
                <w:sz w:val="20"/>
                <w:szCs w:val="20"/>
              </w:rPr>
              <w:t>2.3</w:t>
            </w:r>
          </w:p>
        </w:tc>
        <w:tc>
          <w:tcPr>
            <w:tcW w:w="567" w:type="dxa"/>
            <w:shd w:val="clear" w:color="auto" w:fill="auto"/>
            <w:noWrap/>
            <w:vAlign w:val="center"/>
          </w:tcPr>
          <w:p w14:paraId="73864D82" w14:textId="77777777" w:rsidR="00722E5C" w:rsidRPr="007179A9" w:rsidRDefault="00722E5C" w:rsidP="00722E5C">
            <w:pPr>
              <w:ind w:left="137" w:hanging="137"/>
              <w:jc w:val="right"/>
              <w:rPr>
                <w:b/>
                <w:sz w:val="20"/>
                <w:szCs w:val="20"/>
              </w:rPr>
            </w:pPr>
            <w:r>
              <w:rPr>
                <w:b/>
                <w:bCs/>
                <w:sz w:val="20"/>
                <w:szCs w:val="20"/>
              </w:rPr>
              <w:t>3.4</w:t>
            </w:r>
          </w:p>
        </w:tc>
      </w:tr>
      <w:tr w:rsidR="00722E5C" w:rsidRPr="00D07677" w14:paraId="2BA3168D" w14:textId="77777777" w:rsidTr="00440578">
        <w:trPr>
          <w:trHeight w:val="240"/>
          <w:jc w:val="center"/>
        </w:trPr>
        <w:tc>
          <w:tcPr>
            <w:tcW w:w="2135" w:type="dxa"/>
            <w:shd w:val="clear" w:color="auto" w:fill="auto"/>
            <w:noWrap/>
            <w:vAlign w:val="center"/>
          </w:tcPr>
          <w:p w14:paraId="12B75CE8" w14:textId="77777777" w:rsidR="00722E5C" w:rsidRPr="007179A9" w:rsidRDefault="00722E5C" w:rsidP="00722E5C">
            <w:pPr>
              <w:rPr>
                <w:sz w:val="20"/>
                <w:szCs w:val="20"/>
              </w:rPr>
            </w:pPr>
            <w:r>
              <w:rPr>
                <w:sz w:val="20"/>
                <w:szCs w:val="20"/>
              </w:rPr>
              <w:t xml:space="preserve"> Swizzels</w:t>
            </w:r>
          </w:p>
        </w:tc>
        <w:tc>
          <w:tcPr>
            <w:tcW w:w="992" w:type="dxa"/>
            <w:shd w:val="clear" w:color="auto" w:fill="auto"/>
            <w:noWrap/>
            <w:vAlign w:val="center"/>
          </w:tcPr>
          <w:p w14:paraId="1F73E5A3" w14:textId="77777777" w:rsidR="00722E5C" w:rsidRPr="007179A9" w:rsidRDefault="00722E5C" w:rsidP="00722E5C">
            <w:pPr>
              <w:jc w:val="right"/>
              <w:rPr>
                <w:sz w:val="20"/>
                <w:szCs w:val="20"/>
              </w:rPr>
            </w:pPr>
            <w:r>
              <w:rPr>
                <w:sz w:val="20"/>
                <w:szCs w:val="20"/>
              </w:rPr>
              <w:t>1</w:t>
            </w:r>
          </w:p>
        </w:tc>
        <w:tc>
          <w:tcPr>
            <w:tcW w:w="567" w:type="dxa"/>
            <w:shd w:val="clear" w:color="auto" w:fill="auto"/>
            <w:noWrap/>
            <w:vAlign w:val="center"/>
          </w:tcPr>
          <w:p w14:paraId="3C3D4EEB" w14:textId="77777777" w:rsidR="00722E5C" w:rsidRPr="007179A9" w:rsidRDefault="00722E5C" w:rsidP="00722E5C">
            <w:pPr>
              <w:jc w:val="right"/>
              <w:rPr>
                <w:sz w:val="20"/>
                <w:szCs w:val="20"/>
              </w:rPr>
            </w:pPr>
            <w:r>
              <w:rPr>
                <w:sz w:val="20"/>
                <w:szCs w:val="20"/>
              </w:rPr>
              <w:t>8</w:t>
            </w:r>
          </w:p>
        </w:tc>
        <w:tc>
          <w:tcPr>
            <w:tcW w:w="709" w:type="dxa"/>
            <w:vAlign w:val="center"/>
          </w:tcPr>
          <w:p w14:paraId="170969C3" w14:textId="77777777" w:rsidR="00722E5C" w:rsidRPr="007179A9" w:rsidRDefault="00722E5C" w:rsidP="00722E5C">
            <w:pPr>
              <w:jc w:val="right"/>
              <w:rPr>
                <w:b/>
                <w:sz w:val="20"/>
                <w:szCs w:val="20"/>
              </w:rPr>
            </w:pPr>
            <w:r>
              <w:rPr>
                <w:b/>
                <w:bCs/>
                <w:sz w:val="20"/>
                <w:szCs w:val="20"/>
              </w:rPr>
              <w:t>5</w:t>
            </w:r>
          </w:p>
        </w:tc>
        <w:tc>
          <w:tcPr>
            <w:tcW w:w="709" w:type="dxa"/>
            <w:shd w:val="clear" w:color="auto" w:fill="auto"/>
            <w:noWrap/>
            <w:vAlign w:val="center"/>
          </w:tcPr>
          <w:p w14:paraId="5F2B0FE4" w14:textId="77777777" w:rsidR="00722E5C" w:rsidRPr="007179A9" w:rsidRDefault="00722E5C" w:rsidP="00722E5C">
            <w:pPr>
              <w:tabs>
                <w:tab w:val="decimal" w:pos="279"/>
              </w:tabs>
              <w:jc w:val="right"/>
              <w:rPr>
                <w:sz w:val="20"/>
                <w:szCs w:val="20"/>
              </w:rPr>
            </w:pPr>
            <w:r>
              <w:rPr>
                <w:sz w:val="20"/>
                <w:szCs w:val="20"/>
              </w:rPr>
              <w:t>2.1</w:t>
            </w:r>
          </w:p>
        </w:tc>
        <w:tc>
          <w:tcPr>
            <w:tcW w:w="567" w:type="dxa"/>
            <w:shd w:val="clear" w:color="auto" w:fill="auto"/>
            <w:noWrap/>
            <w:vAlign w:val="center"/>
          </w:tcPr>
          <w:p w14:paraId="120D848F" w14:textId="77777777" w:rsidR="00722E5C" w:rsidRPr="007179A9" w:rsidRDefault="00722E5C" w:rsidP="00722E5C">
            <w:pPr>
              <w:ind w:left="137" w:hanging="137"/>
              <w:jc w:val="right"/>
              <w:rPr>
                <w:b/>
                <w:sz w:val="20"/>
                <w:szCs w:val="20"/>
              </w:rPr>
            </w:pPr>
            <w:r>
              <w:rPr>
                <w:b/>
                <w:bCs/>
                <w:sz w:val="20"/>
                <w:szCs w:val="20"/>
              </w:rPr>
              <w:t>3.5</w:t>
            </w:r>
          </w:p>
        </w:tc>
      </w:tr>
      <w:tr w:rsidR="00722E5C" w:rsidRPr="00D07677" w14:paraId="5358B432" w14:textId="77777777" w:rsidTr="00440578">
        <w:trPr>
          <w:trHeight w:val="334"/>
          <w:jc w:val="center"/>
        </w:trPr>
        <w:tc>
          <w:tcPr>
            <w:tcW w:w="2135" w:type="dxa"/>
            <w:shd w:val="clear" w:color="auto" w:fill="auto"/>
            <w:noWrap/>
            <w:vAlign w:val="center"/>
          </w:tcPr>
          <w:p w14:paraId="2AA4E655" w14:textId="77777777" w:rsidR="00722E5C" w:rsidRPr="007179A9" w:rsidRDefault="00722E5C" w:rsidP="00722E5C">
            <w:pPr>
              <w:rPr>
                <w:sz w:val="20"/>
                <w:szCs w:val="20"/>
              </w:rPr>
            </w:pPr>
            <w:r>
              <w:rPr>
                <w:sz w:val="20"/>
                <w:szCs w:val="20"/>
              </w:rPr>
              <w:t xml:space="preserve"> Chewits</w:t>
            </w:r>
          </w:p>
        </w:tc>
        <w:tc>
          <w:tcPr>
            <w:tcW w:w="992" w:type="dxa"/>
            <w:shd w:val="clear" w:color="auto" w:fill="auto"/>
            <w:noWrap/>
            <w:vAlign w:val="center"/>
          </w:tcPr>
          <w:p w14:paraId="13250CD2" w14:textId="77777777" w:rsidR="00722E5C" w:rsidRPr="007179A9" w:rsidRDefault="00722E5C" w:rsidP="00722E5C">
            <w:pPr>
              <w:jc w:val="right"/>
              <w:rPr>
                <w:sz w:val="20"/>
                <w:szCs w:val="20"/>
              </w:rPr>
            </w:pPr>
            <w:r>
              <w:rPr>
                <w:sz w:val="20"/>
                <w:szCs w:val="20"/>
              </w:rPr>
              <w:t>1</w:t>
            </w:r>
          </w:p>
        </w:tc>
        <w:tc>
          <w:tcPr>
            <w:tcW w:w="567" w:type="dxa"/>
            <w:shd w:val="clear" w:color="auto" w:fill="auto"/>
            <w:noWrap/>
            <w:vAlign w:val="center"/>
          </w:tcPr>
          <w:p w14:paraId="0F6981C6" w14:textId="77777777" w:rsidR="00722E5C" w:rsidRPr="007179A9" w:rsidRDefault="00722E5C" w:rsidP="00722E5C">
            <w:pPr>
              <w:jc w:val="right"/>
              <w:rPr>
                <w:sz w:val="20"/>
                <w:szCs w:val="20"/>
              </w:rPr>
            </w:pPr>
            <w:r>
              <w:rPr>
                <w:sz w:val="20"/>
                <w:szCs w:val="20"/>
              </w:rPr>
              <w:t>9</w:t>
            </w:r>
          </w:p>
        </w:tc>
        <w:tc>
          <w:tcPr>
            <w:tcW w:w="709" w:type="dxa"/>
            <w:vAlign w:val="center"/>
          </w:tcPr>
          <w:p w14:paraId="5DA44638" w14:textId="77777777" w:rsidR="00722E5C" w:rsidRPr="007179A9" w:rsidRDefault="00722E5C" w:rsidP="00722E5C">
            <w:pPr>
              <w:jc w:val="right"/>
              <w:rPr>
                <w:b/>
                <w:sz w:val="20"/>
                <w:szCs w:val="20"/>
              </w:rPr>
            </w:pPr>
            <w:r>
              <w:rPr>
                <w:b/>
                <w:bCs/>
                <w:sz w:val="20"/>
                <w:szCs w:val="20"/>
              </w:rPr>
              <w:t>5</w:t>
            </w:r>
          </w:p>
        </w:tc>
        <w:tc>
          <w:tcPr>
            <w:tcW w:w="709" w:type="dxa"/>
            <w:shd w:val="clear" w:color="auto" w:fill="auto"/>
            <w:noWrap/>
            <w:vAlign w:val="center"/>
          </w:tcPr>
          <w:p w14:paraId="0226C284" w14:textId="77777777" w:rsidR="00722E5C" w:rsidRPr="007179A9" w:rsidRDefault="00722E5C" w:rsidP="00722E5C">
            <w:pPr>
              <w:tabs>
                <w:tab w:val="decimal" w:pos="279"/>
              </w:tabs>
              <w:jc w:val="right"/>
              <w:rPr>
                <w:sz w:val="20"/>
                <w:szCs w:val="20"/>
              </w:rPr>
            </w:pPr>
            <w:r>
              <w:rPr>
                <w:sz w:val="20"/>
                <w:szCs w:val="20"/>
              </w:rPr>
              <w:t>1.9</w:t>
            </w:r>
          </w:p>
        </w:tc>
        <w:tc>
          <w:tcPr>
            <w:tcW w:w="567" w:type="dxa"/>
            <w:shd w:val="clear" w:color="auto" w:fill="auto"/>
            <w:noWrap/>
            <w:vAlign w:val="center"/>
          </w:tcPr>
          <w:p w14:paraId="2400F236" w14:textId="77777777" w:rsidR="00722E5C" w:rsidRPr="007179A9" w:rsidRDefault="00722E5C" w:rsidP="00722E5C">
            <w:pPr>
              <w:ind w:left="137" w:hanging="137"/>
              <w:jc w:val="right"/>
              <w:rPr>
                <w:b/>
                <w:sz w:val="20"/>
                <w:szCs w:val="20"/>
              </w:rPr>
            </w:pPr>
            <w:r>
              <w:rPr>
                <w:b/>
                <w:bCs/>
                <w:sz w:val="20"/>
                <w:szCs w:val="20"/>
              </w:rPr>
              <w:t>3.5</w:t>
            </w:r>
          </w:p>
        </w:tc>
      </w:tr>
      <w:tr w:rsidR="00722E5C" w:rsidRPr="00D07677" w14:paraId="0942A497" w14:textId="77777777" w:rsidTr="00440578">
        <w:trPr>
          <w:trHeight w:val="516"/>
          <w:jc w:val="center"/>
        </w:trPr>
        <w:tc>
          <w:tcPr>
            <w:tcW w:w="2135" w:type="dxa"/>
            <w:tcBorders>
              <w:bottom w:val="single" w:sz="4" w:space="0" w:color="auto"/>
            </w:tcBorders>
            <w:shd w:val="clear" w:color="auto" w:fill="auto"/>
            <w:noWrap/>
            <w:vAlign w:val="center"/>
          </w:tcPr>
          <w:p w14:paraId="0D05C3F3" w14:textId="77777777" w:rsidR="00722E5C" w:rsidRPr="00BC62D1" w:rsidRDefault="00722E5C" w:rsidP="00722E5C">
            <w:pPr>
              <w:spacing w:before="60"/>
              <w:rPr>
                <w:b/>
                <w:sz w:val="20"/>
              </w:rPr>
            </w:pPr>
            <w:r w:rsidRPr="00BC62D1">
              <w:rPr>
                <w:b/>
                <w:sz w:val="20"/>
                <w:szCs w:val="20"/>
              </w:rPr>
              <w:t xml:space="preserve"> Average </w:t>
            </w:r>
          </w:p>
        </w:tc>
        <w:tc>
          <w:tcPr>
            <w:tcW w:w="992" w:type="dxa"/>
            <w:tcBorders>
              <w:bottom w:val="single" w:sz="4" w:space="0" w:color="auto"/>
            </w:tcBorders>
            <w:shd w:val="clear" w:color="auto" w:fill="auto"/>
            <w:noWrap/>
            <w:vAlign w:val="center"/>
          </w:tcPr>
          <w:p w14:paraId="313AF654" w14:textId="77777777" w:rsidR="00722E5C" w:rsidRPr="00BC62D1" w:rsidRDefault="00722E5C" w:rsidP="00722E5C">
            <w:pPr>
              <w:spacing w:before="60"/>
              <w:jc w:val="right"/>
              <w:rPr>
                <w:b/>
                <w:sz w:val="20"/>
                <w:szCs w:val="20"/>
              </w:rPr>
            </w:pPr>
            <w:r w:rsidRPr="00BC62D1">
              <w:rPr>
                <w:b/>
                <w:sz w:val="20"/>
                <w:szCs w:val="20"/>
              </w:rPr>
              <w:t>5</w:t>
            </w:r>
          </w:p>
        </w:tc>
        <w:tc>
          <w:tcPr>
            <w:tcW w:w="567" w:type="dxa"/>
            <w:tcBorders>
              <w:bottom w:val="single" w:sz="4" w:space="0" w:color="auto"/>
            </w:tcBorders>
            <w:shd w:val="clear" w:color="auto" w:fill="auto"/>
            <w:noWrap/>
            <w:vAlign w:val="center"/>
          </w:tcPr>
          <w:p w14:paraId="3E08BF12" w14:textId="77777777" w:rsidR="00722E5C" w:rsidRPr="00BC62D1" w:rsidRDefault="00722E5C" w:rsidP="00722E5C">
            <w:pPr>
              <w:spacing w:before="60"/>
              <w:jc w:val="right"/>
              <w:rPr>
                <w:b/>
                <w:sz w:val="20"/>
                <w:szCs w:val="20"/>
              </w:rPr>
            </w:pPr>
            <w:r w:rsidRPr="00BC62D1">
              <w:rPr>
                <w:b/>
                <w:sz w:val="20"/>
                <w:szCs w:val="20"/>
              </w:rPr>
              <w:t>12</w:t>
            </w:r>
          </w:p>
        </w:tc>
        <w:tc>
          <w:tcPr>
            <w:tcW w:w="709" w:type="dxa"/>
            <w:tcBorders>
              <w:bottom w:val="single" w:sz="4" w:space="0" w:color="auto"/>
            </w:tcBorders>
            <w:vAlign w:val="center"/>
          </w:tcPr>
          <w:p w14:paraId="7096E51C" w14:textId="77777777" w:rsidR="00722E5C" w:rsidRPr="00BC62D1" w:rsidRDefault="00722E5C" w:rsidP="00722E5C">
            <w:pPr>
              <w:spacing w:before="60"/>
              <w:jc w:val="right"/>
              <w:rPr>
                <w:b/>
                <w:sz w:val="20"/>
                <w:szCs w:val="20"/>
              </w:rPr>
            </w:pPr>
            <w:r w:rsidRPr="00BC62D1">
              <w:rPr>
                <w:b/>
                <w:bCs/>
                <w:sz w:val="20"/>
                <w:szCs w:val="20"/>
              </w:rPr>
              <w:t>12</w:t>
            </w:r>
          </w:p>
        </w:tc>
        <w:tc>
          <w:tcPr>
            <w:tcW w:w="709" w:type="dxa"/>
            <w:tcBorders>
              <w:bottom w:val="single" w:sz="4" w:space="0" w:color="auto"/>
            </w:tcBorders>
            <w:shd w:val="clear" w:color="auto" w:fill="auto"/>
            <w:noWrap/>
            <w:vAlign w:val="center"/>
          </w:tcPr>
          <w:p w14:paraId="67E05FA0" w14:textId="77777777" w:rsidR="00722E5C" w:rsidRPr="00BC62D1" w:rsidRDefault="00722E5C" w:rsidP="00722E5C">
            <w:pPr>
              <w:tabs>
                <w:tab w:val="decimal" w:pos="279"/>
              </w:tabs>
              <w:spacing w:before="60"/>
              <w:jc w:val="right"/>
              <w:rPr>
                <w:b/>
                <w:sz w:val="20"/>
                <w:szCs w:val="20"/>
              </w:rPr>
            </w:pPr>
            <w:r w:rsidRPr="00BC62D1">
              <w:rPr>
                <w:b/>
                <w:sz w:val="20"/>
                <w:szCs w:val="20"/>
              </w:rPr>
              <w:t>4.0</w:t>
            </w:r>
          </w:p>
        </w:tc>
        <w:tc>
          <w:tcPr>
            <w:tcW w:w="567" w:type="dxa"/>
            <w:tcBorders>
              <w:bottom w:val="single" w:sz="4" w:space="0" w:color="auto"/>
            </w:tcBorders>
            <w:shd w:val="clear" w:color="auto" w:fill="auto"/>
            <w:noWrap/>
            <w:vAlign w:val="center"/>
          </w:tcPr>
          <w:p w14:paraId="25C17217" w14:textId="77777777" w:rsidR="00722E5C" w:rsidRPr="00BC62D1" w:rsidRDefault="00722E5C" w:rsidP="00722E5C">
            <w:pPr>
              <w:spacing w:before="60"/>
              <w:ind w:left="137" w:hanging="137"/>
              <w:jc w:val="right"/>
              <w:rPr>
                <w:b/>
                <w:sz w:val="20"/>
                <w:szCs w:val="20"/>
              </w:rPr>
            </w:pPr>
            <w:r w:rsidRPr="00BC62D1">
              <w:rPr>
                <w:b/>
                <w:bCs/>
                <w:sz w:val="20"/>
                <w:szCs w:val="20"/>
              </w:rPr>
              <w:t>3.9</w:t>
            </w:r>
          </w:p>
        </w:tc>
      </w:tr>
    </w:tbl>
    <w:p w14:paraId="5CB0EC3A" w14:textId="77777777" w:rsidR="00722E5C" w:rsidRPr="00491D4A" w:rsidRDefault="00722E5C" w:rsidP="00722E5C">
      <w:pPr>
        <w:spacing w:before="120"/>
        <w:jc w:val="center"/>
        <w:rPr>
          <w:rFonts w:cs="Arial"/>
          <w:sz w:val="18"/>
          <w:szCs w:val="18"/>
        </w:rPr>
      </w:pPr>
      <w:r w:rsidRPr="00491D4A">
        <w:rPr>
          <w:rFonts w:cs="Arial"/>
          <w:i/>
          <w:sz w:val="18"/>
          <w:szCs w:val="18"/>
        </w:rPr>
        <w:t>Kantar Worldpanel: 52 weeks to Jan 2005.</w:t>
      </w:r>
      <w:r>
        <w:rPr>
          <w:rFonts w:cs="Arial"/>
          <w:i/>
          <w:sz w:val="18"/>
          <w:szCs w:val="18"/>
        </w:rPr>
        <w:t xml:space="preserve"> </w:t>
      </w:r>
    </w:p>
    <w:p w14:paraId="0A634FD4" w14:textId="77777777" w:rsidR="00722E5C" w:rsidRDefault="00722E5C" w:rsidP="00722E5C">
      <w:pPr>
        <w:jc w:val="center"/>
        <w:rPr>
          <w:rFonts w:cs="Arial"/>
        </w:rPr>
      </w:pPr>
    </w:p>
    <w:p w14:paraId="1EFA3AEE" w14:textId="77777777" w:rsidR="00722E5C" w:rsidRDefault="00722E5C" w:rsidP="00722E5C">
      <w:pPr>
        <w:jc w:val="center"/>
        <w:rPr>
          <w:rFonts w:cs="Arial"/>
        </w:rPr>
      </w:pPr>
    </w:p>
    <w:p w14:paraId="00B377CF" w14:textId="77777777" w:rsidR="00722E5C" w:rsidRDefault="00722E5C" w:rsidP="00722E5C">
      <w:pPr>
        <w:jc w:val="center"/>
        <w:rPr>
          <w:rFonts w:cs="Arial"/>
        </w:rPr>
      </w:pPr>
    </w:p>
    <w:p w14:paraId="0007EE49" w14:textId="77777777" w:rsidR="00722E5C" w:rsidRDefault="00722E5C" w:rsidP="00722E5C">
      <w:pPr>
        <w:jc w:val="center"/>
        <w:rPr>
          <w:rFonts w:cs="Arial"/>
        </w:rPr>
      </w:pPr>
    </w:p>
    <w:p w14:paraId="4B4D0ED5" w14:textId="77777777" w:rsidR="00722E5C" w:rsidRDefault="00722E5C" w:rsidP="00722E5C">
      <w:pPr>
        <w:rPr>
          <w:rFonts w:cs="Arial"/>
        </w:rPr>
      </w:pPr>
    </w:p>
    <w:p w14:paraId="663EDC13" w14:textId="77777777" w:rsidR="00722E5C" w:rsidRDefault="00722E5C" w:rsidP="00722E5C">
      <w:pPr>
        <w:jc w:val="center"/>
        <w:rPr>
          <w:rFonts w:cs="Arial"/>
        </w:rPr>
      </w:pPr>
    </w:p>
    <w:p w14:paraId="148DBEAA" w14:textId="77777777" w:rsidR="00722E5C" w:rsidRDefault="00722E5C" w:rsidP="00722E5C">
      <w:pPr>
        <w:jc w:val="center"/>
        <w:rPr>
          <w:rFonts w:cs="Arial"/>
        </w:rPr>
      </w:pPr>
    </w:p>
    <w:p w14:paraId="1CD8399B" w14:textId="0760CFF1" w:rsidR="00722E5C" w:rsidRPr="00162D92" w:rsidRDefault="00722E5C" w:rsidP="00722E5C">
      <w:pPr>
        <w:widowControl w:val="0"/>
        <w:autoSpaceDE w:val="0"/>
        <w:autoSpaceDN w:val="0"/>
        <w:adjustRightInd w:val="0"/>
        <w:spacing w:line="480" w:lineRule="auto"/>
        <w:jc w:val="center"/>
        <w:rPr>
          <w:b/>
          <w:bCs/>
          <w:color w:val="000000"/>
        </w:rPr>
      </w:pPr>
      <w:r w:rsidRPr="005166FA">
        <w:rPr>
          <w:b/>
          <w:bCs/>
          <w:color w:val="000000"/>
        </w:rPr>
        <w:t>Table 1</w:t>
      </w:r>
      <w:r w:rsidR="00BF152C">
        <w:rPr>
          <w:b/>
          <w:bCs/>
          <w:color w:val="000000"/>
        </w:rPr>
        <w:t>1</w:t>
      </w:r>
      <w:r w:rsidRPr="005166FA">
        <w:rPr>
          <w:b/>
          <w:bCs/>
          <w:color w:val="000000"/>
        </w:rPr>
        <w:t xml:space="preserve">    </w:t>
      </w:r>
      <w:r w:rsidRPr="005166FA">
        <w:rPr>
          <w:color w:val="000000"/>
        </w:rPr>
        <w:t xml:space="preserve"> </w:t>
      </w:r>
      <w:r w:rsidRPr="005166FA">
        <w:rPr>
          <w:b/>
          <w:bCs/>
          <w:color w:val="000000"/>
        </w:rPr>
        <w:t>Partitions in the UK sugar confectionery market</w:t>
      </w:r>
    </w:p>
    <w:tbl>
      <w:tblPr>
        <w:tblW w:w="10286" w:type="dxa"/>
        <w:jc w:val="center"/>
        <w:tblBorders>
          <w:left w:val="nil"/>
          <w:right w:val="nil"/>
        </w:tblBorders>
        <w:tblLayout w:type="fixed"/>
        <w:tblLook w:val="0000" w:firstRow="0" w:lastRow="0" w:firstColumn="0" w:lastColumn="0" w:noHBand="0" w:noVBand="0"/>
      </w:tblPr>
      <w:tblGrid>
        <w:gridCol w:w="2182"/>
        <w:gridCol w:w="623"/>
        <w:gridCol w:w="623"/>
        <w:gridCol w:w="681"/>
        <w:gridCol w:w="566"/>
        <w:gridCol w:w="623"/>
        <w:gridCol w:w="435"/>
        <w:gridCol w:w="189"/>
        <w:gridCol w:w="623"/>
        <w:gridCol w:w="624"/>
        <w:gridCol w:w="623"/>
        <w:gridCol w:w="623"/>
        <w:gridCol w:w="624"/>
        <w:gridCol w:w="623"/>
        <w:gridCol w:w="624"/>
      </w:tblGrid>
      <w:tr w:rsidR="00310A34" w14:paraId="15B066DF" w14:textId="77777777" w:rsidTr="00144248">
        <w:trPr>
          <w:jc w:val="center"/>
        </w:trPr>
        <w:tc>
          <w:tcPr>
            <w:tcW w:w="2182" w:type="dxa"/>
            <w:tcBorders>
              <w:top w:val="single" w:sz="4" w:space="0" w:color="auto"/>
              <w:left w:val="nil"/>
              <w:bottom w:val="nil"/>
              <w:right w:val="nil"/>
            </w:tcBorders>
          </w:tcPr>
          <w:p w14:paraId="2E26AB7A" w14:textId="77777777" w:rsidR="00310A34" w:rsidRDefault="00310A34" w:rsidP="00722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927" w:type="dxa"/>
            <w:gridSpan w:val="3"/>
            <w:tcBorders>
              <w:top w:val="single" w:sz="4" w:space="0" w:color="auto"/>
              <w:left w:val="nil"/>
              <w:bottom w:val="nil"/>
              <w:right w:val="nil"/>
            </w:tcBorders>
            <w:vAlign w:val="bottom"/>
          </w:tcPr>
          <w:p w14:paraId="1C8D3BB1" w14:textId="77777777" w:rsidR="00310A34" w:rsidRPr="005A1349" w:rsidRDefault="00310A34" w:rsidP="00722E5C">
            <w:pPr>
              <w:widowControl w:val="0"/>
              <w:autoSpaceDE w:val="0"/>
              <w:autoSpaceDN w:val="0"/>
              <w:adjustRightInd w:val="0"/>
              <w:jc w:val="center"/>
              <w:rPr>
                <w:rFonts w:ascii="Helvetica" w:hAnsi="Helvetica" w:cs="Helvetica"/>
                <w:i/>
                <w:kern w:val="1"/>
              </w:rPr>
            </w:pPr>
            <w:r w:rsidRPr="005A1349">
              <w:rPr>
                <w:b/>
                <w:i/>
                <w:kern w:val="1"/>
                <w:sz w:val="20"/>
                <w:szCs w:val="20"/>
              </w:rPr>
              <w:t>Gums</w:t>
            </w:r>
          </w:p>
        </w:tc>
        <w:tc>
          <w:tcPr>
            <w:tcW w:w="1624" w:type="dxa"/>
            <w:gridSpan w:val="3"/>
            <w:tcBorders>
              <w:top w:val="single" w:sz="4" w:space="0" w:color="auto"/>
              <w:left w:val="nil"/>
              <w:bottom w:val="nil"/>
              <w:right w:val="nil"/>
            </w:tcBorders>
            <w:vAlign w:val="bottom"/>
          </w:tcPr>
          <w:p w14:paraId="1685A79D" w14:textId="03300291" w:rsidR="00310A34" w:rsidRPr="007F7E89" w:rsidRDefault="00227E84" w:rsidP="00722E5C">
            <w:pPr>
              <w:widowControl w:val="0"/>
              <w:autoSpaceDE w:val="0"/>
              <w:autoSpaceDN w:val="0"/>
              <w:adjustRightInd w:val="0"/>
              <w:jc w:val="center"/>
              <w:rPr>
                <w:b/>
                <w:i/>
                <w:kern w:val="1"/>
                <w:sz w:val="20"/>
                <w:szCs w:val="20"/>
              </w:rPr>
            </w:pPr>
            <w:r>
              <w:rPr>
                <w:b/>
                <w:i/>
                <w:kern w:val="1"/>
                <w:sz w:val="20"/>
                <w:szCs w:val="20"/>
              </w:rPr>
              <w:t>Main Brands</w:t>
            </w:r>
          </w:p>
        </w:tc>
        <w:tc>
          <w:tcPr>
            <w:tcW w:w="2059" w:type="dxa"/>
            <w:gridSpan w:val="4"/>
            <w:tcBorders>
              <w:top w:val="single" w:sz="4" w:space="0" w:color="auto"/>
              <w:left w:val="nil"/>
              <w:bottom w:val="nil"/>
              <w:right w:val="nil"/>
            </w:tcBorders>
            <w:vAlign w:val="bottom"/>
          </w:tcPr>
          <w:p w14:paraId="6FDFAA99" w14:textId="3E811B61" w:rsidR="00310A34" w:rsidRDefault="00310A34" w:rsidP="00722E5C">
            <w:pPr>
              <w:widowControl w:val="0"/>
              <w:autoSpaceDE w:val="0"/>
              <w:autoSpaceDN w:val="0"/>
              <w:adjustRightInd w:val="0"/>
              <w:jc w:val="center"/>
              <w:rPr>
                <w:rFonts w:ascii="Helvetica" w:hAnsi="Helvetica" w:cs="Helvetica"/>
                <w:kern w:val="1"/>
              </w:rPr>
            </w:pPr>
            <w:r w:rsidRPr="00AD5986">
              <w:rPr>
                <w:b/>
                <w:i/>
                <w:kern w:val="1"/>
                <w:sz w:val="20"/>
                <w:szCs w:val="20"/>
              </w:rPr>
              <w:t>Mints</w:t>
            </w:r>
          </w:p>
        </w:tc>
        <w:tc>
          <w:tcPr>
            <w:tcW w:w="2494" w:type="dxa"/>
            <w:gridSpan w:val="4"/>
            <w:tcBorders>
              <w:top w:val="single" w:sz="4" w:space="0" w:color="auto"/>
              <w:left w:val="nil"/>
              <w:bottom w:val="nil"/>
              <w:right w:val="nil"/>
            </w:tcBorders>
            <w:vAlign w:val="bottom"/>
          </w:tcPr>
          <w:p w14:paraId="72A0963C" w14:textId="77777777" w:rsidR="00310A34" w:rsidRPr="005A1349" w:rsidRDefault="00310A34" w:rsidP="00722E5C">
            <w:pPr>
              <w:widowControl w:val="0"/>
              <w:autoSpaceDE w:val="0"/>
              <w:autoSpaceDN w:val="0"/>
              <w:adjustRightInd w:val="0"/>
              <w:jc w:val="center"/>
              <w:rPr>
                <w:b/>
                <w:i/>
                <w:kern w:val="1"/>
                <w:sz w:val="20"/>
                <w:szCs w:val="20"/>
              </w:rPr>
            </w:pPr>
            <w:r w:rsidRPr="005A1349">
              <w:rPr>
                <w:b/>
                <w:i/>
                <w:kern w:val="1"/>
                <w:sz w:val="20"/>
                <w:szCs w:val="20"/>
              </w:rPr>
              <w:t>Fruit</w:t>
            </w:r>
            <w:r>
              <w:rPr>
                <w:b/>
                <w:i/>
                <w:kern w:val="1"/>
                <w:sz w:val="20"/>
                <w:szCs w:val="20"/>
              </w:rPr>
              <w:t xml:space="preserve"> Confectionery</w:t>
            </w:r>
          </w:p>
        </w:tc>
      </w:tr>
      <w:tr w:rsidR="00722E5C" w14:paraId="7047E225" w14:textId="77777777" w:rsidTr="00AD5986">
        <w:trPr>
          <w:trHeight w:val="470"/>
          <w:jc w:val="center"/>
        </w:trPr>
        <w:tc>
          <w:tcPr>
            <w:tcW w:w="2182" w:type="dxa"/>
            <w:tcBorders>
              <w:top w:val="nil"/>
              <w:left w:val="nil"/>
              <w:bottom w:val="nil"/>
              <w:right w:val="nil"/>
            </w:tcBorders>
            <w:vAlign w:val="center"/>
          </w:tcPr>
          <w:p w14:paraId="2B674238" w14:textId="77777777" w:rsidR="00722E5C" w:rsidRPr="005A1349" w:rsidRDefault="00722E5C" w:rsidP="00722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kern w:val="1"/>
                <w:sz w:val="20"/>
                <w:szCs w:val="20"/>
              </w:rPr>
            </w:pPr>
            <w:r w:rsidRPr="005A1349">
              <w:rPr>
                <w:b/>
                <w:kern w:val="1"/>
                <w:sz w:val="20"/>
                <w:szCs w:val="20"/>
              </w:rPr>
              <w:t>Who also buy:</w:t>
            </w:r>
          </w:p>
        </w:tc>
        <w:tc>
          <w:tcPr>
            <w:tcW w:w="623" w:type="dxa"/>
            <w:tcBorders>
              <w:top w:val="nil"/>
              <w:left w:val="nil"/>
              <w:bottom w:val="nil"/>
              <w:right w:val="nil"/>
            </w:tcBorders>
            <w:vAlign w:val="center"/>
          </w:tcPr>
          <w:p w14:paraId="33642394" w14:textId="77777777" w:rsidR="00722E5C" w:rsidRDefault="00722E5C" w:rsidP="00722E5C">
            <w:pPr>
              <w:widowControl w:val="0"/>
              <w:autoSpaceDE w:val="0"/>
              <w:autoSpaceDN w:val="0"/>
              <w:adjustRightInd w:val="0"/>
              <w:jc w:val="center"/>
              <w:rPr>
                <w:sz w:val="20"/>
                <w:szCs w:val="20"/>
              </w:rPr>
            </w:pPr>
            <w:r>
              <w:rPr>
                <w:sz w:val="20"/>
                <w:szCs w:val="20"/>
              </w:rPr>
              <w:t>Ws</w:t>
            </w:r>
          </w:p>
        </w:tc>
        <w:tc>
          <w:tcPr>
            <w:tcW w:w="623" w:type="dxa"/>
            <w:tcBorders>
              <w:top w:val="nil"/>
              <w:left w:val="nil"/>
              <w:bottom w:val="nil"/>
              <w:right w:val="nil"/>
            </w:tcBorders>
            <w:vAlign w:val="center"/>
          </w:tcPr>
          <w:p w14:paraId="23B5B850" w14:textId="77777777" w:rsidR="00722E5C" w:rsidRDefault="00722E5C" w:rsidP="00722E5C">
            <w:pPr>
              <w:widowControl w:val="0"/>
              <w:autoSpaceDE w:val="0"/>
              <w:autoSpaceDN w:val="0"/>
              <w:adjustRightInd w:val="0"/>
              <w:jc w:val="center"/>
              <w:rPr>
                <w:sz w:val="20"/>
                <w:szCs w:val="20"/>
              </w:rPr>
            </w:pPr>
            <w:r>
              <w:rPr>
                <w:sz w:val="20"/>
                <w:szCs w:val="20"/>
              </w:rPr>
              <w:t>Orb</w:t>
            </w:r>
          </w:p>
        </w:tc>
        <w:tc>
          <w:tcPr>
            <w:tcW w:w="681" w:type="dxa"/>
            <w:tcBorders>
              <w:top w:val="nil"/>
              <w:left w:val="nil"/>
              <w:bottom w:val="nil"/>
              <w:right w:val="nil"/>
            </w:tcBorders>
            <w:vAlign w:val="center"/>
          </w:tcPr>
          <w:p w14:paraId="0D6C9CD9" w14:textId="77777777" w:rsidR="00722E5C" w:rsidRDefault="00722E5C" w:rsidP="00722E5C">
            <w:pPr>
              <w:widowControl w:val="0"/>
              <w:autoSpaceDE w:val="0"/>
              <w:autoSpaceDN w:val="0"/>
              <w:adjustRightInd w:val="0"/>
              <w:jc w:val="center"/>
              <w:rPr>
                <w:sz w:val="20"/>
                <w:szCs w:val="20"/>
              </w:rPr>
            </w:pPr>
            <w:r>
              <w:rPr>
                <w:sz w:val="20"/>
                <w:szCs w:val="20"/>
              </w:rPr>
              <w:t>HB</w:t>
            </w:r>
          </w:p>
        </w:tc>
        <w:tc>
          <w:tcPr>
            <w:tcW w:w="566" w:type="dxa"/>
            <w:tcBorders>
              <w:top w:val="nil"/>
              <w:left w:val="nil"/>
              <w:bottom w:val="nil"/>
              <w:right w:val="nil"/>
            </w:tcBorders>
            <w:vAlign w:val="center"/>
          </w:tcPr>
          <w:p w14:paraId="1AC9E4C3" w14:textId="77777777" w:rsidR="00722E5C" w:rsidRDefault="00722E5C" w:rsidP="00722E5C">
            <w:pPr>
              <w:widowControl w:val="0"/>
              <w:autoSpaceDE w:val="0"/>
              <w:autoSpaceDN w:val="0"/>
              <w:adjustRightInd w:val="0"/>
              <w:jc w:val="center"/>
              <w:rPr>
                <w:sz w:val="20"/>
                <w:szCs w:val="20"/>
              </w:rPr>
            </w:pPr>
            <w:r>
              <w:rPr>
                <w:sz w:val="20"/>
                <w:szCs w:val="20"/>
              </w:rPr>
              <w:t>Rw</w:t>
            </w:r>
          </w:p>
        </w:tc>
        <w:tc>
          <w:tcPr>
            <w:tcW w:w="623" w:type="dxa"/>
            <w:tcBorders>
              <w:top w:val="nil"/>
              <w:left w:val="nil"/>
              <w:bottom w:val="nil"/>
              <w:right w:val="nil"/>
            </w:tcBorders>
            <w:vAlign w:val="center"/>
          </w:tcPr>
          <w:p w14:paraId="4E59BB98" w14:textId="77777777" w:rsidR="00722E5C" w:rsidRDefault="00722E5C" w:rsidP="00722E5C">
            <w:pPr>
              <w:widowControl w:val="0"/>
              <w:autoSpaceDE w:val="0"/>
              <w:autoSpaceDN w:val="0"/>
              <w:adjustRightInd w:val="0"/>
              <w:jc w:val="center"/>
              <w:rPr>
                <w:sz w:val="20"/>
                <w:szCs w:val="20"/>
              </w:rPr>
            </w:pPr>
            <w:r>
              <w:rPr>
                <w:sz w:val="20"/>
                <w:szCs w:val="20"/>
              </w:rPr>
              <w:t>Ba</w:t>
            </w:r>
          </w:p>
        </w:tc>
        <w:tc>
          <w:tcPr>
            <w:tcW w:w="624" w:type="dxa"/>
            <w:gridSpan w:val="2"/>
            <w:tcBorders>
              <w:top w:val="nil"/>
              <w:left w:val="nil"/>
              <w:bottom w:val="nil"/>
              <w:right w:val="nil"/>
            </w:tcBorders>
            <w:vAlign w:val="center"/>
          </w:tcPr>
          <w:p w14:paraId="637E9D3E" w14:textId="77777777" w:rsidR="00722E5C" w:rsidRDefault="00722E5C" w:rsidP="00722E5C">
            <w:pPr>
              <w:widowControl w:val="0"/>
              <w:autoSpaceDE w:val="0"/>
              <w:autoSpaceDN w:val="0"/>
              <w:adjustRightInd w:val="0"/>
              <w:jc w:val="center"/>
              <w:rPr>
                <w:sz w:val="20"/>
                <w:szCs w:val="20"/>
              </w:rPr>
            </w:pPr>
            <w:r>
              <w:rPr>
                <w:sz w:val="20"/>
                <w:szCs w:val="20"/>
              </w:rPr>
              <w:t>Har</w:t>
            </w:r>
          </w:p>
        </w:tc>
        <w:tc>
          <w:tcPr>
            <w:tcW w:w="623" w:type="dxa"/>
            <w:tcBorders>
              <w:top w:val="nil"/>
              <w:left w:val="nil"/>
              <w:bottom w:val="nil"/>
              <w:right w:val="nil"/>
            </w:tcBorders>
            <w:vAlign w:val="center"/>
          </w:tcPr>
          <w:p w14:paraId="0B634A5D" w14:textId="77777777" w:rsidR="00722E5C" w:rsidRDefault="00722E5C" w:rsidP="00722E5C">
            <w:pPr>
              <w:widowControl w:val="0"/>
              <w:autoSpaceDE w:val="0"/>
              <w:autoSpaceDN w:val="0"/>
              <w:adjustRightInd w:val="0"/>
              <w:jc w:val="center"/>
              <w:rPr>
                <w:sz w:val="20"/>
                <w:szCs w:val="20"/>
              </w:rPr>
            </w:pPr>
            <w:r>
              <w:rPr>
                <w:sz w:val="20"/>
                <w:szCs w:val="20"/>
              </w:rPr>
              <w:t>TT</w:t>
            </w:r>
          </w:p>
        </w:tc>
        <w:tc>
          <w:tcPr>
            <w:tcW w:w="624" w:type="dxa"/>
            <w:tcBorders>
              <w:top w:val="nil"/>
              <w:left w:val="nil"/>
              <w:bottom w:val="nil"/>
              <w:right w:val="nil"/>
            </w:tcBorders>
            <w:vAlign w:val="center"/>
          </w:tcPr>
          <w:p w14:paraId="7B288868" w14:textId="77777777" w:rsidR="00722E5C" w:rsidRDefault="00722E5C" w:rsidP="00722E5C">
            <w:pPr>
              <w:widowControl w:val="0"/>
              <w:autoSpaceDE w:val="0"/>
              <w:autoSpaceDN w:val="0"/>
              <w:adjustRightInd w:val="0"/>
              <w:jc w:val="center"/>
              <w:rPr>
                <w:sz w:val="20"/>
                <w:szCs w:val="20"/>
              </w:rPr>
            </w:pPr>
            <w:r>
              <w:rPr>
                <w:sz w:val="20"/>
                <w:szCs w:val="20"/>
              </w:rPr>
              <w:t>Wert</w:t>
            </w:r>
          </w:p>
        </w:tc>
        <w:tc>
          <w:tcPr>
            <w:tcW w:w="623" w:type="dxa"/>
            <w:tcBorders>
              <w:top w:val="nil"/>
              <w:left w:val="nil"/>
              <w:bottom w:val="nil"/>
              <w:right w:val="nil"/>
            </w:tcBorders>
            <w:vAlign w:val="center"/>
          </w:tcPr>
          <w:p w14:paraId="5D05E794" w14:textId="77777777" w:rsidR="00722E5C" w:rsidRDefault="00722E5C" w:rsidP="00722E5C">
            <w:pPr>
              <w:widowControl w:val="0"/>
              <w:autoSpaceDE w:val="0"/>
              <w:autoSpaceDN w:val="0"/>
              <w:adjustRightInd w:val="0"/>
              <w:jc w:val="center"/>
              <w:rPr>
                <w:sz w:val="20"/>
                <w:szCs w:val="20"/>
              </w:rPr>
            </w:pPr>
            <w:r>
              <w:rPr>
                <w:sz w:val="20"/>
                <w:szCs w:val="20"/>
              </w:rPr>
              <w:t>Hall</w:t>
            </w:r>
          </w:p>
        </w:tc>
        <w:tc>
          <w:tcPr>
            <w:tcW w:w="623" w:type="dxa"/>
            <w:tcBorders>
              <w:top w:val="nil"/>
              <w:left w:val="nil"/>
              <w:bottom w:val="nil"/>
              <w:right w:val="nil"/>
            </w:tcBorders>
            <w:vAlign w:val="center"/>
          </w:tcPr>
          <w:p w14:paraId="469204E3" w14:textId="77777777" w:rsidR="00722E5C" w:rsidRDefault="00722E5C" w:rsidP="00722E5C">
            <w:pPr>
              <w:widowControl w:val="0"/>
              <w:autoSpaceDE w:val="0"/>
              <w:autoSpaceDN w:val="0"/>
              <w:adjustRightInd w:val="0"/>
              <w:jc w:val="center"/>
              <w:rPr>
                <w:sz w:val="20"/>
                <w:szCs w:val="20"/>
              </w:rPr>
            </w:pPr>
            <w:r>
              <w:rPr>
                <w:sz w:val="20"/>
                <w:szCs w:val="20"/>
              </w:rPr>
              <w:t>Skit</w:t>
            </w:r>
          </w:p>
        </w:tc>
        <w:tc>
          <w:tcPr>
            <w:tcW w:w="624" w:type="dxa"/>
            <w:tcBorders>
              <w:top w:val="nil"/>
              <w:left w:val="nil"/>
              <w:bottom w:val="nil"/>
              <w:right w:val="nil"/>
            </w:tcBorders>
            <w:vAlign w:val="center"/>
          </w:tcPr>
          <w:p w14:paraId="6AD2566C" w14:textId="77777777" w:rsidR="00722E5C" w:rsidRDefault="00722E5C" w:rsidP="00722E5C">
            <w:pPr>
              <w:widowControl w:val="0"/>
              <w:autoSpaceDE w:val="0"/>
              <w:autoSpaceDN w:val="0"/>
              <w:adjustRightInd w:val="0"/>
              <w:jc w:val="center"/>
              <w:rPr>
                <w:sz w:val="20"/>
                <w:szCs w:val="20"/>
              </w:rPr>
            </w:pPr>
            <w:r>
              <w:rPr>
                <w:sz w:val="20"/>
                <w:szCs w:val="20"/>
              </w:rPr>
              <w:t>Swiz</w:t>
            </w:r>
          </w:p>
        </w:tc>
        <w:tc>
          <w:tcPr>
            <w:tcW w:w="623" w:type="dxa"/>
            <w:tcBorders>
              <w:top w:val="nil"/>
              <w:left w:val="nil"/>
              <w:bottom w:val="nil"/>
              <w:right w:val="nil"/>
            </w:tcBorders>
            <w:vAlign w:val="center"/>
          </w:tcPr>
          <w:p w14:paraId="224A64E6" w14:textId="77777777" w:rsidR="00722E5C" w:rsidRDefault="00722E5C" w:rsidP="00722E5C">
            <w:pPr>
              <w:widowControl w:val="0"/>
              <w:autoSpaceDE w:val="0"/>
              <w:autoSpaceDN w:val="0"/>
              <w:adjustRightInd w:val="0"/>
              <w:jc w:val="center"/>
              <w:rPr>
                <w:sz w:val="20"/>
                <w:szCs w:val="20"/>
              </w:rPr>
            </w:pPr>
            <w:r>
              <w:rPr>
                <w:sz w:val="20"/>
                <w:szCs w:val="20"/>
              </w:rPr>
              <w:t>Chw</w:t>
            </w:r>
          </w:p>
        </w:tc>
        <w:tc>
          <w:tcPr>
            <w:tcW w:w="624" w:type="dxa"/>
            <w:tcBorders>
              <w:top w:val="nil"/>
              <w:left w:val="nil"/>
              <w:bottom w:val="nil"/>
              <w:right w:val="nil"/>
            </w:tcBorders>
            <w:vAlign w:val="center"/>
          </w:tcPr>
          <w:p w14:paraId="1B0D822E" w14:textId="77777777" w:rsidR="00722E5C" w:rsidRDefault="00722E5C" w:rsidP="00722E5C">
            <w:pPr>
              <w:widowControl w:val="0"/>
              <w:autoSpaceDE w:val="0"/>
              <w:autoSpaceDN w:val="0"/>
              <w:adjustRightInd w:val="0"/>
              <w:jc w:val="center"/>
              <w:rPr>
                <w:sz w:val="20"/>
                <w:szCs w:val="20"/>
              </w:rPr>
            </w:pPr>
            <w:r>
              <w:rPr>
                <w:sz w:val="20"/>
                <w:szCs w:val="20"/>
              </w:rPr>
              <w:t>Star</w:t>
            </w:r>
          </w:p>
        </w:tc>
      </w:tr>
      <w:tr w:rsidR="00722E5C" w14:paraId="32DB2F96" w14:textId="77777777" w:rsidTr="00AD5986">
        <w:trPr>
          <w:jc w:val="center"/>
        </w:trPr>
        <w:tc>
          <w:tcPr>
            <w:tcW w:w="2182" w:type="dxa"/>
            <w:tcBorders>
              <w:top w:val="nil"/>
              <w:left w:val="nil"/>
              <w:bottom w:val="single" w:sz="4" w:space="0" w:color="auto"/>
              <w:right w:val="nil"/>
            </w:tcBorders>
          </w:tcPr>
          <w:p w14:paraId="10BB9191" w14:textId="77777777" w:rsidR="00722E5C" w:rsidRPr="005166FA" w:rsidRDefault="00722E5C" w:rsidP="00722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kern w:val="1"/>
                <w:sz w:val="20"/>
                <w:szCs w:val="20"/>
              </w:rPr>
            </w:pPr>
            <w:r w:rsidRPr="005166FA">
              <w:rPr>
                <w:b/>
                <w:kern w:val="1"/>
                <w:sz w:val="20"/>
                <w:szCs w:val="20"/>
              </w:rPr>
              <w:t>Buyers of:</w:t>
            </w:r>
          </w:p>
        </w:tc>
        <w:tc>
          <w:tcPr>
            <w:tcW w:w="623" w:type="dxa"/>
            <w:tcBorders>
              <w:top w:val="nil"/>
              <w:left w:val="nil"/>
              <w:bottom w:val="single" w:sz="4" w:space="0" w:color="auto"/>
              <w:right w:val="nil"/>
            </w:tcBorders>
            <w:vAlign w:val="bottom"/>
          </w:tcPr>
          <w:p w14:paraId="06CC1F5A" w14:textId="77777777" w:rsidR="00722E5C" w:rsidRDefault="00722E5C" w:rsidP="00722E5C">
            <w:pPr>
              <w:widowControl w:val="0"/>
              <w:autoSpaceDE w:val="0"/>
              <w:autoSpaceDN w:val="0"/>
              <w:adjustRightInd w:val="0"/>
              <w:jc w:val="center"/>
              <w:rPr>
                <w:sz w:val="20"/>
                <w:szCs w:val="20"/>
              </w:rPr>
            </w:pPr>
          </w:p>
        </w:tc>
        <w:tc>
          <w:tcPr>
            <w:tcW w:w="623" w:type="dxa"/>
            <w:tcBorders>
              <w:top w:val="nil"/>
              <w:left w:val="nil"/>
              <w:bottom w:val="single" w:sz="4" w:space="0" w:color="auto"/>
              <w:right w:val="nil"/>
            </w:tcBorders>
            <w:vAlign w:val="bottom"/>
          </w:tcPr>
          <w:p w14:paraId="5FDB7199" w14:textId="77777777" w:rsidR="00722E5C" w:rsidRDefault="00722E5C" w:rsidP="00722E5C">
            <w:pPr>
              <w:widowControl w:val="0"/>
              <w:autoSpaceDE w:val="0"/>
              <w:autoSpaceDN w:val="0"/>
              <w:adjustRightInd w:val="0"/>
              <w:jc w:val="center"/>
              <w:rPr>
                <w:sz w:val="20"/>
                <w:szCs w:val="20"/>
              </w:rPr>
            </w:pPr>
          </w:p>
        </w:tc>
        <w:tc>
          <w:tcPr>
            <w:tcW w:w="681" w:type="dxa"/>
            <w:tcBorders>
              <w:top w:val="nil"/>
              <w:left w:val="nil"/>
              <w:bottom w:val="single" w:sz="4" w:space="0" w:color="auto"/>
              <w:right w:val="nil"/>
            </w:tcBorders>
            <w:vAlign w:val="bottom"/>
          </w:tcPr>
          <w:p w14:paraId="00A1D360" w14:textId="77777777" w:rsidR="00722E5C" w:rsidRDefault="00722E5C" w:rsidP="00722E5C">
            <w:pPr>
              <w:widowControl w:val="0"/>
              <w:autoSpaceDE w:val="0"/>
              <w:autoSpaceDN w:val="0"/>
              <w:adjustRightInd w:val="0"/>
              <w:jc w:val="center"/>
              <w:rPr>
                <w:sz w:val="20"/>
                <w:szCs w:val="20"/>
              </w:rPr>
            </w:pPr>
          </w:p>
        </w:tc>
        <w:tc>
          <w:tcPr>
            <w:tcW w:w="566" w:type="dxa"/>
            <w:tcBorders>
              <w:top w:val="nil"/>
              <w:left w:val="nil"/>
              <w:bottom w:val="single" w:sz="4" w:space="0" w:color="auto"/>
              <w:right w:val="nil"/>
            </w:tcBorders>
            <w:vAlign w:val="bottom"/>
          </w:tcPr>
          <w:p w14:paraId="5B36C6B7" w14:textId="77777777" w:rsidR="00722E5C" w:rsidRDefault="00722E5C" w:rsidP="00722E5C">
            <w:pPr>
              <w:widowControl w:val="0"/>
              <w:autoSpaceDE w:val="0"/>
              <w:autoSpaceDN w:val="0"/>
              <w:adjustRightInd w:val="0"/>
              <w:jc w:val="center"/>
              <w:rPr>
                <w:sz w:val="20"/>
                <w:szCs w:val="20"/>
              </w:rPr>
            </w:pPr>
          </w:p>
        </w:tc>
        <w:tc>
          <w:tcPr>
            <w:tcW w:w="623" w:type="dxa"/>
            <w:tcBorders>
              <w:top w:val="nil"/>
              <w:left w:val="nil"/>
              <w:bottom w:val="single" w:sz="4" w:space="0" w:color="auto"/>
              <w:right w:val="nil"/>
            </w:tcBorders>
            <w:vAlign w:val="bottom"/>
          </w:tcPr>
          <w:p w14:paraId="5F724733" w14:textId="77777777" w:rsidR="00722E5C" w:rsidRDefault="00722E5C" w:rsidP="00722E5C">
            <w:pPr>
              <w:widowControl w:val="0"/>
              <w:autoSpaceDE w:val="0"/>
              <w:autoSpaceDN w:val="0"/>
              <w:adjustRightInd w:val="0"/>
              <w:jc w:val="center"/>
              <w:rPr>
                <w:sz w:val="20"/>
                <w:szCs w:val="20"/>
              </w:rPr>
            </w:pPr>
          </w:p>
        </w:tc>
        <w:tc>
          <w:tcPr>
            <w:tcW w:w="624" w:type="dxa"/>
            <w:gridSpan w:val="2"/>
            <w:tcBorders>
              <w:top w:val="nil"/>
              <w:left w:val="nil"/>
              <w:bottom w:val="single" w:sz="4" w:space="0" w:color="auto"/>
              <w:right w:val="nil"/>
            </w:tcBorders>
            <w:vAlign w:val="bottom"/>
          </w:tcPr>
          <w:p w14:paraId="3E226A56" w14:textId="77777777" w:rsidR="00722E5C" w:rsidRDefault="00722E5C" w:rsidP="00722E5C">
            <w:pPr>
              <w:widowControl w:val="0"/>
              <w:autoSpaceDE w:val="0"/>
              <w:autoSpaceDN w:val="0"/>
              <w:adjustRightInd w:val="0"/>
              <w:jc w:val="center"/>
              <w:rPr>
                <w:sz w:val="20"/>
                <w:szCs w:val="20"/>
              </w:rPr>
            </w:pPr>
          </w:p>
        </w:tc>
        <w:tc>
          <w:tcPr>
            <w:tcW w:w="623" w:type="dxa"/>
            <w:tcBorders>
              <w:top w:val="nil"/>
              <w:left w:val="nil"/>
              <w:bottom w:val="single" w:sz="4" w:space="0" w:color="auto"/>
              <w:right w:val="nil"/>
            </w:tcBorders>
            <w:vAlign w:val="bottom"/>
          </w:tcPr>
          <w:p w14:paraId="495633EB" w14:textId="77777777" w:rsidR="00722E5C" w:rsidRDefault="00722E5C" w:rsidP="00722E5C">
            <w:pPr>
              <w:widowControl w:val="0"/>
              <w:autoSpaceDE w:val="0"/>
              <w:autoSpaceDN w:val="0"/>
              <w:adjustRightInd w:val="0"/>
              <w:jc w:val="center"/>
              <w:rPr>
                <w:sz w:val="20"/>
                <w:szCs w:val="20"/>
              </w:rPr>
            </w:pPr>
          </w:p>
        </w:tc>
        <w:tc>
          <w:tcPr>
            <w:tcW w:w="624" w:type="dxa"/>
            <w:tcBorders>
              <w:top w:val="nil"/>
              <w:left w:val="nil"/>
              <w:bottom w:val="single" w:sz="4" w:space="0" w:color="auto"/>
              <w:right w:val="nil"/>
            </w:tcBorders>
            <w:vAlign w:val="bottom"/>
          </w:tcPr>
          <w:p w14:paraId="0B128D93" w14:textId="77777777" w:rsidR="00722E5C" w:rsidRDefault="00722E5C" w:rsidP="00722E5C">
            <w:pPr>
              <w:widowControl w:val="0"/>
              <w:autoSpaceDE w:val="0"/>
              <w:autoSpaceDN w:val="0"/>
              <w:adjustRightInd w:val="0"/>
              <w:jc w:val="center"/>
              <w:rPr>
                <w:sz w:val="20"/>
                <w:szCs w:val="20"/>
              </w:rPr>
            </w:pPr>
          </w:p>
        </w:tc>
        <w:tc>
          <w:tcPr>
            <w:tcW w:w="623" w:type="dxa"/>
            <w:tcBorders>
              <w:top w:val="nil"/>
              <w:left w:val="nil"/>
              <w:bottom w:val="single" w:sz="4" w:space="0" w:color="auto"/>
              <w:right w:val="nil"/>
            </w:tcBorders>
            <w:vAlign w:val="bottom"/>
          </w:tcPr>
          <w:p w14:paraId="61CDF3A7" w14:textId="77777777" w:rsidR="00722E5C" w:rsidRDefault="00722E5C" w:rsidP="00722E5C">
            <w:pPr>
              <w:widowControl w:val="0"/>
              <w:autoSpaceDE w:val="0"/>
              <w:autoSpaceDN w:val="0"/>
              <w:adjustRightInd w:val="0"/>
              <w:jc w:val="center"/>
              <w:rPr>
                <w:sz w:val="20"/>
                <w:szCs w:val="20"/>
              </w:rPr>
            </w:pPr>
          </w:p>
        </w:tc>
        <w:tc>
          <w:tcPr>
            <w:tcW w:w="623" w:type="dxa"/>
            <w:tcBorders>
              <w:top w:val="nil"/>
              <w:left w:val="nil"/>
              <w:bottom w:val="single" w:sz="4" w:space="0" w:color="auto"/>
              <w:right w:val="nil"/>
            </w:tcBorders>
            <w:vAlign w:val="bottom"/>
          </w:tcPr>
          <w:p w14:paraId="350930CD" w14:textId="77777777" w:rsidR="00722E5C" w:rsidRDefault="00722E5C" w:rsidP="00722E5C">
            <w:pPr>
              <w:widowControl w:val="0"/>
              <w:autoSpaceDE w:val="0"/>
              <w:autoSpaceDN w:val="0"/>
              <w:adjustRightInd w:val="0"/>
              <w:jc w:val="center"/>
              <w:rPr>
                <w:sz w:val="20"/>
                <w:szCs w:val="20"/>
              </w:rPr>
            </w:pPr>
          </w:p>
        </w:tc>
        <w:tc>
          <w:tcPr>
            <w:tcW w:w="624" w:type="dxa"/>
            <w:tcBorders>
              <w:top w:val="nil"/>
              <w:left w:val="nil"/>
              <w:bottom w:val="single" w:sz="4" w:space="0" w:color="auto"/>
              <w:right w:val="nil"/>
            </w:tcBorders>
            <w:vAlign w:val="bottom"/>
          </w:tcPr>
          <w:p w14:paraId="3CA1E7DD" w14:textId="77777777" w:rsidR="00722E5C" w:rsidRDefault="00722E5C" w:rsidP="00722E5C">
            <w:pPr>
              <w:widowControl w:val="0"/>
              <w:autoSpaceDE w:val="0"/>
              <w:autoSpaceDN w:val="0"/>
              <w:adjustRightInd w:val="0"/>
              <w:jc w:val="center"/>
              <w:rPr>
                <w:sz w:val="20"/>
                <w:szCs w:val="20"/>
              </w:rPr>
            </w:pPr>
          </w:p>
        </w:tc>
        <w:tc>
          <w:tcPr>
            <w:tcW w:w="623" w:type="dxa"/>
            <w:tcBorders>
              <w:top w:val="nil"/>
              <w:left w:val="nil"/>
              <w:bottom w:val="single" w:sz="4" w:space="0" w:color="auto"/>
              <w:right w:val="nil"/>
            </w:tcBorders>
            <w:vAlign w:val="bottom"/>
          </w:tcPr>
          <w:p w14:paraId="2A48D663" w14:textId="77777777" w:rsidR="00722E5C" w:rsidRDefault="00722E5C" w:rsidP="00722E5C">
            <w:pPr>
              <w:widowControl w:val="0"/>
              <w:autoSpaceDE w:val="0"/>
              <w:autoSpaceDN w:val="0"/>
              <w:adjustRightInd w:val="0"/>
              <w:jc w:val="center"/>
              <w:rPr>
                <w:sz w:val="20"/>
                <w:szCs w:val="20"/>
              </w:rPr>
            </w:pPr>
          </w:p>
        </w:tc>
        <w:tc>
          <w:tcPr>
            <w:tcW w:w="624" w:type="dxa"/>
            <w:tcBorders>
              <w:top w:val="nil"/>
              <w:left w:val="nil"/>
              <w:bottom w:val="single" w:sz="4" w:space="0" w:color="auto"/>
              <w:right w:val="nil"/>
            </w:tcBorders>
            <w:vAlign w:val="bottom"/>
          </w:tcPr>
          <w:p w14:paraId="47556A48" w14:textId="77777777" w:rsidR="00722E5C" w:rsidRDefault="00722E5C" w:rsidP="00722E5C">
            <w:pPr>
              <w:widowControl w:val="0"/>
              <w:autoSpaceDE w:val="0"/>
              <w:autoSpaceDN w:val="0"/>
              <w:adjustRightInd w:val="0"/>
              <w:jc w:val="center"/>
              <w:rPr>
                <w:sz w:val="20"/>
                <w:szCs w:val="20"/>
              </w:rPr>
            </w:pPr>
          </w:p>
        </w:tc>
      </w:tr>
      <w:tr w:rsidR="00920CC7" w14:paraId="5BBE26CF" w14:textId="77777777" w:rsidTr="00AD5986">
        <w:trPr>
          <w:jc w:val="center"/>
        </w:trPr>
        <w:tc>
          <w:tcPr>
            <w:tcW w:w="2182" w:type="dxa"/>
            <w:tcBorders>
              <w:top w:val="single" w:sz="4" w:space="0" w:color="auto"/>
              <w:left w:val="nil"/>
              <w:bottom w:val="nil"/>
              <w:right w:val="nil"/>
            </w:tcBorders>
            <w:shd w:val="clear" w:color="auto" w:fill="FFFFFF" w:themeFill="background1"/>
            <w:vAlign w:val="bottom"/>
          </w:tcPr>
          <w:p w14:paraId="1DBD68C2" w14:textId="77777777" w:rsidR="00722E5C" w:rsidRDefault="00722E5C" w:rsidP="00722E5C">
            <w:pPr>
              <w:widowControl w:val="0"/>
              <w:autoSpaceDE w:val="0"/>
              <w:autoSpaceDN w:val="0"/>
              <w:adjustRightInd w:val="0"/>
              <w:ind w:left="57"/>
              <w:rPr>
                <w:sz w:val="20"/>
                <w:szCs w:val="20"/>
              </w:rPr>
            </w:pPr>
          </w:p>
        </w:tc>
        <w:tc>
          <w:tcPr>
            <w:tcW w:w="623" w:type="dxa"/>
            <w:tcBorders>
              <w:top w:val="single" w:sz="4" w:space="0" w:color="auto"/>
              <w:left w:val="nil"/>
              <w:bottom w:val="nil"/>
              <w:right w:val="nil"/>
            </w:tcBorders>
            <w:shd w:val="clear" w:color="auto" w:fill="FFFFFF" w:themeFill="background1"/>
            <w:vAlign w:val="bottom"/>
          </w:tcPr>
          <w:p w14:paraId="06689719" w14:textId="77777777" w:rsidR="00722E5C" w:rsidRDefault="00722E5C" w:rsidP="00722E5C">
            <w:pPr>
              <w:widowControl w:val="0"/>
              <w:autoSpaceDE w:val="0"/>
              <w:autoSpaceDN w:val="0"/>
              <w:adjustRightInd w:val="0"/>
              <w:jc w:val="center"/>
              <w:rPr>
                <w:sz w:val="20"/>
                <w:szCs w:val="20"/>
              </w:rPr>
            </w:pPr>
          </w:p>
        </w:tc>
        <w:tc>
          <w:tcPr>
            <w:tcW w:w="623" w:type="dxa"/>
            <w:tcBorders>
              <w:top w:val="single" w:sz="4" w:space="0" w:color="auto"/>
              <w:left w:val="nil"/>
              <w:bottom w:val="nil"/>
              <w:right w:val="nil"/>
            </w:tcBorders>
            <w:shd w:val="clear" w:color="auto" w:fill="FFFFFF" w:themeFill="background1"/>
            <w:vAlign w:val="bottom"/>
          </w:tcPr>
          <w:p w14:paraId="75794B88" w14:textId="77777777" w:rsidR="00722E5C" w:rsidRDefault="00722E5C" w:rsidP="00722E5C">
            <w:pPr>
              <w:widowControl w:val="0"/>
              <w:autoSpaceDE w:val="0"/>
              <w:autoSpaceDN w:val="0"/>
              <w:adjustRightInd w:val="0"/>
              <w:jc w:val="center"/>
              <w:rPr>
                <w:sz w:val="20"/>
                <w:szCs w:val="20"/>
              </w:rPr>
            </w:pPr>
          </w:p>
        </w:tc>
        <w:tc>
          <w:tcPr>
            <w:tcW w:w="681" w:type="dxa"/>
            <w:tcBorders>
              <w:top w:val="single" w:sz="4" w:space="0" w:color="auto"/>
              <w:left w:val="nil"/>
              <w:bottom w:val="nil"/>
              <w:right w:val="nil"/>
            </w:tcBorders>
            <w:shd w:val="clear" w:color="auto" w:fill="FFFFFF" w:themeFill="background1"/>
            <w:vAlign w:val="bottom"/>
          </w:tcPr>
          <w:p w14:paraId="49539C1D" w14:textId="77777777" w:rsidR="00722E5C" w:rsidRDefault="00722E5C" w:rsidP="00722E5C">
            <w:pPr>
              <w:widowControl w:val="0"/>
              <w:autoSpaceDE w:val="0"/>
              <w:autoSpaceDN w:val="0"/>
              <w:adjustRightInd w:val="0"/>
              <w:jc w:val="center"/>
              <w:rPr>
                <w:sz w:val="20"/>
                <w:szCs w:val="20"/>
              </w:rPr>
            </w:pPr>
          </w:p>
        </w:tc>
        <w:tc>
          <w:tcPr>
            <w:tcW w:w="566" w:type="dxa"/>
            <w:tcBorders>
              <w:top w:val="single" w:sz="4" w:space="0" w:color="auto"/>
              <w:left w:val="nil"/>
              <w:bottom w:val="nil"/>
              <w:right w:val="nil"/>
            </w:tcBorders>
            <w:shd w:val="clear" w:color="auto" w:fill="FFFFFF" w:themeFill="background1"/>
            <w:vAlign w:val="bottom"/>
          </w:tcPr>
          <w:p w14:paraId="2798DA2E" w14:textId="77777777" w:rsidR="00722E5C" w:rsidRDefault="00722E5C" w:rsidP="00722E5C">
            <w:pPr>
              <w:widowControl w:val="0"/>
              <w:autoSpaceDE w:val="0"/>
              <w:autoSpaceDN w:val="0"/>
              <w:adjustRightInd w:val="0"/>
              <w:jc w:val="center"/>
              <w:rPr>
                <w:sz w:val="20"/>
                <w:szCs w:val="20"/>
              </w:rPr>
            </w:pPr>
          </w:p>
        </w:tc>
        <w:tc>
          <w:tcPr>
            <w:tcW w:w="623" w:type="dxa"/>
            <w:tcBorders>
              <w:top w:val="single" w:sz="4" w:space="0" w:color="auto"/>
              <w:left w:val="nil"/>
              <w:bottom w:val="nil"/>
              <w:right w:val="nil"/>
            </w:tcBorders>
            <w:shd w:val="clear" w:color="auto" w:fill="FFFFFF" w:themeFill="background1"/>
            <w:vAlign w:val="bottom"/>
          </w:tcPr>
          <w:p w14:paraId="2DF6E1CA" w14:textId="77777777" w:rsidR="00722E5C" w:rsidRDefault="00722E5C" w:rsidP="00722E5C">
            <w:pPr>
              <w:widowControl w:val="0"/>
              <w:autoSpaceDE w:val="0"/>
              <w:autoSpaceDN w:val="0"/>
              <w:adjustRightInd w:val="0"/>
              <w:jc w:val="center"/>
              <w:rPr>
                <w:sz w:val="20"/>
                <w:szCs w:val="20"/>
              </w:rPr>
            </w:pPr>
          </w:p>
        </w:tc>
        <w:tc>
          <w:tcPr>
            <w:tcW w:w="624" w:type="dxa"/>
            <w:gridSpan w:val="2"/>
            <w:tcBorders>
              <w:top w:val="single" w:sz="4" w:space="0" w:color="auto"/>
              <w:left w:val="nil"/>
              <w:bottom w:val="nil"/>
              <w:right w:val="nil"/>
            </w:tcBorders>
            <w:shd w:val="clear" w:color="auto" w:fill="FFFFFF" w:themeFill="background1"/>
            <w:vAlign w:val="bottom"/>
          </w:tcPr>
          <w:p w14:paraId="7340DC5E" w14:textId="77777777" w:rsidR="00722E5C" w:rsidRDefault="00722E5C" w:rsidP="00722E5C">
            <w:pPr>
              <w:widowControl w:val="0"/>
              <w:autoSpaceDE w:val="0"/>
              <w:autoSpaceDN w:val="0"/>
              <w:adjustRightInd w:val="0"/>
              <w:jc w:val="center"/>
              <w:rPr>
                <w:sz w:val="20"/>
                <w:szCs w:val="20"/>
              </w:rPr>
            </w:pPr>
          </w:p>
        </w:tc>
        <w:tc>
          <w:tcPr>
            <w:tcW w:w="623" w:type="dxa"/>
            <w:tcBorders>
              <w:top w:val="single" w:sz="4" w:space="0" w:color="auto"/>
              <w:left w:val="nil"/>
              <w:bottom w:val="nil"/>
              <w:right w:val="nil"/>
            </w:tcBorders>
            <w:shd w:val="clear" w:color="auto" w:fill="FFFFFF" w:themeFill="background1"/>
            <w:vAlign w:val="bottom"/>
          </w:tcPr>
          <w:p w14:paraId="1A53081F" w14:textId="77777777" w:rsidR="00722E5C" w:rsidRDefault="00722E5C" w:rsidP="00722E5C">
            <w:pPr>
              <w:widowControl w:val="0"/>
              <w:autoSpaceDE w:val="0"/>
              <w:autoSpaceDN w:val="0"/>
              <w:adjustRightInd w:val="0"/>
              <w:jc w:val="center"/>
              <w:rPr>
                <w:sz w:val="20"/>
                <w:szCs w:val="20"/>
              </w:rPr>
            </w:pPr>
          </w:p>
        </w:tc>
        <w:tc>
          <w:tcPr>
            <w:tcW w:w="624" w:type="dxa"/>
            <w:tcBorders>
              <w:top w:val="single" w:sz="4" w:space="0" w:color="auto"/>
              <w:left w:val="nil"/>
              <w:bottom w:val="nil"/>
              <w:right w:val="nil"/>
            </w:tcBorders>
            <w:shd w:val="clear" w:color="auto" w:fill="FFFFFF" w:themeFill="background1"/>
            <w:vAlign w:val="bottom"/>
          </w:tcPr>
          <w:p w14:paraId="7E6B5E68" w14:textId="77777777" w:rsidR="00722E5C" w:rsidRDefault="00722E5C" w:rsidP="00722E5C">
            <w:pPr>
              <w:widowControl w:val="0"/>
              <w:autoSpaceDE w:val="0"/>
              <w:autoSpaceDN w:val="0"/>
              <w:adjustRightInd w:val="0"/>
              <w:jc w:val="center"/>
              <w:rPr>
                <w:sz w:val="20"/>
                <w:szCs w:val="20"/>
              </w:rPr>
            </w:pPr>
          </w:p>
        </w:tc>
        <w:tc>
          <w:tcPr>
            <w:tcW w:w="623" w:type="dxa"/>
            <w:tcBorders>
              <w:top w:val="single" w:sz="4" w:space="0" w:color="auto"/>
              <w:left w:val="nil"/>
              <w:bottom w:val="nil"/>
              <w:right w:val="nil"/>
            </w:tcBorders>
            <w:shd w:val="clear" w:color="auto" w:fill="FFFFFF" w:themeFill="background1"/>
            <w:vAlign w:val="bottom"/>
          </w:tcPr>
          <w:p w14:paraId="7811B11E" w14:textId="77777777" w:rsidR="00722E5C" w:rsidRDefault="00722E5C" w:rsidP="00722E5C">
            <w:pPr>
              <w:widowControl w:val="0"/>
              <w:autoSpaceDE w:val="0"/>
              <w:autoSpaceDN w:val="0"/>
              <w:adjustRightInd w:val="0"/>
              <w:jc w:val="center"/>
              <w:rPr>
                <w:sz w:val="20"/>
                <w:szCs w:val="20"/>
              </w:rPr>
            </w:pPr>
          </w:p>
        </w:tc>
        <w:tc>
          <w:tcPr>
            <w:tcW w:w="623" w:type="dxa"/>
            <w:tcBorders>
              <w:top w:val="single" w:sz="4" w:space="0" w:color="auto"/>
              <w:left w:val="nil"/>
              <w:bottom w:val="nil"/>
              <w:right w:val="nil"/>
            </w:tcBorders>
            <w:shd w:val="clear" w:color="auto" w:fill="FFFFFF" w:themeFill="background1"/>
            <w:vAlign w:val="bottom"/>
          </w:tcPr>
          <w:p w14:paraId="59C4B71F" w14:textId="77777777" w:rsidR="00722E5C" w:rsidRDefault="00722E5C" w:rsidP="00722E5C">
            <w:pPr>
              <w:widowControl w:val="0"/>
              <w:autoSpaceDE w:val="0"/>
              <w:autoSpaceDN w:val="0"/>
              <w:adjustRightInd w:val="0"/>
              <w:jc w:val="center"/>
              <w:rPr>
                <w:sz w:val="20"/>
                <w:szCs w:val="20"/>
              </w:rPr>
            </w:pPr>
          </w:p>
        </w:tc>
        <w:tc>
          <w:tcPr>
            <w:tcW w:w="624" w:type="dxa"/>
            <w:tcBorders>
              <w:top w:val="single" w:sz="4" w:space="0" w:color="auto"/>
              <w:left w:val="nil"/>
              <w:bottom w:val="nil"/>
              <w:right w:val="nil"/>
            </w:tcBorders>
            <w:shd w:val="clear" w:color="auto" w:fill="FFFFFF" w:themeFill="background1"/>
            <w:vAlign w:val="bottom"/>
          </w:tcPr>
          <w:p w14:paraId="6AB1F767" w14:textId="77777777" w:rsidR="00722E5C" w:rsidRDefault="00722E5C" w:rsidP="00722E5C">
            <w:pPr>
              <w:widowControl w:val="0"/>
              <w:autoSpaceDE w:val="0"/>
              <w:autoSpaceDN w:val="0"/>
              <w:adjustRightInd w:val="0"/>
              <w:jc w:val="center"/>
              <w:rPr>
                <w:sz w:val="20"/>
                <w:szCs w:val="20"/>
              </w:rPr>
            </w:pPr>
          </w:p>
        </w:tc>
        <w:tc>
          <w:tcPr>
            <w:tcW w:w="623" w:type="dxa"/>
            <w:tcBorders>
              <w:top w:val="single" w:sz="4" w:space="0" w:color="auto"/>
              <w:left w:val="nil"/>
              <w:bottom w:val="nil"/>
              <w:right w:val="nil"/>
            </w:tcBorders>
            <w:shd w:val="clear" w:color="auto" w:fill="FFFFFF" w:themeFill="background1"/>
            <w:vAlign w:val="bottom"/>
          </w:tcPr>
          <w:p w14:paraId="486D0DC6" w14:textId="77777777" w:rsidR="00722E5C" w:rsidRDefault="00722E5C" w:rsidP="00722E5C">
            <w:pPr>
              <w:widowControl w:val="0"/>
              <w:autoSpaceDE w:val="0"/>
              <w:autoSpaceDN w:val="0"/>
              <w:adjustRightInd w:val="0"/>
              <w:jc w:val="center"/>
              <w:rPr>
                <w:sz w:val="20"/>
                <w:szCs w:val="20"/>
              </w:rPr>
            </w:pPr>
          </w:p>
        </w:tc>
        <w:tc>
          <w:tcPr>
            <w:tcW w:w="624" w:type="dxa"/>
            <w:tcBorders>
              <w:top w:val="single" w:sz="4" w:space="0" w:color="auto"/>
              <w:left w:val="nil"/>
              <w:bottom w:val="nil"/>
              <w:right w:val="nil"/>
            </w:tcBorders>
            <w:shd w:val="clear" w:color="auto" w:fill="FFFFFF" w:themeFill="background1"/>
            <w:vAlign w:val="bottom"/>
          </w:tcPr>
          <w:p w14:paraId="1AB6393A" w14:textId="77777777" w:rsidR="00722E5C" w:rsidRDefault="00722E5C" w:rsidP="00722E5C">
            <w:pPr>
              <w:widowControl w:val="0"/>
              <w:autoSpaceDE w:val="0"/>
              <w:autoSpaceDN w:val="0"/>
              <w:adjustRightInd w:val="0"/>
              <w:jc w:val="center"/>
              <w:rPr>
                <w:sz w:val="20"/>
                <w:szCs w:val="20"/>
              </w:rPr>
            </w:pPr>
          </w:p>
        </w:tc>
      </w:tr>
      <w:tr w:rsidR="00B67B8B" w14:paraId="0555F217" w14:textId="77777777" w:rsidTr="00AD5986">
        <w:trPr>
          <w:jc w:val="center"/>
        </w:trPr>
        <w:tc>
          <w:tcPr>
            <w:tcW w:w="2182" w:type="dxa"/>
            <w:tcBorders>
              <w:top w:val="nil"/>
              <w:left w:val="nil"/>
              <w:bottom w:val="nil"/>
              <w:right w:val="nil"/>
            </w:tcBorders>
            <w:vAlign w:val="bottom"/>
          </w:tcPr>
          <w:p w14:paraId="28E3AAA4" w14:textId="77777777" w:rsidR="00722E5C" w:rsidRDefault="00722E5C" w:rsidP="00722E5C">
            <w:pPr>
              <w:widowControl w:val="0"/>
              <w:autoSpaceDE w:val="0"/>
              <w:autoSpaceDN w:val="0"/>
              <w:adjustRightInd w:val="0"/>
              <w:ind w:left="57"/>
              <w:rPr>
                <w:rFonts w:ascii="Helvetica" w:hAnsi="Helvetica" w:cs="Helvetica"/>
                <w:kern w:val="1"/>
              </w:rPr>
            </w:pPr>
            <w:r>
              <w:rPr>
                <w:sz w:val="20"/>
                <w:szCs w:val="20"/>
              </w:rPr>
              <w:t>Wrigleys</w:t>
            </w:r>
          </w:p>
        </w:tc>
        <w:tc>
          <w:tcPr>
            <w:tcW w:w="623" w:type="dxa"/>
            <w:tcBorders>
              <w:top w:val="nil"/>
              <w:left w:val="nil"/>
              <w:right w:val="nil"/>
            </w:tcBorders>
            <w:shd w:val="clear" w:color="auto" w:fill="D9D9D9" w:themeFill="background1" w:themeFillShade="D9"/>
            <w:vAlign w:val="bottom"/>
          </w:tcPr>
          <w:p w14:paraId="41162E71"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w:t>
            </w:r>
          </w:p>
        </w:tc>
        <w:tc>
          <w:tcPr>
            <w:tcW w:w="623" w:type="dxa"/>
            <w:tcBorders>
              <w:top w:val="nil"/>
              <w:left w:val="nil"/>
              <w:right w:val="nil"/>
            </w:tcBorders>
            <w:shd w:val="clear" w:color="auto" w:fill="D9D9D9" w:themeFill="background1" w:themeFillShade="D9"/>
            <w:vAlign w:val="bottom"/>
          </w:tcPr>
          <w:p w14:paraId="0B008F3A"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25</w:t>
            </w:r>
          </w:p>
        </w:tc>
        <w:tc>
          <w:tcPr>
            <w:tcW w:w="681" w:type="dxa"/>
            <w:tcBorders>
              <w:top w:val="nil"/>
              <w:left w:val="nil"/>
              <w:right w:val="nil"/>
            </w:tcBorders>
            <w:shd w:val="clear" w:color="auto" w:fill="D9D9D9" w:themeFill="background1" w:themeFillShade="D9"/>
            <w:vAlign w:val="bottom"/>
          </w:tcPr>
          <w:p w14:paraId="2F83664F"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9</w:t>
            </w:r>
          </w:p>
        </w:tc>
        <w:tc>
          <w:tcPr>
            <w:tcW w:w="566" w:type="dxa"/>
            <w:tcBorders>
              <w:top w:val="nil"/>
              <w:left w:val="nil"/>
              <w:right w:val="nil"/>
            </w:tcBorders>
            <w:vAlign w:val="bottom"/>
          </w:tcPr>
          <w:p w14:paraId="5EF8AE0D" w14:textId="77777777" w:rsidR="00722E5C" w:rsidRDefault="00722E5C" w:rsidP="00722E5C">
            <w:pPr>
              <w:widowControl w:val="0"/>
              <w:autoSpaceDE w:val="0"/>
              <w:autoSpaceDN w:val="0"/>
              <w:adjustRightInd w:val="0"/>
              <w:jc w:val="center"/>
              <w:rPr>
                <w:sz w:val="20"/>
                <w:szCs w:val="20"/>
              </w:rPr>
            </w:pPr>
            <w:r>
              <w:rPr>
                <w:sz w:val="20"/>
                <w:szCs w:val="20"/>
              </w:rPr>
              <w:t>29</w:t>
            </w:r>
          </w:p>
        </w:tc>
        <w:tc>
          <w:tcPr>
            <w:tcW w:w="623" w:type="dxa"/>
            <w:tcBorders>
              <w:top w:val="nil"/>
              <w:left w:val="nil"/>
              <w:right w:val="nil"/>
            </w:tcBorders>
            <w:shd w:val="clear" w:color="auto" w:fill="auto"/>
            <w:vAlign w:val="bottom"/>
          </w:tcPr>
          <w:p w14:paraId="053A2243"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36</w:t>
            </w:r>
          </w:p>
        </w:tc>
        <w:tc>
          <w:tcPr>
            <w:tcW w:w="624" w:type="dxa"/>
            <w:gridSpan w:val="2"/>
            <w:tcBorders>
              <w:top w:val="nil"/>
              <w:left w:val="nil"/>
              <w:right w:val="nil"/>
            </w:tcBorders>
            <w:shd w:val="clear" w:color="auto" w:fill="auto"/>
            <w:vAlign w:val="bottom"/>
          </w:tcPr>
          <w:p w14:paraId="22410948"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18</w:t>
            </w:r>
          </w:p>
        </w:tc>
        <w:tc>
          <w:tcPr>
            <w:tcW w:w="623" w:type="dxa"/>
            <w:tcBorders>
              <w:top w:val="nil"/>
              <w:left w:val="nil"/>
              <w:right w:val="nil"/>
            </w:tcBorders>
            <w:shd w:val="clear" w:color="auto" w:fill="auto"/>
            <w:vAlign w:val="bottom"/>
          </w:tcPr>
          <w:p w14:paraId="340DD7B0"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11</w:t>
            </w:r>
          </w:p>
        </w:tc>
        <w:tc>
          <w:tcPr>
            <w:tcW w:w="624" w:type="dxa"/>
            <w:tcBorders>
              <w:top w:val="nil"/>
              <w:left w:val="nil"/>
              <w:right w:val="nil"/>
            </w:tcBorders>
            <w:shd w:val="clear" w:color="auto" w:fill="auto"/>
            <w:vAlign w:val="bottom"/>
          </w:tcPr>
          <w:p w14:paraId="12184E30"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6</w:t>
            </w:r>
          </w:p>
        </w:tc>
        <w:tc>
          <w:tcPr>
            <w:tcW w:w="623" w:type="dxa"/>
            <w:tcBorders>
              <w:top w:val="nil"/>
              <w:left w:val="nil"/>
              <w:right w:val="nil"/>
            </w:tcBorders>
            <w:shd w:val="clear" w:color="auto" w:fill="auto"/>
            <w:vAlign w:val="bottom"/>
          </w:tcPr>
          <w:p w14:paraId="497C3358"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6</w:t>
            </w:r>
          </w:p>
        </w:tc>
        <w:tc>
          <w:tcPr>
            <w:tcW w:w="623" w:type="dxa"/>
            <w:tcBorders>
              <w:top w:val="nil"/>
              <w:left w:val="nil"/>
              <w:right w:val="nil"/>
            </w:tcBorders>
            <w:shd w:val="clear" w:color="auto" w:fill="auto"/>
            <w:vAlign w:val="bottom"/>
          </w:tcPr>
          <w:p w14:paraId="3CCAA1BE"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12</w:t>
            </w:r>
          </w:p>
        </w:tc>
        <w:tc>
          <w:tcPr>
            <w:tcW w:w="624" w:type="dxa"/>
            <w:tcBorders>
              <w:top w:val="nil"/>
              <w:left w:val="nil"/>
              <w:right w:val="nil"/>
            </w:tcBorders>
            <w:shd w:val="clear" w:color="auto" w:fill="auto"/>
            <w:vAlign w:val="bottom"/>
          </w:tcPr>
          <w:p w14:paraId="44ABC9A5"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11</w:t>
            </w:r>
          </w:p>
        </w:tc>
        <w:tc>
          <w:tcPr>
            <w:tcW w:w="623" w:type="dxa"/>
            <w:tcBorders>
              <w:top w:val="nil"/>
              <w:left w:val="nil"/>
              <w:right w:val="nil"/>
            </w:tcBorders>
            <w:shd w:val="clear" w:color="auto" w:fill="auto"/>
            <w:vAlign w:val="bottom"/>
          </w:tcPr>
          <w:p w14:paraId="0D638DB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10</w:t>
            </w:r>
          </w:p>
        </w:tc>
        <w:tc>
          <w:tcPr>
            <w:tcW w:w="624" w:type="dxa"/>
            <w:tcBorders>
              <w:top w:val="nil"/>
              <w:left w:val="nil"/>
              <w:right w:val="nil"/>
            </w:tcBorders>
            <w:shd w:val="clear" w:color="auto" w:fill="auto"/>
            <w:vAlign w:val="bottom"/>
          </w:tcPr>
          <w:p w14:paraId="3F3F9578"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13</w:t>
            </w:r>
          </w:p>
        </w:tc>
      </w:tr>
      <w:tr w:rsidR="00B67B8B" w14:paraId="2702147A" w14:textId="77777777" w:rsidTr="00AD5986">
        <w:trPr>
          <w:jc w:val="center"/>
        </w:trPr>
        <w:tc>
          <w:tcPr>
            <w:tcW w:w="2182" w:type="dxa"/>
            <w:tcBorders>
              <w:top w:val="nil"/>
              <w:left w:val="nil"/>
              <w:bottom w:val="nil"/>
              <w:right w:val="nil"/>
            </w:tcBorders>
            <w:vAlign w:val="bottom"/>
          </w:tcPr>
          <w:p w14:paraId="4D35197F" w14:textId="77777777" w:rsidR="00722E5C" w:rsidRDefault="00722E5C" w:rsidP="00722E5C">
            <w:pPr>
              <w:widowControl w:val="0"/>
              <w:autoSpaceDE w:val="0"/>
              <w:autoSpaceDN w:val="0"/>
              <w:adjustRightInd w:val="0"/>
              <w:ind w:left="57"/>
              <w:rPr>
                <w:rFonts w:ascii="Helvetica" w:hAnsi="Helvetica" w:cs="Helvetica"/>
                <w:kern w:val="1"/>
              </w:rPr>
            </w:pPr>
            <w:r>
              <w:rPr>
                <w:sz w:val="20"/>
                <w:szCs w:val="20"/>
              </w:rPr>
              <w:t>Orbit</w:t>
            </w:r>
          </w:p>
        </w:tc>
        <w:tc>
          <w:tcPr>
            <w:tcW w:w="623" w:type="dxa"/>
            <w:tcBorders>
              <w:left w:val="nil"/>
              <w:right w:val="nil"/>
            </w:tcBorders>
            <w:shd w:val="clear" w:color="auto" w:fill="D9D9D9" w:themeFill="background1" w:themeFillShade="D9"/>
            <w:vAlign w:val="bottom"/>
          </w:tcPr>
          <w:p w14:paraId="091FFF5F"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73</w:t>
            </w:r>
          </w:p>
        </w:tc>
        <w:tc>
          <w:tcPr>
            <w:tcW w:w="623" w:type="dxa"/>
            <w:tcBorders>
              <w:left w:val="nil"/>
              <w:right w:val="nil"/>
            </w:tcBorders>
            <w:shd w:val="clear" w:color="auto" w:fill="D9D9D9" w:themeFill="background1" w:themeFillShade="D9"/>
            <w:vAlign w:val="bottom"/>
          </w:tcPr>
          <w:p w14:paraId="2B94980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w:t>
            </w:r>
          </w:p>
        </w:tc>
        <w:tc>
          <w:tcPr>
            <w:tcW w:w="681" w:type="dxa"/>
            <w:tcBorders>
              <w:left w:val="nil"/>
              <w:right w:val="nil"/>
            </w:tcBorders>
            <w:shd w:val="clear" w:color="auto" w:fill="D9D9D9" w:themeFill="background1" w:themeFillShade="D9"/>
            <w:vAlign w:val="bottom"/>
          </w:tcPr>
          <w:p w14:paraId="7E985CEA"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15</w:t>
            </w:r>
          </w:p>
        </w:tc>
        <w:tc>
          <w:tcPr>
            <w:tcW w:w="566" w:type="dxa"/>
            <w:tcBorders>
              <w:left w:val="nil"/>
              <w:right w:val="nil"/>
            </w:tcBorders>
            <w:vAlign w:val="bottom"/>
          </w:tcPr>
          <w:p w14:paraId="36317532" w14:textId="77777777" w:rsidR="00722E5C" w:rsidRDefault="00722E5C" w:rsidP="00722E5C">
            <w:pPr>
              <w:widowControl w:val="0"/>
              <w:autoSpaceDE w:val="0"/>
              <w:autoSpaceDN w:val="0"/>
              <w:adjustRightInd w:val="0"/>
              <w:jc w:val="center"/>
              <w:rPr>
                <w:sz w:val="20"/>
                <w:szCs w:val="20"/>
              </w:rPr>
            </w:pPr>
            <w:r>
              <w:rPr>
                <w:sz w:val="20"/>
                <w:szCs w:val="20"/>
              </w:rPr>
              <w:t>31</w:t>
            </w:r>
          </w:p>
        </w:tc>
        <w:tc>
          <w:tcPr>
            <w:tcW w:w="623" w:type="dxa"/>
            <w:tcBorders>
              <w:left w:val="nil"/>
              <w:right w:val="nil"/>
            </w:tcBorders>
            <w:shd w:val="clear" w:color="auto" w:fill="auto"/>
            <w:vAlign w:val="bottom"/>
          </w:tcPr>
          <w:p w14:paraId="2269C021"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38</w:t>
            </w:r>
          </w:p>
        </w:tc>
        <w:tc>
          <w:tcPr>
            <w:tcW w:w="624" w:type="dxa"/>
            <w:gridSpan w:val="2"/>
            <w:tcBorders>
              <w:left w:val="nil"/>
              <w:right w:val="nil"/>
            </w:tcBorders>
            <w:shd w:val="clear" w:color="auto" w:fill="auto"/>
            <w:vAlign w:val="bottom"/>
          </w:tcPr>
          <w:p w14:paraId="4DFC77F9"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21</w:t>
            </w:r>
          </w:p>
        </w:tc>
        <w:tc>
          <w:tcPr>
            <w:tcW w:w="623" w:type="dxa"/>
            <w:tcBorders>
              <w:left w:val="nil"/>
              <w:right w:val="nil"/>
            </w:tcBorders>
            <w:shd w:val="clear" w:color="auto" w:fill="auto"/>
            <w:vAlign w:val="bottom"/>
          </w:tcPr>
          <w:p w14:paraId="699357F5"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10</w:t>
            </w:r>
          </w:p>
        </w:tc>
        <w:tc>
          <w:tcPr>
            <w:tcW w:w="624" w:type="dxa"/>
            <w:tcBorders>
              <w:left w:val="nil"/>
              <w:right w:val="nil"/>
            </w:tcBorders>
            <w:shd w:val="clear" w:color="auto" w:fill="auto"/>
            <w:vAlign w:val="bottom"/>
          </w:tcPr>
          <w:p w14:paraId="54A23D4D"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4</w:t>
            </w:r>
          </w:p>
        </w:tc>
        <w:tc>
          <w:tcPr>
            <w:tcW w:w="623" w:type="dxa"/>
            <w:tcBorders>
              <w:left w:val="nil"/>
              <w:right w:val="nil"/>
            </w:tcBorders>
            <w:shd w:val="clear" w:color="auto" w:fill="auto"/>
            <w:vAlign w:val="bottom"/>
          </w:tcPr>
          <w:p w14:paraId="6F169101"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8</w:t>
            </w:r>
          </w:p>
        </w:tc>
        <w:tc>
          <w:tcPr>
            <w:tcW w:w="623" w:type="dxa"/>
            <w:tcBorders>
              <w:left w:val="nil"/>
              <w:right w:val="nil"/>
            </w:tcBorders>
            <w:shd w:val="clear" w:color="auto" w:fill="auto"/>
            <w:vAlign w:val="bottom"/>
          </w:tcPr>
          <w:p w14:paraId="4FC5D1FE"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13</w:t>
            </w:r>
          </w:p>
        </w:tc>
        <w:tc>
          <w:tcPr>
            <w:tcW w:w="624" w:type="dxa"/>
            <w:tcBorders>
              <w:left w:val="nil"/>
              <w:right w:val="nil"/>
            </w:tcBorders>
            <w:shd w:val="clear" w:color="auto" w:fill="auto"/>
            <w:vAlign w:val="bottom"/>
          </w:tcPr>
          <w:p w14:paraId="7315D636"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9</w:t>
            </w:r>
          </w:p>
        </w:tc>
        <w:tc>
          <w:tcPr>
            <w:tcW w:w="623" w:type="dxa"/>
            <w:tcBorders>
              <w:left w:val="nil"/>
              <w:right w:val="nil"/>
            </w:tcBorders>
            <w:shd w:val="clear" w:color="auto" w:fill="auto"/>
            <w:vAlign w:val="bottom"/>
          </w:tcPr>
          <w:p w14:paraId="27C7C6C3"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9</w:t>
            </w:r>
          </w:p>
        </w:tc>
        <w:tc>
          <w:tcPr>
            <w:tcW w:w="624" w:type="dxa"/>
            <w:tcBorders>
              <w:left w:val="nil"/>
              <w:right w:val="nil"/>
            </w:tcBorders>
            <w:shd w:val="clear" w:color="auto" w:fill="auto"/>
            <w:vAlign w:val="bottom"/>
          </w:tcPr>
          <w:p w14:paraId="3620E51B"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14</w:t>
            </w:r>
          </w:p>
        </w:tc>
      </w:tr>
      <w:tr w:rsidR="00B67B8B" w14:paraId="6EE1CCE6" w14:textId="77777777" w:rsidTr="00AD5986">
        <w:trPr>
          <w:jc w:val="center"/>
        </w:trPr>
        <w:tc>
          <w:tcPr>
            <w:tcW w:w="2182" w:type="dxa"/>
            <w:tcBorders>
              <w:top w:val="nil"/>
              <w:left w:val="nil"/>
              <w:bottom w:val="nil"/>
              <w:right w:val="nil"/>
            </w:tcBorders>
            <w:vAlign w:val="bottom"/>
          </w:tcPr>
          <w:p w14:paraId="15D853BB" w14:textId="77777777" w:rsidR="00722E5C" w:rsidRDefault="00722E5C" w:rsidP="00722E5C">
            <w:pPr>
              <w:widowControl w:val="0"/>
              <w:autoSpaceDE w:val="0"/>
              <w:autoSpaceDN w:val="0"/>
              <w:adjustRightInd w:val="0"/>
              <w:ind w:left="57"/>
              <w:rPr>
                <w:rFonts w:ascii="Helvetica" w:hAnsi="Helvetica" w:cs="Helvetica"/>
                <w:kern w:val="1"/>
              </w:rPr>
            </w:pPr>
            <w:r>
              <w:rPr>
                <w:sz w:val="20"/>
                <w:szCs w:val="20"/>
              </w:rPr>
              <w:t>Hubba Bubba</w:t>
            </w:r>
          </w:p>
        </w:tc>
        <w:tc>
          <w:tcPr>
            <w:tcW w:w="623" w:type="dxa"/>
            <w:tcBorders>
              <w:left w:val="nil"/>
              <w:bottom w:val="nil"/>
              <w:right w:val="nil"/>
            </w:tcBorders>
            <w:shd w:val="clear" w:color="auto" w:fill="D9D9D9" w:themeFill="background1" w:themeFillShade="D9"/>
            <w:vAlign w:val="bottom"/>
          </w:tcPr>
          <w:p w14:paraId="2710E46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70</w:t>
            </w:r>
          </w:p>
        </w:tc>
        <w:tc>
          <w:tcPr>
            <w:tcW w:w="623" w:type="dxa"/>
            <w:tcBorders>
              <w:left w:val="nil"/>
              <w:bottom w:val="nil"/>
              <w:right w:val="nil"/>
            </w:tcBorders>
            <w:shd w:val="clear" w:color="auto" w:fill="D9D9D9" w:themeFill="background1" w:themeFillShade="D9"/>
            <w:vAlign w:val="bottom"/>
          </w:tcPr>
          <w:p w14:paraId="4E1646F6"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41</w:t>
            </w:r>
          </w:p>
        </w:tc>
        <w:tc>
          <w:tcPr>
            <w:tcW w:w="681" w:type="dxa"/>
            <w:tcBorders>
              <w:left w:val="nil"/>
              <w:bottom w:val="nil"/>
              <w:right w:val="nil"/>
            </w:tcBorders>
            <w:shd w:val="clear" w:color="auto" w:fill="D9D9D9" w:themeFill="background1" w:themeFillShade="D9"/>
            <w:vAlign w:val="bottom"/>
          </w:tcPr>
          <w:p w14:paraId="47AD3085"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w:t>
            </w:r>
          </w:p>
        </w:tc>
        <w:tc>
          <w:tcPr>
            <w:tcW w:w="566" w:type="dxa"/>
            <w:tcBorders>
              <w:left w:val="nil"/>
              <w:bottom w:val="nil"/>
              <w:right w:val="nil"/>
            </w:tcBorders>
            <w:vAlign w:val="bottom"/>
          </w:tcPr>
          <w:p w14:paraId="5A2B4065" w14:textId="77777777" w:rsidR="00722E5C" w:rsidRDefault="00722E5C" w:rsidP="00722E5C">
            <w:pPr>
              <w:widowControl w:val="0"/>
              <w:autoSpaceDE w:val="0"/>
              <w:autoSpaceDN w:val="0"/>
              <w:adjustRightInd w:val="0"/>
              <w:jc w:val="center"/>
              <w:rPr>
                <w:sz w:val="20"/>
                <w:szCs w:val="20"/>
              </w:rPr>
            </w:pPr>
            <w:r>
              <w:rPr>
                <w:sz w:val="20"/>
                <w:szCs w:val="20"/>
              </w:rPr>
              <w:t>43</w:t>
            </w:r>
          </w:p>
        </w:tc>
        <w:tc>
          <w:tcPr>
            <w:tcW w:w="623" w:type="dxa"/>
            <w:tcBorders>
              <w:left w:val="nil"/>
              <w:bottom w:val="nil"/>
              <w:right w:val="nil"/>
            </w:tcBorders>
            <w:shd w:val="clear" w:color="auto" w:fill="auto"/>
            <w:vAlign w:val="bottom"/>
          </w:tcPr>
          <w:p w14:paraId="485259FA"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53</w:t>
            </w:r>
          </w:p>
        </w:tc>
        <w:tc>
          <w:tcPr>
            <w:tcW w:w="624" w:type="dxa"/>
            <w:gridSpan w:val="2"/>
            <w:tcBorders>
              <w:left w:val="nil"/>
              <w:bottom w:val="nil"/>
              <w:right w:val="nil"/>
            </w:tcBorders>
            <w:shd w:val="clear" w:color="auto" w:fill="auto"/>
            <w:vAlign w:val="bottom"/>
          </w:tcPr>
          <w:p w14:paraId="1A52AC41"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20</w:t>
            </w:r>
          </w:p>
        </w:tc>
        <w:tc>
          <w:tcPr>
            <w:tcW w:w="623" w:type="dxa"/>
            <w:tcBorders>
              <w:left w:val="nil"/>
              <w:bottom w:val="nil"/>
              <w:right w:val="nil"/>
            </w:tcBorders>
            <w:shd w:val="clear" w:color="auto" w:fill="auto"/>
            <w:vAlign w:val="bottom"/>
          </w:tcPr>
          <w:p w14:paraId="70A70AAF"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18</w:t>
            </w:r>
          </w:p>
        </w:tc>
        <w:tc>
          <w:tcPr>
            <w:tcW w:w="624" w:type="dxa"/>
            <w:tcBorders>
              <w:left w:val="nil"/>
              <w:bottom w:val="nil"/>
              <w:right w:val="nil"/>
            </w:tcBorders>
            <w:shd w:val="clear" w:color="auto" w:fill="auto"/>
            <w:vAlign w:val="bottom"/>
          </w:tcPr>
          <w:p w14:paraId="5351C9F1"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7</w:t>
            </w:r>
          </w:p>
        </w:tc>
        <w:tc>
          <w:tcPr>
            <w:tcW w:w="623" w:type="dxa"/>
            <w:tcBorders>
              <w:left w:val="nil"/>
              <w:bottom w:val="nil"/>
              <w:right w:val="nil"/>
            </w:tcBorders>
            <w:shd w:val="clear" w:color="auto" w:fill="auto"/>
            <w:vAlign w:val="bottom"/>
          </w:tcPr>
          <w:p w14:paraId="03BD11D3"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6</w:t>
            </w:r>
          </w:p>
        </w:tc>
        <w:tc>
          <w:tcPr>
            <w:tcW w:w="623" w:type="dxa"/>
            <w:tcBorders>
              <w:left w:val="nil"/>
              <w:bottom w:val="nil"/>
              <w:right w:val="nil"/>
            </w:tcBorders>
            <w:shd w:val="clear" w:color="auto" w:fill="auto"/>
            <w:vAlign w:val="bottom"/>
          </w:tcPr>
          <w:p w14:paraId="07617504"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27</w:t>
            </w:r>
          </w:p>
        </w:tc>
        <w:tc>
          <w:tcPr>
            <w:tcW w:w="624" w:type="dxa"/>
            <w:tcBorders>
              <w:left w:val="nil"/>
              <w:bottom w:val="nil"/>
              <w:right w:val="nil"/>
            </w:tcBorders>
            <w:shd w:val="clear" w:color="auto" w:fill="auto"/>
            <w:vAlign w:val="bottom"/>
          </w:tcPr>
          <w:p w14:paraId="40D2D81F"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21</w:t>
            </w:r>
          </w:p>
        </w:tc>
        <w:tc>
          <w:tcPr>
            <w:tcW w:w="623" w:type="dxa"/>
            <w:tcBorders>
              <w:left w:val="nil"/>
              <w:bottom w:val="nil"/>
              <w:right w:val="nil"/>
            </w:tcBorders>
            <w:shd w:val="clear" w:color="auto" w:fill="auto"/>
            <w:vAlign w:val="bottom"/>
          </w:tcPr>
          <w:p w14:paraId="73B9E38B"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28</w:t>
            </w:r>
          </w:p>
        </w:tc>
        <w:tc>
          <w:tcPr>
            <w:tcW w:w="624" w:type="dxa"/>
            <w:tcBorders>
              <w:left w:val="nil"/>
              <w:bottom w:val="nil"/>
              <w:right w:val="nil"/>
            </w:tcBorders>
            <w:shd w:val="clear" w:color="auto" w:fill="auto"/>
            <w:vAlign w:val="bottom"/>
          </w:tcPr>
          <w:p w14:paraId="3D5B33DF"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29</w:t>
            </w:r>
          </w:p>
        </w:tc>
      </w:tr>
      <w:tr w:rsidR="00B67B8B" w14:paraId="32F236FF" w14:textId="77777777" w:rsidTr="00AD5986">
        <w:trPr>
          <w:jc w:val="center"/>
        </w:trPr>
        <w:tc>
          <w:tcPr>
            <w:tcW w:w="2182" w:type="dxa"/>
            <w:tcBorders>
              <w:top w:val="nil"/>
              <w:left w:val="nil"/>
              <w:bottom w:val="nil"/>
              <w:right w:val="nil"/>
            </w:tcBorders>
            <w:vAlign w:val="bottom"/>
          </w:tcPr>
          <w:p w14:paraId="677E7A0E" w14:textId="77777777" w:rsidR="00722E5C" w:rsidRDefault="00722E5C" w:rsidP="00722E5C">
            <w:pPr>
              <w:widowControl w:val="0"/>
              <w:autoSpaceDE w:val="0"/>
              <w:autoSpaceDN w:val="0"/>
              <w:adjustRightInd w:val="0"/>
              <w:ind w:left="57"/>
              <w:rPr>
                <w:rFonts w:ascii="Helvetica" w:hAnsi="Helvetica" w:cs="Helvetica"/>
                <w:kern w:val="1"/>
              </w:rPr>
            </w:pPr>
            <w:r>
              <w:rPr>
                <w:sz w:val="20"/>
                <w:szCs w:val="20"/>
              </w:rPr>
              <w:t>Rowntrees</w:t>
            </w:r>
          </w:p>
        </w:tc>
        <w:tc>
          <w:tcPr>
            <w:tcW w:w="623" w:type="dxa"/>
            <w:tcBorders>
              <w:top w:val="nil"/>
              <w:left w:val="nil"/>
              <w:right w:val="nil"/>
            </w:tcBorders>
            <w:shd w:val="clear" w:color="auto" w:fill="auto"/>
            <w:vAlign w:val="bottom"/>
          </w:tcPr>
          <w:p w14:paraId="7A1D5781"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46</w:t>
            </w:r>
          </w:p>
        </w:tc>
        <w:tc>
          <w:tcPr>
            <w:tcW w:w="623" w:type="dxa"/>
            <w:tcBorders>
              <w:top w:val="nil"/>
              <w:left w:val="nil"/>
              <w:right w:val="nil"/>
            </w:tcBorders>
            <w:shd w:val="clear" w:color="auto" w:fill="auto"/>
            <w:vAlign w:val="bottom"/>
          </w:tcPr>
          <w:p w14:paraId="52B2E9B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17</w:t>
            </w:r>
          </w:p>
        </w:tc>
        <w:tc>
          <w:tcPr>
            <w:tcW w:w="681" w:type="dxa"/>
            <w:tcBorders>
              <w:top w:val="nil"/>
              <w:left w:val="nil"/>
              <w:right w:val="nil"/>
            </w:tcBorders>
            <w:shd w:val="clear" w:color="auto" w:fill="auto"/>
            <w:vAlign w:val="bottom"/>
          </w:tcPr>
          <w:p w14:paraId="34BC38FE"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9</w:t>
            </w:r>
          </w:p>
        </w:tc>
        <w:tc>
          <w:tcPr>
            <w:tcW w:w="566" w:type="dxa"/>
            <w:tcBorders>
              <w:top w:val="nil"/>
              <w:left w:val="nil"/>
              <w:right w:val="nil"/>
            </w:tcBorders>
            <w:shd w:val="clear" w:color="auto" w:fill="auto"/>
            <w:vAlign w:val="bottom"/>
          </w:tcPr>
          <w:p w14:paraId="33E32E42" w14:textId="77777777" w:rsidR="00722E5C" w:rsidRPr="00F64638" w:rsidRDefault="00722E5C" w:rsidP="00722E5C">
            <w:pPr>
              <w:widowControl w:val="0"/>
              <w:autoSpaceDE w:val="0"/>
              <w:autoSpaceDN w:val="0"/>
              <w:adjustRightInd w:val="0"/>
              <w:jc w:val="center"/>
              <w:rPr>
                <w:sz w:val="20"/>
                <w:szCs w:val="20"/>
              </w:rPr>
            </w:pPr>
            <w:r>
              <w:rPr>
                <w:sz w:val="20"/>
                <w:szCs w:val="20"/>
              </w:rPr>
              <w:t>-</w:t>
            </w:r>
          </w:p>
        </w:tc>
        <w:tc>
          <w:tcPr>
            <w:tcW w:w="623" w:type="dxa"/>
            <w:tcBorders>
              <w:top w:val="nil"/>
              <w:left w:val="nil"/>
              <w:right w:val="nil"/>
            </w:tcBorders>
            <w:shd w:val="clear" w:color="auto" w:fill="auto"/>
            <w:vAlign w:val="bottom"/>
          </w:tcPr>
          <w:p w14:paraId="2D72667B" w14:textId="77777777" w:rsidR="00722E5C" w:rsidRPr="00F64638" w:rsidRDefault="00722E5C" w:rsidP="00722E5C">
            <w:pPr>
              <w:widowControl w:val="0"/>
              <w:autoSpaceDE w:val="0"/>
              <w:autoSpaceDN w:val="0"/>
              <w:adjustRightInd w:val="0"/>
              <w:jc w:val="center"/>
              <w:rPr>
                <w:rFonts w:ascii="Helvetica" w:hAnsi="Helvetica" w:cs="Helvetica"/>
                <w:kern w:val="1"/>
              </w:rPr>
            </w:pPr>
            <w:r w:rsidRPr="00F84252">
              <w:rPr>
                <w:sz w:val="20"/>
                <w:szCs w:val="20"/>
              </w:rPr>
              <w:t>56</w:t>
            </w:r>
          </w:p>
        </w:tc>
        <w:tc>
          <w:tcPr>
            <w:tcW w:w="624" w:type="dxa"/>
            <w:gridSpan w:val="2"/>
            <w:tcBorders>
              <w:top w:val="nil"/>
              <w:left w:val="nil"/>
              <w:right w:val="nil"/>
            </w:tcBorders>
            <w:shd w:val="clear" w:color="auto" w:fill="auto"/>
            <w:vAlign w:val="bottom"/>
          </w:tcPr>
          <w:p w14:paraId="18D2419F"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30</w:t>
            </w:r>
          </w:p>
        </w:tc>
        <w:tc>
          <w:tcPr>
            <w:tcW w:w="623" w:type="dxa"/>
            <w:tcBorders>
              <w:top w:val="nil"/>
              <w:left w:val="nil"/>
              <w:right w:val="nil"/>
            </w:tcBorders>
            <w:shd w:val="clear" w:color="auto" w:fill="auto"/>
            <w:vAlign w:val="bottom"/>
          </w:tcPr>
          <w:p w14:paraId="552C286F"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16</w:t>
            </w:r>
          </w:p>
        </w:tc>
        <w:tc>
          <w:tcPr>
            <w:tcW w:w="624" w:type="dxa"/>
            <w:tcBorders>
              <w:top w:val="nil"/>
              <w:left w:val="nil"/>
              <w:right w:val="nil"/>
            </w:tcBorders>
            <w:shd w:val="clear" w:color="auto" w:fill="auto"/>
            <w:vAlign w:val="bottom"/>
          </w:tcPr>
          <w:p w14:paraId="1A180298"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9</w:t>
            </w:r>
          </w:p>
        </w:tc>
        <w:tc>
          <w:tcPr>
            <w:tcW w:w="623" w:type="dxa"/>
            <w:tcBorders>
              <w:top w:val="nil"/>
              <w:left w:val="nil"/>
              <w:right w:val="nil"/>
            </w:tcBorders>
            <w:shd w:val="clear" w:color="auto" w:fill="auto"/>
            <w:vAlign w:val="bottom"/>
          </w:tcPr>
          <w:p w14:paraId="262833A6"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10</w:t>
            </w:r>
          </w:p>
        </w:tc>
        <w:tc>
          <w:tcPr>
            <w:tcW w:w="623" w:type="dxa"/>
            <w:tcBorders>
              <w:top w:val="nil"/>
              <w:left w:val="nil"/>
              <w:right w:val="nil"/>
            </w:tcBorders>
            <w:shd w:val="clear" w:color="auto" w:fill="auto"/>
            <w:vAlign w:val="bottom"/>
          </w:tcPr>
          <w:p w14:paraId="6F522425"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23</w:t>
            </w:r>
          </w:p>
        </w:tc>
        <w:tc>
          <w:tcPr>
            <w:tcW w:w="624" w:type="dxa"/>
            <w:tcBorders>
              <w:top w:val="nil"/>
              <w:left w:val="nil"/>
              <w:right w:val="nil"/>
            </w:tcBorders>
            <w:shd w:val="clear" w:color="auto" w:fill="auto"/>
            <w:vAlign w:val="bottom"/>
          </w:tcPr>
          <w:p w14:paraId="3D418C2A"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19</w:t>
            </w:r>
          </w:p>
        </w:tc>
        <w:tc>
          <w:tcPr>
            <w:tcW w:w="623" w:type="dxa"/>
            <w:tcBorders>
              <w:top w:val="nil"/>
              <w:left w:val="nil"/>
              <w:right w:val="nil"/>
            </w:tcBorders>
            <w:shd w:val="clear" w:color="auto" w:fill="auto"/>
            <w:vAlign w:val="bottom"/>
          </w:tcPr>
          <w:p w14:paraId="16AAF051"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20</w:t>
            </w:r>
          </w:p>
        </w:tc>
        <w:tc>
          <w:tcPr>
            <w:tcW w:w="624" w:type="dxa"/>
            <w:tcBorders>
              <w:top w:val="nil"/>
              <w:left w:val="nil"/>
              <w:right w:val="nil"/>
            </w:tcBorders>
            <w:shd w:val="clear" w:color="auto" w:fill="auto"/>
            <w:vAlign w:val="bottom"/>
          </w:tcPr>
          <w:p w14:paraId="36D20AB9"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26</w:t>
            </w:r>
          </w:p>
        </w:tc>
      </w:tr>
      <w:tr w:rsidR="00B67B8B" w:rsidRPr="00735DE6" w14:paraId="6BF0A664" w14:textId="77777777" w:rsidTr="00AD5986">
        <w:trPr>
          <w:jc w:val="center"/>
        </w:trPr>
        <w:tc>
          <w:tcPr>
            <w:tcW w:w="2182" w:type="dxa"/>
            <w:tcBorders>
              <w:top w:val="nil"/>
              <w:left w:val="nil"/>
              <w:bottom w:val="nil"/>
              <w:right w:val="nil"/>
            </w:tcBorders>
            <w:vAlign w:val="bottom"/>
          </w:tcPr>
          <w:p w14:paraId="11349BAC" w14:textId="77777777" w:rsidR="00722E5C" w:rsidRPr="00735DE6" w:rsidRDefault="00722E5C" w:rsidP="00722E5C">
            <w:pPr>
              <w:widowControl w:val="0"/>
              <w:autoSpaceDE w:val="0"/>
              <w:autoSpaceDN w:val="0"/>
              <w:adjustRightInd w:val="0"/>
              <w:ind w:left="57"/>
              <w:rPr>
                <w:sz w:val="20"/>
                <w:szCs w:val="20"/>
              </w:rPr>
            </w:pPr>
            <w:r>
              <w:rPr>
                <w:sz w:val="20"/>
                <w:szCs w:val="20"/>
              </w:rPr>
              <w:t>Bassetts</w:t>
            </w:r>
          </w:p>
        </w:tc>
        <w:tc>
          <w:tcPr>
            <w:tcW w:w="623" w:type="dxa"/>
            <w:tcBorders>
              <w:left w:val="nil"/>
              <w:bottom w:val="nil"/>
              <w:right w:val="nil"/>
            </w:tcBorders>
            <w:shd w:val="clear" w:color="auto" w:fill="auto"/>
            <w:vAlign w:val="bottom"/>
          </w:tcPr>
          <w:p w14:paraId="2A44D074" w14:textId="77777777" w:rsidR="00722E5C" w:rsidRPr="00735DE6" w:rsidRDefault="00722E5C" w:rsidP="00722E5C">
            <w:pPr>
              <w:widowControl w:val="0"/>
              <w:autoSpaceDE w:val="0"/>
              <w:autoSpaceDN w:val="0"/>
              <w:adjustRightInd w:val="0"/>
              <w:ind w:left="57"/>
              <w:jc w:val="center"/>
              <w:rPr>
                <w:sz w:val="20"/>
                <w:szCs w:val="20"/>
              </w:rPr>
            </w:pPr>
            <w:r>
              <w:rPr>
                <w:sz w:val="20"/>
                <w:szCs w:val="20"/>
              </w:rPr>
              <w:t>44</w:t>
            </w:r>
          </w:p>
        </w:tc>
        <w:tc>
          <w:tcPr>
            <w:tcW w:w="623" w:type="dxa"/>
            <w:tcBorders>
              <w:left w:val="nil"/>
              <w:bottom w:val="nil"/>
              <w:right w:val="nil"/>
            </w:tcBorders>
            <w:shd w:val="clear" w:color="auto" w:fill="auto"/>
            <w:vAlign w:val="bottom"/>
          </w:tcPr>
          <w:p w14:paraId="2CFDCA1C" w14:textId="77777777" w:rsidR="00722E5C" w:rsidRPr="00735DE6" w:rsidRDefault="00722E5C" w:rsidP="00722E5C">
            <w:pPr>
              <w:widowControl w:val="0"/>
              <w:autoSpaceDE w:val="0"/>
              <w:autoSpaceDN w:val="0"/>
              <w:adjustRightInd w:val="0"/>
              <w:ind w:left="57"/>
              <w:jc w:val="center"/>
              <w:rPr>
                <w:sz w:val="20"/>
                <w:szCs w:val="20"/>
              </w:rPr>
            </w:pPr>
            <w:r>
              <w:rPr>
                <w:sz w:val="20"/>
                <w:szCs w:val="20"/>
              </w:rPr>
              <w:t>16</w:t>
            </w:r>
          </w:p>
        </w:tc>
        <w:tc>
          <w:tcPr>
            <w:tcW w:w="681" w:type="dxa"/>
            <w:tcBorders>
              <w:left w:val="nil"/>
              <w:bottom w:val="nil"/>
              <w:right w:val="nil"/>
            </w:tcBorders>
            <w:shd w:val="clear" w:color="auto" w:fill="auto"/>
            <w:vAlign w:val="bottom"/>
          </w:tcPr>
          <w:p w14:paraId="1F3F5117" w14:textId="77777777" w:rsidR="00722E5C" w:rsidRPr="00735DE6" w:rsidRDefault="00722E5C" w:rsidP="00722E5C">
            <w:pPr>
              <w:widowControl w:val="0"/>
              <w:autoSpaceDE w:val="0"/>
              <w:autoSpaceDN w:val="0"/>
              <w:adjustRightInd w:val="0"/>
              <w:jc w:val="center"/>
              <w:rPr>
                <w:sz w:val="20"/>
                <w:szCs w:val="20"/>
              </w:rPr>
            </w:pPr>
            <w:r>
              <w:rPr>
                <w:sz w:val="20"/>
                <w:szCs w:val="20"/>
              </w:rPr>
              <w:t>8</w:t>
            </w:r>
          </w:p>
        </w:tc>
        <w:tc>
          <w:tcPr>
            <w:tcW w:w="566" w:type="dxa"/>
            <w:tcBorders>
              <w:left w:val="nil"/>
              <w:bottom w:val="nil"/>
              <w:right w:val="nil"/>
            </w:tcBorders>
            <w:shd w:val="clear" w:color="auto" w:fill="auto"/>
            <w:vAlign w:val="bottom"/>
          </w:tcPr>
          <w:p w14:paraId="5B16ACAE" w14:textId="77777777" w:rsidR="00722E5C" w:rsidRPr="00F64638" w:rsidRDefault="00722E5C" w:rsidP="00722E5C">
            <w:pPr>
              <w:widowControl w:val="0"/>
              <w:autoSpaceDE w:val="0"/>
              <w:autoSpaceDN w:val="0"/>
              <w:adjustRightInd w:val="0"/>
              <w:jc w:val="center"/>
              <w:rPr>
                <w:sz w:val="20"/>
                <w:szCs w:val="20"/>
              </w:rPr>
            </w:pPr>
            <w:r>
              <w:rPr>
                <w:sz w:val="20"/>
                <w:szCs w:val="20"/>
              </w:rPr>
              <w:t>44</w:t>
            </w:r>
          </w:p>
        </w:tc>
        <w:tc>
          <w:tcPr>
            <w:tcW w:w="623" w:type="dxa"/>
            <w:tcBorders>
              <w:left w:val="nil"/>
              <w:bottom w:val="nil"/>
              <w:right w:val="nil"/>
            </w:tcBorders>
            <w:shd w:val="clear" w:color="auto" w:fill="auto"/>
            <w:vAlign w:val="bottom"/>
          </w:tcPr>
          <w:p w14:paraId="0FEB7A70" w14:textId="77777777" w:rsidR="00722E5C" w:rsidRPr="00735DE6" w:rsidRDefault="00722E5C" w:rsidP="00722E5C">
            <w:pPr>
              <w:widowControl w:val="0"/>
              <w:autoSpaceDE w:val="0"/>
              <w:autoSpaceDN w:val="0"/>
              <w:adjustRightInd w:val="0"/>
              <w:ind w:left="57"/>
              <w:jc w:val="center"/>
              <w:rPr>
                <w:sz w:val="20"/>
                <w:szCs w:val="20"/>
              </w:rPr>
            </w:pPr>
            <w:r>
              <w:rPr>
                <w:sz w:val="20"/>
                <w:szCs w:val="20"/>
              </w:rPr>
              <w:t>-</w:t>
            </w:r>
          </w:p>
        </w:tc>
        <w:tc>
          <w:tcPr>
            <w:tcW w:w="624" w:type="dxa"/>
            <w:gridSpan w:val="2"/>
            <w:tcBorders>
              <w:left w:val="nil"/>
              <w:bottom w:val="nil"/>
              <w:right w:val="nil"/>
            </w:tcBorders>
            <w:shd w:val="clear" w:color="auto" w:fill="auto"/>
            <w:vAlign w:val="bottom"/>
          </w:tcPr>
          <w:p w14:paraId="57C4CB64" w14:textId="77777777" w:rsidR="00722E5C" w:rsidRPr="00735DE6" w:rsidRDefault="00722E5C" w:rsidP="00722E5C">
            <w:pPr>
              <w:widowControl w:val="0"/>
              <w:autoSpaceDE w:val="0"/>
              <w:autoSpaceDN w:val="0"/>
              <w:adjustRightInd w:val="0"/>
              <w:ind w:left="57"/>
              <w:jc w:val="center"/>
              <w:rPr>
                <w:sz w:val="20"/>
                <w:szCs w:val="20"/>
              </w:rPr>
            </w:pPr>
            <w:r>
              <w:rPr>
                <w:sz w:val="20"/>
                <w:szCs w:val="20"/>
              </w:rPr>
              <w:t>31</w:t>
            </w:r>
          </w:p>
        </w:tc>
        <w:tc>
          <w:tcPr>
            <w:tcW w:w="623" w:type="dxa"/>
            <w:tcBorders>
              <w:left w:val="nil"/>
              <w:bottom w:val="nil"/>
              <w:right w:val="nil"/>
            </w:tcBorders>
            <w:shd w:val="clear" w:color="auto" w:fill="auto"/>
            <w:vAlign w:val="bottom"/>
          </w:tcPr>
          <w:p w14:paraId="33BB97B7" w14:textId="77777777" w:rsidR="00722E5C" w:rsidRPr="00735DE6" w:rsidRDefault="00722E5C" w:rsidP="00722E5C">
            <w:pPr>
              <w:widowControl w:val="0"/>
              <w:autoSpaceDE w:val="0"/>
              <w:autoSpaceDN w:val="0"/>
              <w:adjustRightInd w:val="0"/>
              <w:ind w:left="57"/>
              <w:jc w:val="center"/>
              <w:rPr>
                <w:sz w:val="20"/>
                <w:szCs w:val="20"/>
              </w:rPr>
            </w:pPr>
            <w:r>
              <w:rPr>
                <w:sz w:val="20"/>
                <w:szCs w:val="20"/>
              </w:rPr>
              <w:t>15</w:t>
            </w:r>
          </w:p>
        </w:tc>
        <w:tc>
          <w:tcPr>
            <w:tcW w:w="624" w:type="dxa"/>
            <w:tcBorders>
              <w:left w:val="nil"/>
              <w:bottom w:val="nil"/>
              <w:right w:val="nil"/>
            </w:tcBorders>
            <w:shd w:val="clear" w:color="auto" w:fill="auto"/>
            <w:vAlign w:val="bottom"/>
          </w:tcPr>
          <w:p w14:paraId="3EB81FE5" w14:textId="77777777" w:rsidR="00722E5C" w:rsidRPr="00735DE6" w:rsidRDefault="00722E5C" w:rsidP="00722E5C">
            <w:pPr>
              <w:widowControl w:val="0"/>
              <w:autoSpaceDE w:val="0"/>
              <w:autoSpaceDN w:val="0"/>
              <w:adjustRightInd w:val="0"/>
              <w:ind w:left="57"/>
              <w:jc w:val="center"/>
              <w:rPr>
                <w:sz w:val="20"/>
                <w:szCs w:val="20"/>
              </w:rPr>
            </w:pPr>
            <w:r>
              <w:rPr>
                <w:sz w:val="20"/>
                <w:szCs w:val="20"/>
              </w:rPr>
              <w:t>10</w:t>
            </w:r>
          </w:p>
        </w:tc>
        <w:tc>
          <w:tcPr>
            <w:tcW w:w="623" w:type="dxa"/>
            <w:tcBorders>
              <w:left w:val="nil"/>
              <w:bottom w:val="nil"/>
              <w:right w:val="nil"/>
            </w:tcBorders>
            <w:shd w:val="clear" w:color="auto" w:fill="auto"/>
            <w:vAlign w:val="bottom"/>
          </w:tcPr>
          <w:p w14:paraId="38AC7AEB" w14:textId="77777777" w:rsidR="00722E5C" w:rsidRPr="00735DE6" w:rsidRDefault="00722E5C" w:rsidP="00722E5C">
            <w:pPr>
              <w:widowControl w:val="0"/>
              <w:autoSpaceDE w:val="0"/>
              <w:autoSpaceDN w:val="0"/>
              <w:adjustRightInd w:val="0"/>
              <w:jc w:val="center"/>
              <w:rPr>
                <w:sz w:val="20"/>
                <w:szCs w:val="20"/>
              </w:rPr>
            </w:pPr>
            <w:r>
              <w:rPr>
                <w:sz w:val="20"/>
                <w:szCs w:val="20"/>
              </w:rPr>
              <w:t>9</w:t>
            </w:r>
          </w:p>
        </w:tc>
        <w:tc>
          <w:tcPr>
            <w:tcW w:w="623" w:type="dxa"/>
            <w:tcBorders>
              <w:left w:val="nil"/>
              <w:bottom w:val="nil"/>
              <w:right w:val="nil"/>
            </w:tcBorders>
            <w:shd w:val="clear" w:color="auto" w:fill="auto"/>
            <w:vAlign w:val="bottom"/>
          </w:tcPr>
          <w:p w14:paraId="4BF46455" w14:textId="77777777" w:rsidR="00722E5C" w:rsidRPr="00735DE6" w:rsidRDefault="00722E5C" w:rsidP="00722E5C">
            <w:pPr>
              <w:widowControl w:val="0"/>
              <w:autoSpaceDE w:val="0"/>
              <w:autoSpaceDN w:val="0"/>
              <w:adjustRightInd w:val="0"/>
              <w:ind w:left="57"/>
              <w:jc w:val="center"/>
              <w:rPr>
                <w:sz w:val="20"/>
                <w:szCs w:val="20"/>
              </w:rPr>
            </w:pPr>
            <w:r>
              <w:rPr>
                <w:sz w:val="20"/>
                <w:szCs w:val="20"/>
              </w:rPr>
              <w:t>17</w:t>
            </w:r>
          </w:p>
        </w:tc>
        <w:tc>
          <w:tcPr>
            <w:tcW w:w="624" w:type="dxa"/>
            <w:tcBorders>
              <w:left w:val="nil"/>
              <w:bottom w:val="nil"/>
              <w:right w:val="nil"/>
            </w:tcBorders>
            <w:shd w:val="clear" w:color="auto" w:fill="auto"/>
            <w:vAlign w:val="bottom"/>
          </w:tcPr>
          <w:p w14:paraId="79B9FE59" w14:textId="77777777" w:rsidR="00722E5C" w:rsidRPr="00735DE6" w:rsidRDefault="00722E5C" w:rsidP="00722E5C">
            <w:pPr>
              <w:widowControl w:val="0"/>
              <w:autoSpaceDE w:val="0"/>
              <w:autoSpaceDN w:val="0"/>
              <w:adjustRightInd w:val="0"/>
              <w:ind w:left="57"/>
              <w:jc w:val="center"/>
              <w:rPr>
                <w:sz w:val="20"/>
                <w:szCs w:val="20"/>
              </w:rPr>
            </w:pPr>
            <w:r>
              <w:rPr>
                <w:sz w:val="20"/>
                <w:szCs w:val="20"/>
              </w:rPr>
              <w:t>19</w:t>
            </w:r>
          </w:p>
        </w:tc>
        <w:tc>
          <w:tcPr>
            <w:tcW w:w="623" w:type="dxa"/>
            <w:tcBorders>
              <w:left w:val="nil"/>
              <w:bottom w:val="nil"/>
              <w:right w:val="nil"/>
            </w:tcBorders>
            <w:shd w:val="clear" w:color="auto" w:fill="auto"/>
            <w:vAlign w:val="bottom"/>
          </w:tcPr>
          <w:p w14:paraId="6F5F84A1" w14:textId="77777777" w:rsidR="00722E5C" w:rsidRPr="00735DE6" w:rsidRDefault="00722E5C" w:rsidP="00722E5C">
            <w:pPr>
              <w:widowControl w:val="0"/>
              <w:autoSpaceDE w:val="0"/>
              <w:autoSpaceDN w:val="0"/>
              <w:adjustRightInd w:val="0"/>
              <w:ind w:left="57"/>
              <w:jc w:val="center"/>
              <w:rPr>
                <w:sz w:val="20"/>
                <w:szCs w:val="20"/>
              </w:rPr>
            </w:pPr>
            <w:r>
              <w:rPr>
                <w:sz w:val="20"/>
                <w:szCs w:val="20"/>
              </w:rPr>
              <w:t>17</w:t>
            </w:r>
          </w:p>
        </w:tc>
        <w:tc>
          <w:tcPr>
            <w:tcW w:w="624" w:type="dxa"/>
            <w:tcBorders>
              <w:left w:val="nil"/>
              <w:bottom w:val="nil"/>
              <w:right w:val="nil"/>
            </w:tcBorders>
            <w:shd w:val="clear" w:color="auto" w:fill="auto"/>
            <w:vAlign w:val="bottom"/>
          </w:tcPr>
          <w:p w14:paraId="3E700EB2" w14:textId="77777777" w:rsidR="00722E5C" w:rsidRPr="00735DE6" w:rsidRDefault="00722E5C" w:rsidP="00722E5C">
            <w:pPr>
              <w:widowControl w:val="0"/>
              <w:autoSpaceDE w:val="0"/>
              <w:autoSpaceDN w:val="0"/>
              <w:adjustRightInd w:val="0"/>
              <w:ind w:left="57"/>
              <w:jc w:val="center"/>
              <w:rPr>
                <w:sz w:val="20"/>
                <w:szCs w:val="20"/>
              </w:rPr>
            </w:pPr>
            <w:r>
              <w:rPr>
                <w:sz w:val="20"/>
                <w:szCs w:val="20"/>
              </w:rPr>
              <w:t>21</w:t>
            </w:r>
          </w:p>
        </w:tc>
      </w:tr>
      <w:tr w:rsidR="00B67B8B" w14:paraId="158017B6" w14:textId="77777777" w:rsidTr="00AD5986">
        <w:trPr>
          <w:trHeight w:val="83"/>
          <w:jc w:val="center"/>
        </w:trPr>
        <w:tc>
          <w:tcPr>
            <w:tcW w:w="2182" w:type="dxa"/>
            <w:tcBorders>
              <w:top w:val="nil"/>
              <w:left w:val="nil"/>
              <w:bottom w:val="nil"/>
              <w:right w:val="nil"/>
            </w:tcBorders>
            <w:vAlign w:val="bottom"/>
          </w:tcPr>
          <w:p w14:paraId="0A2C4178" w14:textId="77777777" w:rsidR="00722E5C" w:rsidRDefault="00722E5C" w:rsidP="00722E5C">
            <w:pPr>
              <w:widowControl w:val="0"/>
              <w:autoSpaceDE w:val="0"/>
              <w:autoSpaceDN w:val="0"/>
              <w:adjustRightInd w:val="0"/>
              <w:ind w:left="57"/>
              <w:rPr>
                <w:sz w:val="20"/>
                <w:szCs w:val="20"/>
              </w:rPr>
            </w:pPr>
            <w:r>
              <w:rPr>
                <w:sz w:val="20"/>
                <w:szCs w:val="20"/>
              </w:rPr>
              <w:t>Haribo</w:t>
            </w:r>
          </w:p>
        </w:tc>
        <w:tc>
          <w:tcPr>
            <w:tcW w:w="623" w:type="dxa"/>
            <w:tcBorders>
              <w:left w:val="nil"/>
              <w:right w:val="nil"/>
            </w:tcBorders>
            <w:shd w:val="clear" w:color="auto" w:fill="auto"/>
            <w:vAlign w:val="bottom"/>
          </w:tcPr>
          <w:p w14:paraId="5ED844E0" w14:textId="77777777" w:rsidR="00722E5C" w:rsidRDefault="00722E5C" w:rsidP="00722E5C">
            <w:pPr>
              <w:widowControl w:val="0"/>
              <w:autoSpaceDE w:val="0"/>
              <w:autoSpaceDN w:val="0"/>
              <w:adjustRightInd w:val="0"/>
              <w:jc w:val="center"/>
              <w:rPr>
                <w:sz w:val="20"/>
                <w:szCs w:val="20"/>
              </w:rPr>
            </w:pPr>
            <w:r>
              <w:rPr>
                <w:sz w:val="20"/>
                <w:szCs w:val="20"/>
              </w:rPr>
              <w:t>44</w:t>
            </w:r>
          </w:p>
        </w:tc>
        <w:tc>
          <w:tcPr>
            <w:tcW w:w="623" w:type="dxa"/>
            <w:tcBorders>
              <w:left w:val="nil"/>
              <w:right w:val="nil"/>
            </w:tcBorders>
            <w:shd w:val="clear" w:color="auto" w:fill="auto"/>
            <w:vAlign w:val="bottom"/>
          </w:tcPr>
          <w:p w14:paraId="29D72CA1" w14:textId="77777777" w:rsidR="00722E5C" w:rsidRDefault="00722E5C" w:rsidP="00722E5C">
            <w:pPr>
              <w:widowControl w:val="0"/>
              <w:autoSpaceDE w:val="0"/>
              <w:autoSpaceDN w:val="0"/>
              <w:adjustRightInd w:val="0"/>
              <w:jc w:val="center"/>
              <w:rPr>
                <w:sz w:val="20"/>
                <w:szCs w:val="20"/>
              </w:rPr>
            </w:pPr>
            <w:r>
              <w:rPr>
                <w:sz w:val="20"/>
                <w:szCs w:val="20"/>
              </w:rPr>
              <w:t>18</w:t>
            </w:r>
          </w:p>
        </w:tc>
        <w:tc>
          <w:tcPr>
            <w:tcW w:w="681" w:type="dxa"/>
            <w:tcBorders>
              <w:left w:val="nil"/>
              <w:right w:val="nil"/>
            </w:tcBorders>
            <w:shd w:val="clear" w:color="auto" w:fill="auto"/>
            <w:vAlign w:val="bottom"/>
          </w:tcPr>
          <w:p w14:paraId="3ED7DB81" w14:textId="77777777" w:rsidR="00722E5C" w:rsidRDefault="00722E5C" w:rsidP="00722E5C">
            <w:pPr>
              <w:widowControl w:val="0"/>
              <w:autoSpaceDE w:val="0"/>
              <w:autoSpaceDN w:val="0"/>
              <w:adjustRightInd w:val="0"/>
              <w:jc w:val="center"/>
              <w:rPr>
                <w:sz w:val="20"/>
                <w:szCs w:val="20"/>
              </w:rPr>
            </w:pPr>
            <w:r>
              <w:rPr>
                <w:sz w:val="20"/>
                <w:szCs w:val="20"/>
              </w:rPr>
              <w:t>6</w:t>
            </w:r>
          </w:p>
        </w:tc>
        <w:tc>
          <w:tcPr>
            <w:tcW w:w="566" w:type="dxa"/>
            <w:tcBorders>
              <w:left w:val="nil"/>
              <w:right w:val="nil"/>
            </w:tcBorders>
            <w:shd w:val="clear" w:color="auto" w:fill="auto"/>
            <w:vAlign w:val="bottom"/>
          </w:tcPr>
          <w:p w14:paraId="7A0CB47C" w14:textId="77777777" w:rsidR="00722E5C" w:rsidRPr="00F64638" w:rsidRDefault="00722E5C" w:rsidP="00722E5C">
            <w:pPr>
              <w:widowControl w:val="0"/>
              <w:autoSpaceDE w:val="0"/>
              <w:autoSpaceDN w:val="0"/>
              <w:adjustRightInd w:val="0"/>
              <w:jc w:val="center"/>
              <w:rPr>
                <w:sz w:val="20"/>
                <w:szCs w:val="20"/>
              </w:rPr>
            </w:pPr>
            <w:r>
              <w:rPr>
                <w:sz w:val="20"/>
                <w:szCs w:val="20"/>
              </w:rPr>
              <w:t>46</w:t>
            </w:r>
          </w:p>
        </w:tc>
        <w:tc>
          <w:tcPr>
            <w:tcW w:w="623" w:type="dxa"/>
            <w:tcBorders>
              <w:left w:val="nil"/>
              <w:right w:val="nil"/>
            </w:tcBorders>
            <w:shd w:val="clear" w:color="auto" w:fill="auto"/>
            <w:vAlign w:val="bottom"/>
          </w:tcPr>
          <w:p w14:paraId="5474E3F8" w14:textId="77777777" w:rsidR="00722E5C" w:rsidRPr="00F64638" w:rsidRDefault="00722E5C" w:rsidP="00722E5C">
            <w:pPr>
              <w:widowControl w:val="0"/>
              <w:autoSpaceDE w:val="0"/>
              <w:autoSpaceDN w:val="0"/>
              <w:adjustRightInd w:val="0"/>
              <w:jc w:val="center"/>
              <w:rPr>
                <w:sz w:val="20"/>
                <w:szCs w:val="20"/>
              </w:rPr>
            </w:pPr>
            <w:r>
              <w:rPr>
                <w:sz w:val="20"/>
                <w:szCs w:val="20"/>
              </w:rPr>
              <w:t>61</w:t>
            </w:r>
          </w:p>
        </w:tc>
        <w:tc>
          <w:tcPr>
            <w:tcW w:w="624" w:type="dxa"/>
            <w:gridSpan w:val="2"/>
            <w:tcBorders>
              <w:left w:val="nil"/>
              <w:right w:val="nil"/>
            </w:tcBorders>
            <w:shd w:val="clear" w:color="auto" w:fill="auto"/>
            <w:vAlign w:val="bottom"/>
          </w:tcPr>
          <w:p w14:paraId="235A82BA" w14:textId="77777777" w:rsidR="00722E5C" w:rsidRPr="00F64638" w:rsidRDefault="00722E5C" w:rsidP="00722E5C">
            <w:pPr>
              <w:widowControl w:val="0"/>
              <w:autoSpaceDE w:val="0"/>
              <w:autoSpaceDN w:val="0"/>
              <w:adjustRightInd w:val="0"/>
              <w:jc w:val="center"/>
              <w:rPr>
                <w:sz w:val="20"/>
                <w:szCs w:val="20"/>
              </w:rPr>
            </w:pPr>
            <w:r>
              <w:rPr>
                <w:sz w:val="20"/>
                <w:szCs w:val="20"/>
              </w:rPr>
              <w:t>-</w:t>
            </w:r>
          </w:p>
        </w:tc>
        <w:tc>
          <w:tcPr>
            <w:tcW w:w="623" w:type="dxa"/>
            <w:tcBorders>
              <w:left w:val="nil"/>
              <w:right w:val="nil"/>
            </w:tcBorders>
            <w:shd w:val="clear" w:color="auto" w:fill="auto"/>
            <w:vAlign w:val="bottom"/>
          </w:tcPr>
          <w:p w14:paraId="6255E70B" w14:textId="77777777" w:rsidR="00722E5C" w:rsidRPr="00F64638" w:rsidRDefault="00722E5C" w:rsidP="00722E5C">
            <w:pPr>
              <w:widowControl w:val="0"/>
              <w:autoSpaceDE w:val="0"/>
              <w:autoSpaceDN w:val="0"/>
              <w:adjustRightInd w:val="0"/>
              <w:jc w:val="center"/>
              <w:rPr>
                <w:sz w:val="20"/>
                <w:szCs w:val="20"/>
              </w:rPr>
            </w:pPr>
            <w:r>
              <w:rPr>
                <w:sz w:val="20"/>
                <w:szCs w:val="20"/>
              </w:rPr>
              <w:t>14</w:t>
            </w:r>
          </w:p>
        </w:tc>
        <w:tc>
          <w:tcPr>
            <w:tcW w:w="624" w:type="dxa"/>
            <w:tcBorders>
              <w:left w:val="nil"/>
              <w:right w:val="nil"/>
            </w:tcBorders>
            <w:shd w:val="clear" w:color="auto" w:fill="auto"/>
            <w:vAlign w:val="bottom"/>
          </w:tcPr>
          <w:p w14:paraId="148D8A28" w14:textId="77777777" w:rsidR="00722E5C" w:rsidRPr="00F64638" w:rsidRDefault="00722E5C" w:rsidP="00722E5C">
            <w:pPr>
              <w:widowControl w:val="0"/>
              <w:autoSpaceDE w:val="0"/>
              <w:autoSpaceDN w:val="0"/>
              <w:adjustRightInd w:val="0"/>
              <w:jc w:val="center"/>
              <w:rPr>
                <w:sz w:val="20"/>
                <w:szCs w:val="20"/>
              </w:rPr>
            </w:pPr>
            <w:r>
              <w:rPr>
                <w:sz w:val="20"/>
                <w:szCs w:val="20"/>
              </w:rPr>
              <w:t>9</w:t>
            </w:r>
          </w:p>
        </w:tc>
        <w:tc>
          <w:tcPr>
            <w:tcW w:w="623" w:type="dxa"/>
            <w:tcBorders>
              <w:left w:val="nil"/>
              <w:right w:val="nil"/>
            </w:tcBorders>
            <w:shd w:val="clear" w:color="auto" w:fill="auto"/>
            <w:vAlign w:val="bottom"/>
          </w:tcPr>
          <w:p w14:paraId="14F9EF5C" w14:textId="77777777" w:rsidR="00722E5C" w:rsidRPr="00F64638" w:rsidRDefault="00722E5C" w:rsidP="00722E5C">
            <w:pPr>
              <w:widowControl w:val="0"/>
              <w:autoSpaceDE w:val="0"/>
              <w:autoSpaceDN w:val="0"/>
              <w:adjustRightInd w:val="0"/>
              <w:jc w:val="center"/>
              <w:rPr>
                <w:sz w:val="20"/>
                <w:szCs w:val="20"/>
              </w:rPr>
            </w:pPr>
            <w:r>
              <w:rPr>
                <w:sz w:val="20"/>
                <w:szCs w:val="20"/>
              </w:rPr>
              <w:t>8</w:t>
            </w:r>
          </w:p>
        </w:tc>
        <w:tc>
          <w:tcPr>
            <w:tcW w:w="623" w:type="dxa"/>
            <w:tcBorders>
              <w:left w:val="nil"/>
              <w:right w:val="nil"/>
            </w:tcBorders>
            <w:shd w:val="clear" w:color="auto" w:fill="auto"/>
            <w:vAlign w:val="bottom"/>
          </w:tcPr>
          <w:p w14:paraId="53605332" w14:textId="77777777" w:rsidR="00722E5C" w:rsidRDefault="00722E5C" w:rsidP="00722E5C">
            <w:pPr>
              <w:widowControl w:val="0"/>
              <w:autoSpaceDE w:val="0"/>
              <w:autoSpaceDN w:val="0"/>
              <w:adjustRightInd w:val="0"/>
              <w:jc w:val="center"/>
              <w:rPr>
                <w:sz w:val="20"/>
                <w:szCs w:val="20"/>
              </w:rPr>
            </w:pPr>
            <w:r>
              <w:rPr>
                <w:sz w:val="20"/>
                <w:szCs w:val="20"/>
              </w:rPr>
              <w:t>24</w:t>
            </w:r>
          </w:p>
        </w:tc>
        <w:tc>
          <w:tcPr>
            <w:tcW w:w="624" w:type="dxa"/>
            <w:tcBorders>
              <w:left w:val="nil"/>
              <w:right w:val="nil"/>
            </w:tcBorders>
            <w:shd w:val="clear" w:color="auto" w:fill="auto"/>
            <w:vAlign w:val="bottom"/>
          </w:tcPr>
          <w:p w14:paraId="3164768A" w14:textId="77777777" w:rsidR="00722E5C" w:rsidRDefault="00722E5C" w:rsidP="00722E5C">
            <w:pPr>
              <w:widowControl w:val="0"/>
              <w:autoSpaceDE w:val="0"/>
              <w:autoSpaceDN w:val="0"/>
              <w:adjustRightInd w:val="0"/>
              <w:jc w:val="center"/>
              <w:rPr>
                <w:sz w:val="20"/>
                <w:szCs w:val="20"/>
              </w:rPr>
            </w:pPr>
            <w:r>
              <w:rPr>
                <w:sz w:val="20"/>
                <w:szCs w:val="20"/>
              </w:rPr>
              <w:t>28</w:t>
            </w:r>
          </w:p>
        </w:tc>
        <w:tc>
          <w:tcPr>
            <w:tcW w:w="623" w:type="dxa"/>
            <w:tcBorders>
              <w:left w:val="nil"/>
              <w:right w:val="nil"/>
            </w:tcBorders>
            <w:shd w:val="clear" w:color="auto" w:fill="auto"/>
            <w:vAlign w:val="bottom"/>
          </w:tcPr>
          <w:p w14:paraId="762449A5" w14:textId="77777777" w:rsidR="00722E5C" w:rsidRDefault="00722E5C" w:rsidP="00722E5C">
            <w:pPr>
              <w:widowControl w:val="0"/>
              <w:autoSpaceDE w:val="0"/>
              <w:autoSpaceDN w:val="0"/>
              <w:adjustRightInd w:val="0"/>
              <w:jc w:val="center"/>
              <w:rPr>
                <w:sz w:val="20"/>
                <w:szCs w:val="20"/>
              </w:rPr>
            </w:pPr>
            <w:r>
              <w:rPr>
                <w:sz w:val="20"/>
                <w:szCs w:val="20"/>
              </w:rPr>
              <w:t>23</w:t>
            </w:r>
          </w:p>
        </w:tc>
        <w:tc>
          <w:tcPr>
            <w:tcW w:w="624" w:type="dxa"/>
            <w:tcBorders>
              <w:left w:val="nil"/>
              <w:right w:val="nil"/>
            </w:tcBorders>
            <w:shd w:val="clear" w:color="auto" w:fill="auto"/>
            <w:vAlign w:val="bottom"/>
          </w:tcPr>
          <w:p w14:paraId="692A4403" w14:textId="77777777" w:rsidR="00722E5C" w:rsidRDefault="00722E5C" w:rsidP="00722E5C">
            <w:pPr>
              <w:widowControl w:val="0"/>
              <w:autoSpaceDE w:val="0"/>
              <w:autoSpaceDN w:val="0"/>
              <w:adjustRightInd w:val="0"/>
              <w:jc w:val="center"/>
              <w:rPr>
                <w:sz w:val="20"/>
                <w:szCs w:val="20"/>
              </w:rPr>
            </w:pPr>
            <w:r>
              <w:rPr>
                <w:sz w:val="20"/>
                <w:szCs w:val="20"/>
              </w:rPr>
              <w:t>27</w:t>
            </w:r>
          </w:p>
        </w:tc>
      </w:tr>
      <w:tr w:rsidR="00920CC7" w14:paraId="40652BBF" w14:textId="77777777" w:rsidTr="00AD5986">
        <w:trPr>
          <w:jc w:val="center"/>
        </w:trPr>
        <w:tc>
          <w:tcPr>
            <w:tcW w:w="2182" w:type="dxa"/>
            <w:tcBorders>
              <w:top w:val="nil"/>
              <w:left w:val="nil"/>
              <w:bottom w:val="nil"/>
              <w:right w:val="nil"/>
            </w:tcBorders>
            <w:vAlign w:val="bottom"/>
          </w:tcPr>
          <w:p w14:paraId="6E1A54D1" w14:textId="77777777" w:rsidR="00722E5C" w:rsidRDefault="00722E5C" w:rsidP="00722E5C">
            <w:pPr>
              <w:widowControl w:val="0"/>
              <w:autoSpaceDE w:val="0"/>
              <w:autoSpaceDN w:val="0"/>
              <w:adjustRightInd w:val="0"/>
              <w:ind w:left="57"/>
              <w:rPr>
                <w:rFonts w:ascii="Helvetica" w:hAnsi="Helvetica" w:cs="Helvetica"/>
                <w:kern w:val="1"/>
              </w:rPr>
            </w:pPr>
            <w:r>
              <w:rPr>
                <w:sz w:val="20"/>
                <w:szCs w:val="20"/>
              </w:rPr>
              <w:t>Tic Tac</w:t>
            </w:r>
          </w:p>
        </w:tc>
        <w:tc>
          <w:tcPr>
            <w:tcW w:w="623" w:type="dxa"/>
            <w:tcBorders>
              <w:left w:val="nil"/>
              <w:right w:val="nil"/>
            </w:tcBorders>
            <w:shd w:val="clear" w:color="auto" w:fill="auto"/>
            <w:vAlign w:val="bottom"/>
          </w:tcPr>
          <w:p w14:paraId="0334BC8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60</w:t>
            </w:r>
          </w:p>
        </w:tc>
        <w:tc>
          <w:tcPr>
            <w:tcW w:w="623" w:type="dxa"/>
            <w:tcBorders>
              <w:left w:val="nil"/>
              <w:right w:val="nil"/>
            </w:tcBorders>
            <w:shd w:val="clear" w:color="auto" w:fill="auto"/>
            <w:vAlign w:val="bottom"/>
          </w:tcPr>
          <w:p w14:paraId="19306DF8"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18</w:t>
            </w:r>
          </w:p>
        </w:tc>
        <w:tc>
          <w:tcPr>
            <w:tcW w:w="681" w:type="dxa"/>
            <w:tcBorders>
              <w:left w:val="nil"/>
              <w:right w:val="nil"/>
            </w:tcBorders>
            <w:shd w:val="clear" w:color="auto" w:fill="auto"/>
            <w:vAlign w:val="bottom"/>
          </w:tcPr>
          <w:p w14:paraId="71F7730C"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13</w:t>
            </w:r>
          </w:p>
        </w:tc>
        <w:tc>
          <w:tcPr>
            <w:tcW w:w="566" w:type="dxa"/>
            <w:tcBorders>
              <w:left w:val="nil"/>
              <w:right w:val="nil"/>
            </w:tcBorders>
            <w:shd w:val="clear" w:color="auto" w:fill="D9D9D9" w:themeFill="background1" w:themeFillShade="D9"/>
            <w:vAlign w:val="bottom"/>
          </w:tcPr>
          <w:p w14:paraId="3D058DCB" w14:textId="77777777" w:rsidR="00722E5C" w:rsidRPr="00F64638" w:rsidRDefault="00722E5C" w:rsidP="00722E5C">
            <w:pPr>
              <w:widowControl w:val="0"/>
              <w:autoSpaceDE w:val="0"/>
              <w:autoSpaceDN w:val="0"/>
              <w:adjustRightInd w:val="0"/>
              <w:jc w:val="center"/>
              <w:rPr>
                <w:sz w:val="20"/>
                <w:szCs w:val="20"/>
              </w:rPr>
            </w:pPr>
            <w:r>
              <w:rPr>
                <w:sz w:val="20"/>
                <w:szCs w:val="20"/>
              </w:rPr>
              <w:t>57</w:t>
            </w:r>
          </w:p>
        </w:tc>
        <w:tc>
          <w:tcPr>
            <w:tcW w:w="623" w:type="dxa"/>
            <w:tcBorders>
              <w:left w:val="nil"/>
              <w:right w:val="nil"/>
            </w:tcBorders>
            <w:shd w:val="clear" w:color="auto" w:fill="D9D9D9" w:themeFill="background1" w:themeFillShade="D9"/>
            <w:vAlign w:val="bottom"/>
          </w:tcPr>
          <w:p w14:paraId="191D7718"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69</w:t>
            </w:r>
          </w:p>
        </w:tc>
        <w:tc>
          <w:tcPr>
            <w:tcW w:w="624" w:type="dxa"/>
            <w:gridSpan w:val="2"/>
            <w:tcBorders>
              <w:left w:val="nil"/>
              <w:right w:val="nil"/>
            </w:tcBorders>
            <w:shd w:val="clear" w:color="auto" w:fill="D9D9D9" w:themeFill="background1" w:themeFillShade="D9"/>
            <w:vAlign w:val="bottom"/>
          </w:tcPr>
          <w:p w14:paraId="1A6E9F19"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33</w:t>
            </w:r>
          </w:p>
        </w:tc>
        <w:tc>
          <w:tcPr>
            <w:tcW w:w="623" w:type="dxa"/>
            <w:tcBorders>
              <w:left w:val="nil"/>
              <w:right w:val="nil"/>
            </w:tcBorders>
            <w:shd w:val="clear" w:color="auto" w:fill="auto"/>
            <w:vAlign w:val="bottom"/>
          </w:tcPr>
          <w:p w14:paraId="20DA5195"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w:t>
            </w:r>
          </w:p>
        </w:tc>
        <w:tc>
          <w:tcPr>
            <w:tcW w:w="624" w:type="dxa"/>
            <w:tcBorders>
              <w:left w:val="nil"/>
              <w:right w:val="nil"/>
            </w:tcBorders>
            <w:shd w:val="clear" w:color="auto" w:fill="auto"/>
            <w:vAlign w:val="bottom"/>
          </w:tcPr>
          <w:p w14:paraId="72789040"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9</w:t>
            </w:r>
          </w:p>
        </w:tc>
        <w:tc>
          <w:tcPr>
            <w:tcW w:w="623" w:type="dxa"/>
            <w:tcBorders>
              <w:left w:val="nil"/>
              <w:right w:val="nil"/>
            </w:tcBorders>
            <w:shd w:val="clear" w:color="auto" w:fill="auto"/>
            <w:vAlign w:val="bottom"/>
          </w:tcPr>
          <w:p w14:paraId="1642E043"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15</w:t>
            </w:r>
          </w:p>
        </w:tc>
        <w:tc>
          <w:tcPr>
            <w:tcW w:w="623" w:type="dxa"/>
            <w:tcBorders>
              <w:left w:val="nil"/>
              <w:right w:val="nil"/>
            </w:tcBorders>
            <w:shd w:val="clear" w:color="auto" w:fill="auto"/>
            <w:vAlign w:val="bottom"/>
          </w:tcPr>
          <w:p w14:paraId="1EA22B4E"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26</w:t>
            </w:r>
          </w:p>
        </w:tc>
        <w:tc>
          <w:tcPr>
            <w:tcW w:w="624" w:type="dxa"/>
            <w:tcBorders>
              <w:left w:val="nil"/>
              <w:right w:val="nil"/>
            </w:tcBorders>
            <w:shd w:val="clear" w:color="auto" w:fill="auto"/>
            <w:vAlign w:val="bottom"/>
          </w:tcPr>
          <w:p w14:paraId="4E64155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23</w:t>
            </w:r>
          </w:p>
        </w:tc>
        <w:tc>
          <w:tcPr>
            <w:tcW w:w="623" w:type="dxa"/>
            <w:tcBorders>
              <w:left w:val="nil"/>
              <w:right w:val="nil"/>
            </w:tcBorders>
            <w:shd w:val="clear" w:color="auto" w:fill="auto"/>
            <w:vAlign w:val="bottom"/>
          </w:tcPr>
          <w:p w14:paraId="7092B74A"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24</w:t>
            </w:r>
          </w:p>
        </w:tc>
        <w:tc>
          <w:tcPr>
            <w:tcW w:w="624" w:type="dxa"/>
            <w:tcBorders>
              <w:left w:val="nil"/>
              <w:right w:val="nil"/>
            </w:tcBorders>
            <w:shd w:val="clear" w:color="auto" w:fill="auto"/>
            <w:vAlign w:val="bottom"/>
          </w:tcPr>
          <w:p w14:paraId="478E7D2E"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28</w:t>
            </w:r>
          </w:p>
        </w:tc>
      </w:tr>
      <w:tr w:rsidR="00920CC7" w14:paraId="05691DFA" w14:textId="77777777" w:rsidTr="00AD5986">
        <w:trPr>
          <w:jc w:val="center"/>
        </w:trPr>
        <w:tc>
          <w:tcPr>
            <w:tcW w:w="2182" w:type="dxa"/>
            <w:tcBorders>
              <w:top w:val="nil"/>
              <w:left w:val="nil"/>
              <w:bottom w:val="nil"/>
              <w:right w:val="nil"/>
            </w:tcBorders>
            <w:vAlign w:val="bottom"/>
          </w:tcPr>
          <w:p w14:paraId="044C16A8" w14:textId="77777777" w:rsidR="00722E5C" w:rsidRDefault="00722E5C" w:rsidP="00722E5C">
            <w:pPr>
              <w:widowControl w:val="0"/>
              <w:autoSpaceDE w:val="0"/>
              <w:autoSpaceDN w:val="0"/>
              <w:adjustRightInd w:val="0"/>
              <w:ind w:left="57"/>
              <w:rPr>
                <w:rFonts w:ascii="Helvetica" w:hAnsi="Helvetica" w:cs="Helvetica"/>
                <w:kern w:val="1"/>
              </w:rPr>
            </w:pPr>
            <w:r>
              <w:rPr>
                <w:sz w:val="20"/>
                <w:szCs w:val="20"/>
              </w:rPr>
              <w:t>Werthers</w:t>
            </w:r>
          </w:p>
        </w:tc>
        <w:tc>
          <w:tcPr>
            <w:tcW w:w="623" w:type="dxa"/>
            <w:tcBorders>
              <w:left w:val="nil"/>
              <w:right w:val="nil"/>
            </w:tcBorders>
            <w:shd w:val="clear" w:color="auto" w:fill="auto"/>
            <w:vAlign w:val="bottom"/>
          </w:tcPr>
          <w:p w14:paraId="760DDD74"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44</w:t>
            </w:r>
          </w:p>
        </w:tc>
        <w:tc>
          <w:tcPr>
            <w:tcW w:w="623" w:type="dxa"/>
            <w:tcBorders>
              <w:left w:val="nil"/>
              <w:right w:val="nil"/>
            </w:tcBorders>
            <w:shd w:val="clear" w:color="auto" w:fill="auto"/>
            <w:vAlign w:val="bottom"/>
          </w:tcPr>
          <w:p w14:paraId="0CF5B4B6"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10</w:t>
            </w:r>
          </w:p>
        </w:tc>
        <w:tc>
          <w:tcPr>
            <w:tcW w:w="681" w:type="dxa"/>
            <w:tcBorders>
              <w:left w:val="nil"/>
              <w:right w:val="nil"/>
            </w:tcBorders>
            <w:shd w:val="clear" w:color="auto" w:fill="auto"/>
            <w:vAlign w:val="bottom"/>
          </w:tcPr>
          <w:p w14:paraId="4922707A"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7</w:t>
            </w:r>
          </w:p>
        </w:tc>
        <w:tc>
          <w:tcPr>
            <w:tcW w:w="566" w:type="dxa"/>
            <w:tcBorders>
              <w:left w:val="nil"/>
              <w:right w:val="nil"/>
            </w:tcBorders>
            <w:shd w:val="clear" w:color="auto" w:fill="auto"/>
            <w:vAlign w:val="bottom"/>
          </w:tcPr>
          <w:p w14:paraId="4941C14D" w14:textId="77777777" w:rsidR="00722E5C" w:rsidRPr="00F64638" w:rsidRDefault="00722E5C" w:rsidP="00722E5C">
            <w:pPr>
              <w:widowControl w:val="0"/>
              <w:autoSpaceDE w:val="0"/>
              <w:autoSpaceDN w:val="0"/>
              <w:adjustRightInd w:val="0"/>
              <w:jc w:val="center"/>
              <w:rPr>
                <w:sz w:val="20"/>
                <w:szCs w:val="20"/>
              </w:rPr>
            </w:pPr>
            <w:r>
              <w:rPr>
                <w:sz w:val="20"/>
                <w:szCs w:val="20"/>
              </w:rPr>
              <w:t>45</w:t>
            </w:r>
          </w:p>
        </w:tc>
        <w:tc>
          <w:tcPr>
            <w:tcW w:w="623" w:type="dxa"/>
            <w:tcBorders>
              <w:left w:val="nil"/>
              <w:right w:val="nil"/>
            </w:tcBorders>
            <w:shd w:val="clear" w:color="auto" w:fill="D9D9D9" w:themeFill="background1" w:themeFillShade="D9"/>
            <w:vAlign w:val="bottom"/>
          </w:tcPr>
          <w:p w14:paraId="7AA17DA9"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65</w:t>
            </w:r>
          </w:p>
        </w:tc>
        <w:tc>
          <w:tcPr>
            <w:tcW w:w="624" w:type="dxa"/>
            <w:gridSpan w:val="2"/>
            <w:tcBorders>
              <w:left w:val="nil"/>
              <w:right w:val="nil"/>
            </w:tcBorders>
            <w:shd w:val="clear" w:color="auto" w:fill="D9D9D9" w:themeFill="background1" w:themeFillShade="D9"/>
            <w:vAlign w:val="bottom"/>
          </w:tcPr>
          <w:p w14:paraId="205EC2AB"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30</w:t>
            </w:r>
          </w:p>
        </w:tc>
        <w:tc>
          <w:tcPr>
            <w:tcW w:w="623" w:type="dxa"/>
            <w:tcBorders>
              <w:left w:val="nil"/>
              <w:right w:val="nil"/>
            </w:tcBorders>
            <w:shd w:val="clear" w:color="auto" w:fill="auto"/>
            <w:vAlign w:val="bottom"/>
          </w:tcPr>
          <w:p w14:paraId="6E5EE0C7"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13</w:t>
            </w:r>
          </w:p>
        </w:tc>
        <w:tc>
          <w:tcPr>
            <w:tcW w:w="624" w:type="dxa"/>
            <w:tcBorders>
              <w:left w:val="nil"/>
              <w:right w:val="nil"/>
            </w:tcBorders>
            <w:shd w:val="clear" w:color="auto" w:fill="auto"/>
            <w:vAlign w:val="bottom"/>
          </w:tcPr>
          <w:p w14:paraId="48E21725"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w:t>
            </w:r>
          </w:p>
        </w:tc>
        <w:tc>
          <w:tcPr>
            <w:tcW w:w="623" w:type="dxa"/>
            <w:tcBorders>
              <w:left w:val="nil"/>
              <w:right w:val="nil"/>
            </w:tcBorders>
            <w:shd w:val="clear" w:color="auto" w:fill="auto"/>
            <w:vAlign w:val="bottom"/>
          </w:tcPr>
          <w:p w14:paraId="249ED32A"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8</w:t>
            </w:r>
          </w:p>
        </w:tc>
        <w:tc>
          <w:tcPr>
            <w:tcW w:w="623" w:type="dxa"/>
            <w:tcBorders>
              <w:left w:val="nil"/>
              <w:right w:val="nil"/>
            </w:tcBorders>
            <w:shd w:val="clear" w:color="auto" w:fill="auto"/>
            <w:vAlign w:val="bottom"/>
          </w:tcPr>
          <w:p w14:paraId="7C17BB3C"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27</w:t>
            </w:r>
          </w:p>
        </w:tc>
        <w:tc>
          <w:tcPr>
            <w:tcW w:w="624" w:type="dxa"/>
            <w:tcBorders>
              <w:left w:val="nil"/>
              <w:right w:val="nil"/>
            </w:tcBorders>
            <w:shd w:val="clear" w:color="auto" w:fill="auto"/>
            <w:vAlign w:val="bottom"/>
          </w:tcPr>
          <w:p w14:paraId="3576E9DA"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21</w:t>
            </w:r>
          </w:p>
        </w:tc>
        <w:tc>
          <w:tcPr>
            <w:tcW w:w="623" w:type="dxa"/>
            <w:tcBorders>
              <w:left w:val="nil"/>
              <w:right w:val="nil"/>
            </w:tcBorders>
            <w:shd w:val="clear" w:color="auto" w:fill="auto"/>
            <w:vAlign w:val="bottom"/>
          </w:tcPr>
          <w:p w14:paraId="2DF6302E"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24</w:t>
            </w:r>
          </w:p>
        </w:tc>
        <w:tc>
          <w:tcPr>
            <w:tcW w:w="624" w:type="dxa"/>
            <w:tcBorders>
              <w:left w:val="nil"/>
              <w:right w:val="nil"/>
            </w:tcBorders>
            <w:shd w:val="clear" w:color="auto" w:fill="auto"/>
            <w:vAlign w:val="bottom"/>
          </w:tcPr>
          <w:p w14:paraId="58A32256"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20</w:t>
            </w:r>
          </w:p>
        </w:tc>
      </w:tr>
      <w:tr w:rsidR="00920CC7" w14:paraId="7674CAA9" w14:textId="77777777" w:rsidTr="00AD5986">
        <w:trPr>
          <w:jc w:val="center"/>
        </w:trPr>
        <w:tc>
          <w:tcPr>
            <w:tcW w:w="2182" w:type="dxa"/>
            <w:tcBorders>
              <w:top w:val="nil"/>
              <w:left w:val="nil"/>
              <w:bottom w:val="nil"/>
              <w:right w:val="nil"/>
            </w:tcBorders>
            <w:vAlign w:val="bottom"/>
          </w:tcPr>
          <w:p w14:paraId="2CAFC667" w14:textId="77777777" w:rsidR="00722E5C" w:rsidRDefault="00722E5C" w:rsidP="00722E5C">
            <w:pPr>
              <w:widowControl w:val="0"/>
              <w:autoSpaceDE w:val="0"/>
              <w:autoSpaceDN w:val="0"/>
              <w:adjustRightInd w:val="0"/>
              <w:ind w:left="57"/>
              <w:rPr>
                <w:rFonts w:ascii="Helvetica" w:hAnsi="Helvetica" w:cs="Helvetica"/>
                <w:kern w:val="1"/>
              </w:rPr>
            </w:pPr>
            <w:r>
              <w:rPr>
                <w:sz w:val="20"/>
                <w:szCs w:val="20"/>
              </w:rPr>
              <w:t>Hall Soothers</w:t>
            </w:r>
          </w:p>
        </w:tc>
        <w:tc>
          <w:tcPr>
            <w:tcW w:w="623" w:type="dxa"/>
            <w:tcBorders>
              <w:left w:val="nil"/>
              <w:bottom w:val="nil"/>
              <w:right w:val="nil"/>
            </w:tcBorders>
            <w:shd w:val="clear" w:color="auto" w:fill="auto"/>
            <w:vAlign w:val="bottom"/>
          </w:tcPr>
          <w:p w14:paraId="6E5B3B4D"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56</w:t>
            </w:r>
          </w:p>
        </w:tc>
        <w:tc>
          <w:tcPr>
            <w:tcW w:w="623" w:type="dxa"/>
            <w:tcBorders>
              <w:left w:val="nil"/>
              <w:bottom w:val="nil"/>
              <w:right w:val="nil"/>
            </w:tcBorders>
            <w:shd w:val="clear" w:color="auto" w:fill="auto"/>
            <w:vAlign w:val="bottom"/>
          </w:tcPr>
          <w:p w14:paraId="3CFEE9AA"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25</w:t>
            </w:r>
          </w:p>
        </w:tc>
        <w:tc>
          <w:tcPr>
            <w:tcW w:w="681" w:type="dxa"/>
            <w:tcBorders>
              <w:left w:val="nil"/>
              <w:bottom w:val="nil"/>
              <w:right w:val="nil"/>
            </w:tcBorders>
            <w:shd w:val="clear" w:color="auto" w:fill="auto"/>
            <w:vAlign w:val="bottom"/>
          </w:tcPr>
          <w:p w14:paraId="1A56FFCB"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7</w:t>
            </w:r>
          </w:p>
        </w:tc>
        <w:tc>
          <w:tcPr>
            <w:tcW w:w="566" w:type="dxa"/>
            <w:tcBorders>
              <w:left w:val="nil"/>
              <w:bottom w:val="nil"/>
              <w:right w:val="nil"/>
            </w:tcBorders>
            <w:shd w:val="clear" w:color="auto" w:fill="D9D9D9" w:themeFill="background1" w:themeFillShade="D9"/>
            <w:vAlign w:val="bottom"/>
          </w:tcPr>
          <w:p w14:paraId="169FCAD7" w14:textId="77777777" w:rsidR="00722E5C" w:rsidRPr="00F64638" w:rsidRDefault="00722E5C" w:rsidP="00722E5C">
            <w:pPr>
              <w:widowControl w:val="0"/>
              <w:autoSpaceDE w:val="0"/>
              <w:autoSpaceDN w:val="0"/>
              <w:adjustRightInd w:val="0"/>
              <w:jc w:val="center"/>
              <w:rPr>
                <w:sz w:val="20"/>
                <w:szCs w:val="20"/>
              </w:rPr>
            </w:pPr>
            <w:r>
              <w:rPr>
                <w:sz w:val="20"/>
                <w:szCs w:val="20"/>
              </w:rPr>
              <w:t>55</w:t>
            </w:r>
          </w:p>
        </w:tc>
        <w:tc>
          <w:tcPr>
            <w:tcW w:w="623" w:type="dxa"/>
            <w:tcBorders>
              <w:left w:val="nil"/>
              <w:bottom w:val="nil"/>
              <w:right w:val="nil"/>
            </w:tcBorders>
            <w:shd w:val="clear" w:color="auto" w:fill="D9D9D9" w:themeFill="background1" w:themeFillShade="D9"/>
            <w:vAlign w:val="bottom"/>
          </w:tcPr>
          <w:p w14:paraId="0B356783"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69</w:t>
            </w:r>
          </w:p>
        </w:tc>
        <w:tc>
          <w:tcPr>
            <w:tcW w:w="624" w:type="dxa"/>
            <w:gridSpan w:val="2"/>
            <w:tcBorders>
              <w:left w:val="nil"/>
              <w:bottom w:val="nil"/>
              <w:right w:val="nil"/>
            </w:tcBorders>
            <w:shd w:val="clear" w:color="auto" w:fill="D9D9D9" w:themeFill="background1" w:themeFillShade="D9"/>
            <w:vAlign w:val="bottom"/>
          </w:tcPr>
          <w:p w14:paraId="1AD0B20E"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30</w:t>
            </w:r>
          </w:p>
        </w:tc>
        <w:tc>
          <w:tcPr>
            <w:tcW w:w="623" w:type="dxa"/>
            <w:tcBorders>
              <w:left w:val="nil"/>
              <w:bottom w:val="nil"/>
              <w:right w:val="nil"/>
            </w:tcBorders>
            <w:shd w:val="clear" w:color="auto" w:fill="auto"/>
            <w:vAlign w:val="bottom"/>
          </w:tcPr>
          <w:p w14:paraId="534B9608"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25</w:t>
            </w:r>
          </w:p>
        </w:tc>
        <w:tc>
          <w:tcPr>
            <w:tcW w:w="624" w:type="dxa"/>
            <w:tcBorders>
              <w:left w:val="nil"/>
              <w:bottom w:val="nil"/>
              <w:right w:val="nil"/>
            </w:tcBorders>
            <w:shd w:val="clear" w:color="auto" w:fill="auto"/>
            <w:vAlign w:val="bottom"/>
          </w:tcPr>
          <w:p w14:paraId="15C78DAC"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10</w:t>
            </w:r>
          </w:p>
        </w:tc>
        <w:tc>
          <w:tcPr>
            <w:tcW w:w="623" w:type="dxa"/>
            <w:tcBorders>
              <w:left w:val="nil"/>
              <w:bottom w:val="nil"/>
              <w:right w:val="nil"/>
            </w:tcBorders>
            <w:shd w:val="clear" w:color="auto" w:fill="auto"/>
            <w:vAlign w:val="bottom"/>
          </w:tcPr>
          <w:p w14:paraId="2392AE04" w14:textId="77777777" w:rsidR="00722E5C" w:rsidRPr="00F64638" w:rsidRDefault="00722E5C" w:rsidP="00722E5C">
            <w:pPr>
              <w:widowControl w:val="0"/>
              <w:autoSpaceDE w:val="0"/>
              <w:autoSpaceDN w:val="0"/>
              <w:adjustRightInd w:val="0"/>
              <w:jc w:val="center"/>
              <w:rPr>
                <w:rFonts w:ascii="Helvetica" w:hAnsi="Helvetica" w:cs="Helvetica"/>
                <w:kern w:val="1"/>
              </w:rPr>
            </w:pPr>
            <w:r>
              <w:rPr>
                <w:sz w:val="20"/>
                <w:szCs w:val="20"/>
              </w:rPr>
              <w:t>-</w:t>
            </w:r>
          </w:p>
        </w:tc>
        <w:tc>
          <w:tcPr>
            <w:tcW w:w="623" w:type="dxa"/>
            <w:tcBorders>
              <w:left w:val="nil"/>
              <w:bottom w:val="nil"/>
              <w:right w:val="nil"/>
            </w:tcBorders>
            <w:shd w:val="clear" w:color="auto" w:fill="auto"/>
            <w:vAlign w:val="bottom"/>
          </w:tcPr>
          <w:p w14:paraId="4D2AA193"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20</w:t>
            </w:r>
          </w:p>
        </w:tc>
        <w:tc>
          <w:tcPr>
            <w:tcW w:w="624" w:type="dxa"/>
            <w:tcBorders>
              <w:left w:val="nil"/>
              <w:bottom w:val="nil"/>
              <w:right w:val="nil"/>
            </w:tcBorders>
            <w:shd w:val="clear" w:color="auto" w:fill="auto"/>
            <w:vAlign w:val="bottom"/>
          </w:tcPr>
          <w:p w14:paraId="7785613C"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20</w:t>
            </w:r>
          </w:p>
        </w:tc>
        <w:tc>
          <w:tcPr>
            <w:tcW w:w="623" w:type="dxa"/>
            <w:tcBorders>
              <w:left w:val="nil"/>
              <w:bottom w:val="nil"/>
              <w:right w:val="nil"/>
            </w:tcBorders>
            <w:shd w:val="clear" w:color="auto" w:fill="auto"/>
            <w:vAlign w:val="bottom"/>
          </w:tcPr>
          <w:p w14:paraId="52F03D05"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15</w:t>
            </w:r>
          </w:p>
        </w:tc>
        <w:tc>
          <w:tcPr>
            <w:tcW w:w="624" w:type="dxa"/>
            <w:tcBorders>
              <w:left w:val="nil"/>
              <w:bottom w:val="nil"/>
              <w:right w:val="nil"/>
            </w:tcBorders>
            <w:shd w:val="clear" w:color="auto" w:fill="auto"/>
            <w:vAlign w:val="bottom"/>
          </w:tcPr>
          <w:p w14:paraId="6561DD54"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29</w:t>
            </w:r>
          </w:p>
        </w:tc>
      </w:tr>
      <w:tr w:rsidR="00920CC7" w14:paraId="526808FC" w14:textId="77777777" w:rsidTr="00AD5986">
        <w:trPr>
          <w:jc w:val="center"/>
        </w:trPr>
        <w:tc>
          <w:tcPr>
            <w:tcW w:w="2182" w:type="dxa"/>
            <w:tcBorders>
              <w:top w:val="nil"/>
              <w:left w:val="nil"/>
              <w:bottom w:val="nil"/>
              <w:right w:val="nil"/>
            </w:tcBorders>
            <w:vAlign w:val="bottom"/>
          </w:tcPr>
          <w:p w14:paraId="798FABDA" w14:textId="77777777" w:rsidR="00722E5C" w:rsidRDefault="00722E5C" w:rsidP="00722E5C">
            <w:pPr>
              <w:widowControl w:val="0"/>
              <w:autoSpaceDE w:val="0"/>
              <w:autoSpaceDN w:val="0"/>
              <w:adjustRightInd w:val="0"/>
              <w:ind w:left="57"/>
              <w:rPr>
                <w:rFonts w:ascii="Helvetica" w:hAnsi="Helvetica" w:cs="Helvetica"/>
                <w:kern w:val="1"/>
              </w:rPr>
            </w:pPr>
            <w:r>
              <w:rPr>
                <w:sz w:val="20"/>
                <w:szCs w:val="20"/>
              </w:rPr>
              <w:t>Skittles</w:t>
            </w:r>
          </w:p>
        </w:tc>
        <w:tc>
          <w:tcPr>
            <w:tcW w:w="623" w:type="dxa"/>
            <w:tcBorders>
              <w:top w:val="nil"/>
              <w:left w:val="nil"/>
              <w:right w:val="nil"/>
            </w:tcBorders>
            <w:shd w:val="clear" w:color="auto" w:fill="auto"/>
            <w:vAlign w:val="bottom"/>
          </w:tcPr>
          <w:p w14:paraId="17C0D125"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47</w:t>
            </w:r>
          </w:p>
        </w:tc>
        <w:tc>
          <w:tcPr>
            <w:tcW w:w="623" w:type="dxa"/>
            <w:tcBorders>
              <w:top w:val="nil"/>
              <w:left w:val="nil"/>
              <w:right w:val="nil"/>
            </w:tcBorders>
            <w:shd w:val="clear" w:color="auto" w:fill="auto"/>
            <w:vAlign w:val="bottom"/>
          </w:tcPr>
          <w:p w14:paraId="5B243129"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17</w:t>
            </w:r>
          </w:p>
        </w:tc>
        <w:tc>
          <w:tcPr>
            <w:tcW w:w="681" w:type="dxa"/>
            <w:tcBorders>
              <w:top w:val="nil"/>
              <w:left w:val="nil"/>
              <w:right w:val="nil"/>
            </w:tcBorders>
            <w:shd w:val="clear" w:color="auto" w:fill="auto"/>
            <w:vAlign w:val="bottom"/>
          </w:tcPr>
          <w:p w14:paraId="167EDEFE"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13</w:t>
            </w:r>
          </w:p>
        </w:tc>
        <w:tc>
          <w:tcPr>
            <w:tcW w:w="566" w:type="dxa"/>
            <w:tcBorders>
              <w:top w:val="nil"/>
              <w:left w:val="nil"/>
              <w:right w:val="nil"/>
            </w:tcBorders>
            <w:shd w:val="clear" w:color="auto" w:fill="D9D9D9" w:themeFill="background1" w:themeFillShade="D9"/>
            <w:vAlign w:val="bottom"/>
          </w:tcPr>
          <w:p w14:paraId="1C3D7BBC" w14:textId="77777777" w:rsidR="00722E5C" w:rsidRDefault="00722E5C" w:rsidP="00722E5C">
            <w:pPr>
              <w:widowControl w:val="0"/>
              <w:autoSpaceDE w:val="0"/>
              <w:autoSpaceDN w:val="0"/>
              <w:adjustRightInd w:val="0"/>
              <w:jc w:val="center"/>
              <w:rPr>
                <w:sz w:val="20"/>
                <w:szCs w:val="20"/>
              </w:rPr>
            </w:pPr>
            <w:r>
              <w:rPr>
                <w:sz w:val="20"/>
                <w:szCs w:val="20"/>
              </w:rPr>
              <w:t>54</w:t>
            </w:r>
          </w:p>
        </w:tc>
        <w:tc>
          <w:tcPr>
            <w:tcW w:w="623" w:type="dxa"/>
            <w:tcBorders>
              <w:top w:val="nil"/>
              <w:left w:val="nil"/>
              <w:right w:val="nil"/>
            </w:tcBorders>
            <w:shd w:val="clear" w:color="auto" w:fill="auto"/>
            <w:vAlign w:val="bottom"/>
          </w:tcPr>
          <w:p w14:paraId="7DC09D61"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51</w:t>
            </w:r>
          </w:p>
        </w:tc>
        <w:tc>
          <w:tcPr>
            <w:tcW w:w="624" w:type="dxa"/>
            <w:gridSpan w:val="2"/>
            <w:tcBorders>
              <w:top w:val="nil"/>
              <w:left w:val="nil"/>
              <w:right w:val="nil"/>
            </w:tcBorders>
            <w:shd w:val="clear" w:color="auto" w:fill="D9D9D9" w:themeFill="background1" w:themeFillShade="D9"/>
            <w:vAlign w:val="bottom"/>
          </w:tcPr>
          <w:p w14:paraId="61629A6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37</w:t>
            </w:r>
          </w:p>
        </w:tc>
        <w:tc>
          <w:tcPr>
            <w:tcW w:w="623" w:type="dxa"/>
            <w:tcBorders>
              <w:top w:val="nil"/>
              <w:left w:val="nil"/>
              <w:right w:val="nil"/>
            </w:tcBorders>
            <w:shd w:val="clear" w:color="auto" w:fill="auto"/>
            <w:vAlign w:val="bottom"/>
          </w:tcPr>
          <w:p w14:paraId="1EC97D17"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18</w:t>
            </w:r>
          </w:p>
        </w:tc>
        <w:tc>
          <w:tcPr>
            <w:tcW w:w="624" w:type="dxa"/>
            <w:tcBorders>
              <w:top w:val="nil"/>
              <w:left w:val="nil"/>
              <w:right w:val="nil"/>
            </w:tcBorders>
            <w:shd w:val="clear" w:color="auto" w:fill="auto"/>
            <w:vAlign w:val="bottom"/>
          </w:tcPr>
          <w:p w14:paraId="32D0ACE1"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13</w:t>
            </w:r>
          </w:p>
        </w:tc>
        <w:tc>
          <w:tcPr>
            <w:tcW w:w="623" w:type="dxa"/>
            <w:tcBorders>
              <w:top w:val="nil"/>
              <w:left w:val="nil"/>
              <w:right w:val="nil"/>
            </w:tcBorders>
            <w:shd w:val="clear" w:color="auto" w:fill="auto"/>
            <w:vAlign w:val="bottom"/>
          </w:tcPr>
          <w:p w14:paraId="0A84FF3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8</w:t>
            </w:r>
          </w:p>
        </w:tc>
        <w:tc>
          <w:tcPr>
            <w:tcW w:w="623" w:type="dxa"/>
            <w:tcBorders>
              <w:top w:val="nil"/>
              <w:left w:val="nil"/>
              <w:right w:val="nil"/>
            </w:tcBorders>
            <w:shd w:val="clear" w:color="auto" w:fill="D9D9D9" w:themeFill="background1" w:themeFillShade="D9"/>
            <w:vAlign w:val="bottom"/>
          </w:tcPr>
          <w:p w14:paraId="2B3ED145"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w:t>
            </w:r>
          </w:p>
        </w:tc>
        <w:tc>
          <w:tcPr>
            <w:tcW w:w="624" w:type="dxa"/>
            <w:tcBorders>
              <w:top w:val="nil"/>
              <w:left w:val="nil"/>
              <w:right w:val="nil"/>
            </w:tcBorders>
            <w:shd w:val="clear" w:color="auto" w:fill="D9D9D9" w:themeFill="background1" w:themeFillShade="D9"/>
            <w:vAlign w:val="bottom"/>
          </w:tcPr>
          <w:p w14:paraId="23EF0F1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26</w:t>
            </w:r>
          </w:p>
        </w:tc>
        <w:tc>
          <w:tcPr>
            <w:tcW w:w="623" w:type="dxa"/>
            <w:tcBorders>
              <w:top w:val="nil"/>
              <w:left w:val="nil"/>
              <w:right w:val="nil"/>
            </w:tcBorders>
            <w:shd w:val="clear" w:color="auto" w:fill="D9D9D9" w:themeFill="background1" w:themeFillShade="D9"/>
            <w:vAlign w:val="bottom"/>
          </w:tcPr>
          <w:p w14:paraId="2521F890"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32</w:t>
            </w:r>
          </w:p>
        </w:tc>
        <w:tc>
          <w:tcPr>
            <w:tcW w:w="624" w:type="dxa"/>
            <w:tcBorders>
              <w:top w:val="nil"/>
              <w:left w:val="nil"/>
              <w:right w:val="nil"/>
            </w:tcBorders>
            <w:shd w:val="clear" w:color="auto" w:fill="D9D9D9" w:themeFill="background1" w:themeFillShade="D9"/>
            <w:vAlign w:val="bottom"/>
          </w:tcPr>
          <w:p w14:paraId="234969AE"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37</w:t>
            </w:r>
          </w:p>
        </w:tc>
      </w:tr>
      <w:tr w:rsidR="00920CC7" w14:paraId="28787C98" w14:textId="77777777" w:rsidTr="00AD5986">
        <w:trPr>
          <w:jc w:val="center"/>
        </w:trPr>
        <w:tc>
          <w:tcPr>
            <w:tcW w:w="2182" w:type="dxa"/>
            <w:tcBorders>
              <w:top w:val="nil"/>
              <w:left w:val="nil"/>
              <w:bottom w:val="nil"/>
              <w:right w:val="nil"/>
            </w:tcBorders>
            <w:vAlign w:val="bottom"/>
          </w:tcPr>
          <w:p w14:paraId="7C2D7E0A" w14:textId="77777777" w:rsidR="00722E5C" w:rsidRDefault="00722E5C" w:rsidP="00722E5C">
            <w:pPr>
              <w:widowControl w:val="0"/>
              <w:autoSpaceDE w:val="0"/>
              <w:autoSpaceDN w:val="0"/>
              <w:adjustRightInd w:val="0"/>
              <w:ind w:left="57"/>
              <w:rPr>
                <w:rFonts w:ascii="Helvetica" w:hAnsi="Helvetica" w:cs="Helvetica"/>
                <w:kern w:val="1"/>
              </w:rPr>
            </w:pPr>
            <w:r>
              <w:rPr>
                <w:sz w:val="20"/>
                <w:szCs w:val="20"/>
              </w:rPr>
              <w:t>Swizzels</w:t>
            </w:r>
          </w:p>
        </w:tc>
        <w:tc>
          <w:tcPr>
            <w:tcW w:w="623" w:type="dxa"/>
            <w:tcBorders>
              <w:left w:val="nil"/>
              <w:right w:val="nil"/>
            </w:tcBorders>
            <w:shd w:val="clear" w:color="auto" w:fill="auto"/>
            <w:vAlign w:val="bottom"/>
          </w:tcPr>
          <w:p w14:paraId="7849454F"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45</w:t>
            </w:r>
          </w:p>
        </w:tc>
        <w:tc>
          <w:tcPr>
            <w:tcW w:w="623" w:type="dxa"/>
            <w:tcBorders>
              <w:left w:val="nil"/>
              <w:right w:val="nil"/>
            </w:tcBorders>
            <w:shd w:val="clear" w:color="auto" w:fill="auto"/>
            <w:vAlign w:val="bottom"/>
          </w:tcPr>
          <w:p w14:paraId="2DF4D55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14</w:t>
            </w:r>
          </w:p>
        </w:tc>
        <w:tc>
          <w:tcPr>
            <w:tcW w:w="681" w:type="dxa"/>
            <w:tcBorders>
              <w:left w:val="nil"/>
              <w:right w:val="nil"/>
            </w:tcBorders>
            <w:shd w:val="clear" w:color="auto" w:fill="auto"/>
            <w:vAlign w:val="bottom"/>
          </w:tcPr>
          <w:p w14:paraId="24A87ABD"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11</w:t>
            </w:r>
          </w:p>
        </w:tc>
        <w:tc>
          <w:tcPr>
            <w:tcW w:w="566" w:type="dxa"/>
            <w:tcBorders>
              <w:left w:val="nil"/>
              <w:right w:val="nil"/>
            </w:tcBorders>
            <w:shd w:val="clear" w:color="auto" w:fill="D9D9D9" w:themeFill="background1" w:themeFillShade="D9"/>
            <w:vAlign w:val="bottom"/>
          </w:tcPr>
          <w:p w14:paraId="6E79773B" w14:textId="77777777" w:rsidR="00722E5C" w:rsidRDefault="00722E5C" w:rsidP="00722E5C">
            <w:pPr>
              <w:widowControl w:val="0"/>
              <w:autoSpaceDE w:val="0"/>
              <w:autoSpaceDN w:val="0"/>
              <w:adjustRightInd w:val="0"/>
              <w:jc w:val="center"/>
              <w:rPr>
                <w:sz w:val="20"/>
                <w:szCs w:val="20"/>
              </w:rPr>
            </w:pPr>
            <w:r>
              <w:rPr>
                <w:sz w:val="20"/>
                <w:szCs w:val="20"/>
              </w:rPr>
              <w:t>51</w:t>
            </w:r>
          </w:p>
        </w:tc>
        <w:tc>
          <w:tcPr>
            <w:tcW w:w="623" w:type="dxa"/>
            <w:tcBorders>
              <w:left w:val="nil"/>
              <w:right w:val="nil"/>
            </w:tcBorders>
            <w:shd w:val="clear" w:color="auto" w:fill="D9D9D9" w:themeFill="background1" w:themeFillShade="D9"/>
            <w:vAlign w:val="bottom"/>
          </w:tcPr>
          <w:p w14:paraId="44DFF2B7"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67</w:t>
            </w:r>
          </w:p>
        </w:tc>
        <w:tc>
          <w:tcPr>
            <w:tcW w:w="624" w:type="dxa"/>
            <w:gridSpan w:val="2"/>
            <w:tcBorders>
              <w:left w:val="nil"/>
              <w:right w:val="nil"/>
            </w:tcBorders>
            <w:shd w:val="clear" w:color="auto" w:fill="D9D9D9" w:themeFill="background1" w:themeFillShade="D9"/>
            <w:vAlign w:val="bottom"/>
          </w:tcPr>
          <w:p w14:paraId="5E6F400E"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49</w:t>
            </w:r>
          </w:p>
        </w:tc>
        <w:tc>
          <w:tcPr>
            <w:tcW w:w="623" w:type="dxa"/>
            <w:tcBorders>
              <w:left w:val="nil"/>
              <w:right w:val="nil"/>
            </w:tcBorders>
            <w:shd w:val="clear" w:color="auto" w:fill="auto"/>
            <w:vAlign w:val="bottom"/>
          </w:tcPr>
          <w:p w14:paraId="6CF9304D"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18</w:t>
            </w:r>
          </w:p>
        </w:tc>
        <w:tc>
          <w:tcPr>
            <w:tcW w:w="624" w:type="dxa"/>
            <w:tcBorders>
              <w:left w:val="nil"/>
              <w:right w:val="nil"/>
            </w:tcBorders>
            <w:shd w:val="clear" w:color="auto" w:fill="auto"/>
            <w:vAlign w:val="bottom"/>
          </w:tcPr>
          <w:p w14:paraId="2EBEE44C"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11</w:t>
            </w:r>
          </w:p>
        </w:tc>
        <w:tc>
          <w:tcPr>
            <w:tcW w:w="623" w:type="dxa"/>
            <w:tcBorders>
              <w:left w:val="nil"/>
              <w:right w:val="nil"/>
            </w:tcBorders>
            <w:shd w:val="clear" w:color="auto" w:fill="auto"/>
            <w:vAlign w:val="bottom"/>
          </w:tcPr>
          <w:p w14:paraId="6C4907DB"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9</w:t>
            </w:r>
          </w:p>
        </w:tc>
        <w:tc>
          <w:tcPr>
            <w:tcW w:w="623" w:type="dxa"/>
            <w:tcBorders>
              <w:left w:val="nil"/>
              <w:right w:val="nil"/>
            </w:tcBorders>
            <w:shd w:val="clear" w:color="auto" w:fill="D9D9D9" w:themeFill="background1" w:themeFillShade="D9"/>
            <w:vAlign w:val="bottom"/>
          </w:tcPr>
          <w:p w14:paraId="48BF4B01"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29</w:t>
            </w:r>
          </w:p>
        </w:tc>
        <w:tc>
          <w:tcPr>
            <w:tcW w:w="624" w:type="dxa"/>
            <w:tcBorders>
              <w:left w:val="nil"/>
              <w:right w:val="nil"/>
            </w:tcBorders>
            <w:shd w:val="clear" w:color="auto" w:fill="D9D9D9" w:themeFill="background1" w:themeFillShade="D9"/>
            <w:vAlign w:val="bottom"/>
          </w:tcPr>
          <w:p w14:paraId="6DAD354F"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w:t>
            </w:r>
          </w:p>
        </w:tc>
        <w:tc>
          <w:tcPr>
            <w:tcW w:w="623" w:type="dxa"/>
            <w:tcBorders>
              <w:left w:val="nil"/>
              <w:right w:val="nil"/>
            </w:tcBorders>
            <w:shd w:val="clear" w:color="auto" w:fill="D9D9D9" w:themeFill="background1" w:themeFillShade="D9"/>
            <w:vAlign w:val="bottom"/>
          </w:tcPr>
          <w:p w14:paraId="28E310A3"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38</w:t>
            </w:r>
          </w:p>
        </w:tc>
        <w:tc>
          <w:tcPr>
            <w:tcW w:w="624" w:type="dxa"/>
            <w:tcBorders>
              <w:left w:val="nil"/>
              <w:right w:val="nil"/>
            </w:tcBorders>
            <w:shd w:val="clear" w:color="auto" w:fill="D9D9D9" w:themeFill="background1" w:themeFillShade="D9"/>
            <w:vAlign w:val="bottom"/>
          </w:tcPr>
          <w:p w14:paraId="2A01F749"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29</w:t>
            </w:r>
          </w:p>
        </w:tc>
      </w:tr>
      <w:tr w:rsidR="00920CC7" w14:paraId="5FF0D985" w14:textId="77777777" w:rsidTr="00AD5986">
        <w:trPr>
          <w:jc w:val="center"/>
        </w:trPr>
        <w:tc>
          <w:tcPr>
            <w:tcW w:w="2182" w:type="dxa"/>
            <w:tcBorders>
              <w:top w:val="nil"/>
              <w:left w:val="nil"/>
              <w:bottom w:val="nil"/>
              <w:right w:val="nil"/>
            </w:tcBorders>
            <w:vAlign w:val="bottom"/>
          </w:tcPr>
          <w:p w14:paraId="31509B3A" w14:textId="77777777" w:rsidR="00722E5C" w:rsidRDefault="00722E5C" w:rsidP="00722E5C">
            <w:pPr>
              <w:widowControl w:val="0"/>
              <w:autoSpaceDE w:val="0"/>
              <w:autoSpaceDN w:val="0"/>
              <w:adjustRightInd w:val="0"/>
              <w:ind w:left="57"/>
              <w:rPr>
                <w:rFonts w:ascii="Helvetica" w:hAnsi="Helvetica" w:cs="Helvetica"/>
                <w:kern w:val="1"/>
              </w:rPr>
            </w:pPr>
            <w:r>
              <w:rPr>
                <w:sz w:val="20"/>
                <w:szCs w:val="20"/>
              </w:rPr>
              <w:t>Chewits</w:t>
            </w:r>
          </w:p>
        </w:tc>
        <w:tc>
          <w:tcPr>
            <w:tcW w:w="623" w:type="dxa"/>
            <w:tcBorders>
              <w:left w:val="nil"/>
              <w:right w:val="nil"/>
            </w:tcBorders>
            <w:shd w:val="clear" w:color="auto" w:fill="auto"/>
            <w:vAlign w:val="bottom"/>
          </w:tcPr>
          <w:p w14:paraId="7C5FC8E6"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42</w:t>
            </w:r>
          </w:p>
        </w:tc>
        <w:tc>
          <w:tcPr>
            <w:tcW w:w="623" w:type="dxa"/>
            <w:tcBorders>
              <w:left w:val="nil"/>
              <w:right w:val="nil"/>
            </w:tcBorders>
            <w:shd w:val="clear" w:color="auto" w:fill="auto"/>
            <w:vAlign w:val="bottom"/>
          </w:tcPr>
          <w:p w14:paraId="01AB0EAD"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12</w:t>
            </w:r>
          </w:p>
        </w:tc>
        <w:tc>
          <w:tcPr>
            <w:tcW w:w="681" w:type="dxa"/>
            <w:tcBorders>
              <w:left w:val="nil"/>
              <w:right w:val="nil"/>
            </w:tcBorders>
            <w:shd w:val="clear" w:color="auto" w:fill="auto"/>
            <w:vAlign w:val="bottom"/>
          </w:tcPr>
          <w:p w14:paraId="1A5EC4B6"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15</w:t>
            </w:r>
          </w:p>
        </w:tc>
        <w:tc>
          <w:tcPr>
            <w:tcW w:w="566" w:type="dxa"/>
            <w:tcBorders>
              <w:left w:val="nil"/>
              <w:right w:val="nil"/>
            </w:tcBorders>
            <w:shd w:val="clear" w:color="auto" w:fill="D9D9D9" w:themeFill="background1" w:themeFillShade="D9"/>
            <w:vAlign w:val="bottom"/>
          </w:tcPr>
          <w:p w14:paraId="40AD46FF" w14:textId="77777777" w:rsidR="00722E5C" w:rsidRDefault="00722E5C" w:rsidP="00722E5C">
            <w:pPr>
              <w:widowControl w:val="0"/>
              <w:autoSpaceDE w:val="0"/>
              <w:autoSpaceDN w:val="0"/>
              <w:adjustRightInd w:val="0"/>
              <w:jc w:val="center"/>
              <w:rPr>
                <w:sz w:val="20"/>
                <w:szCs w:val="20"/>
              </w:rPr>
            </w:pPr>
            <w:r>
              <w:rPr>
                <w:sz w:val="20"/>
                <w:szCs w:val="20"/>
              </w:rPr>
              <w:t>51</w:t>
            </w:r>
          </w:p>
        </w:tc>
        <w:tc>
          <w:tcPr>
            <w:tcW w:w="623" w:type="dxa"/>
            <w:tcBorders>
              <w:left w:val="nil"/>
              <w:right w:val="nil"/>
            </w:tcBorders>
            <w:shd w:val="clear" w:color="auto" w:fill="auto"/>
            <w:vAlign w:val="bottom"/>
          </w:tcPr>
          <w:p w14:paraId="52897D0D"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56</w:t>
            </w:r>
          </w:p>
        </w:tc>
        <w:tc>
          <w:tcPr>
            <w:tcW w:w="624" w:type="dxa"/>
            <w:gridSpan w:val="2"/>
            <w:tcBorders>
              <w:left w:val="nil"/>
              <w:right w:val="nil"/>
            </w:tcBorders>
            <w:shd w:val="clear" w:color="auto" w:fill="D9D9D9" w:themeFill="background1" w:themeFillShade="D9"/>
            <w:vAlign w:val="bottom"/>
          </w:tcPr>
          <w:p w14:paraId="7F8F427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38</w:t>
            </w:r>
          </w:p>
        </w:tc>
        <w:tc>
          <w:tcPr>
            <w:tcW w:w="623" w:type="dxa"/>
            <w:tcBorders>
              <w:left w:val="nil"/>
              <w:right w:val="nil"/>
            </w:tcBorders>
            <w:shd w:val="clear" w:color="auto" w:fill="auto"/>
            <w:vAlign w:val="bottom"/>
          </w:tcPr>
          <w:p w14:paraId="35F510BE"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18</w:t>
            </w:r>
          </w:p>
        </w:tc>
        <w:tc>
          <w:tcPr>
            <w:tcW w:w="624" w:type="dxa"/>
            <w:tcBorders>
              <w:left w:val="nil"/>
              <w:right w:val="nil"/>
            </w:tcBorders>
            <w:shd w:val="clear" w:color="auto" w:fill="auto"/>
            <w:vAlign w:val="bottom"/>
          </w:tcPr>
          <w:p w14:paraId="15901048"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12</w:t>
            </w:r>
          </w:p>
        </w:tc>
        <w:tc>
          <w:tcPr>
            <w:tcW w:w="623" w:type="dxa"/>
            <w:tcBorders>
              <w:left w:val="nil"/>
              <w:right w:val="nil"/>
            </w:tcBorders>
            <w:shd w:val="clear" w:color="auto" w:fill="auto"/>
            <w:vAlign w:val="bottom"/>
          </w:tcPr>
          <w:p w14:paraId="52CD6A07"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7</w:t>
            </w:r>
          </w:p>
        </w:tc>
        <w:tc>
          <w:tcPr>
            <w:tcW w:w="623" w:type="dxa"/>
            <w:tcBorders>
              <w:left w:val="nil"/>
              <w:right w:val="nil"/>
            </w:tcBorders>
            <w:shd w:val="clear" w:color="auto" w:fill="D9D9D9" w:themeFill="background1" w:themeFillShade="D9"/>
            <w:vAlign w:val="bottom"/>
          </w:tcPr>
          <w:p w14:paraId="2D698083"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35</w:t>
            </w:r>
          </w:p>
        </w:tc>
        <w:tc>
          <w:tcPr>
            <w:tcW w:w="624" w:type="dxa"/>
            <w:tcBorders>
              <w:left w:val="nil"/>
              <w:right w:val="nil"/>
            </w:tcBorders>
            <w:shd w:val="clear" w:color="auto" w:fill="D9D9D9" w:themeFill="background1" w:themeFillShade="D9"/>
            <w:vAlign w:val="bottom"/>
          </w:tcPr>
          <w:p w14:paraId="4373DFA1"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36</w:t>
            </w:r>
          </w:p>
        </w:tc>
        <w:tc>
          <w:tcPr>
            <w:tcW w:w="623" w:type="dxa"/>
            <w:tcBorders>
              <w:left w:val="nil"/>
              <w:right w:val="nil"/>
            </w:tcBorders>
            <w:shd w:val="clear" w:color="auto" w:fill="D9D9D9" w:themeFill="background1" w:themeFillShade="D9"/>
            <w:vAlign w:val="bottom"/>
          </w:tcPr>
          <w:p w14:paraId="4F570C9D"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w:t>
            </w:r>
          </w:p>
        </w:tc>
        <w:tc>
          <w:tcPr>
            <w:tcW w:w="624" w:type="dxa"/>
            <w:tcBorders>
              <w:left w:val="nil"/>
              <w:right w:val="nil"/>
            </w:tcBorders>
            <w:shd w:val="clear" w:color="auto" w:fill="D9D9D9" w:themeFill="background1" w:themeFillShade="D9"/>
            <w:vAlign w:val="bottom"/>
          </w:tcPr>
          <w:p w14:paraId="598BB6CE"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36</w:t>
            </w:r>
          </w:p>
        </w:tc>
      </w:tr>
      <w:tr w:rsidR="00920CC7" w14:paraId="529C9D26" w14:textId="77777777" w:rsidTr="00AD5986">
        <w:trPr>
          <w:jc w:val="center"/>
        </w:trPr>
        <w:tc>
          <w:tcPr>
            <w:tcW w:w="2182" w:type="dxa"/>
            <w:tcBorders>
              <w:top w:val="nil"/>
              <w:left w:val="nil"/>
              <w:bottom w:val="nil"/>
              <w:right w:val="nil"/>
            </w:tcBorders>
            <w:vAlign w:val="bottom"/>
          </w:tcPr>
          <w:p w14:paraId="35D5B79B" w14:textId="77777777" w:rsidR="00722E5C" w:rsidRDefault="00722E5C" w:rsidP="00722E5C">
            <w:pPr>
              <w:widowControl w:val="0"/>
              <w:autoSpaceDE w:val="0"/>
              <w:autoSpaceDN w:val="0"/>
              <w:adjustRightInd w:val="0"/>
              <w:ind w:left="57"/>
              <w:rPr>
                <w:rFonts w:ascii="Helvetica" w:hAnsi="Helvetica" w:cs="Helvetica"/>
                <w:kern w:val="1"/>
              </w:rPr>
            </w:pPr>
            <w:r>
              <w:rPr>
                <w:sz w:val="20"/>
                <w:szCs w:val="20"/>
              </w:rPr>
              <w:t>Starbust Fruits</w:t>
            </w:r>
          </w:p>
        </w:tc>
        <w:tc>
          <w:tcPr>
            <w:tcW w:w="623" w:type="dxa"/>
            <w:tcBorders>
              <w:left w:val="nil"/>
              <w:bottom w:val="nil"/>
              <w:right w:val="nil"/>
            </w:tcBorders>
            <w:shd w:val="clear" w:color="auto" w:fill="auto"/>
            <w:vAlign w:val="bottom"/>
          </w:tcPr>
          <w:p w14:paraId="62F18B8D"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45</w:t>
            </w:r>
          </w:p>
        </w:tc>
        <w:tc>
          <w:tcPr>
            <w:tcW w:w="623" w:type="dxa"/>
            <w:tcBorders>
              <w:left w:val="nil"/>
              <w:bottom w:val="nil"/>
              <w:right w:val="nil"/>
            </w:tcBorders>
            <w:shd w:val="clear" w:color="auto" w:fill="auto"/>
            <w:vAlign w:val="bottom"/>
          </w:tcPr>
          <w:p w14:paraId="67837CAF"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16</w:t>
            </w:r>
          </w:p>
        </w:tc>
        <w:tc>
          <w:tcPr>
            <w:tcW w:w="681" w:type="dxa"/>
            <w:tcBorders>
              <w:left w:val="nil"/>
              <w:bottom w:val="nil"/>
              <w:right w:val="nil"/>
            </w:tcBorders>
            <w:shd w:val="clear" w:color="auto" w:fill="auto"/>
            <w:vAlign w:val="bottom"/>
          </w:tcPr>
          <w:p w14:paraId="3A5324F5"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13</w:t>
            </w:r>
          </w:p>
        </w:tc>
        <w:tc>
          <w:tcPr>
            <w:tcW w:w="566" w:type="dxa"/>
            <w:tcBorders>
              <w:left w:val="nil"/>
              <w:bottom w:val="nil"/>
              <w:right w:val="nil"/>
            </w:tcBorders>
            <w:shd w:val="clear" w:color="auto" w:fill="D9D9D9" w:themeFill="background1" w:themeFillShade="D9"/>
            <w:vAlign w:val="bottom"/>
          </w:tcPr>
          <w:p w14:paraId="22BDAD9D" w14:textId="77777777" w:rsidR="00722E5C" w:rsidRDefault="00722E5C" w:rsidP="00722E5C">
            <w:pPr>
              <w:widowControl w:val="0"/>
              <w:autoSpaceDE w:val="0"/>
              <w:autoSpaceDN w:val="0"/>
              <w:adjustRightInd w:val="0"/>
              <w:jc w:val="center"/>
              <w:rPr>
                <w:sz w:val="20"/>
                <w:szCs w:val="20"/>
              </w:rPr>
            </w:pPr>
            <w:r>
              <w:rPr>
                <w:sz w:val="20"/>
                <w:szCs w:val="20"/>
              </w:rPr>
              <w:t>56</w:t>
            </w:r>
          </w:p>
        </w:tc>
        <w:tc>
          <w:tcPr>
            <w:tcW w:w="623" w:type="dxa"/>
            <w:tcBorders>
              <w:left w:val="nil"/>
              <w:bottom w:val="nil"/>
              <w:right w:val="nil"/>
            </w:tcBorders>
            <w:shd w:val="clear" w:color="auto" w:fill="D9D9D9" w:themeFill="background1" w:themeFillShade="D9"/>
            <w:vAlign w:val="bottom"/>
          </w:tcPr>
          <w:p w14:paraId="61BA150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58</w:t>
            </w:r>
          </w:p>
        </w:tc>
        <w:tc>
          <w:tcPr>
            <w:tcW w:w="624" w:type="dxa"/>
            <w:gridSpan w:val="2"/>
            <w:tcBorders>
              <w:left w:val="nil"/>
              <w:bottom w:val="nil"/>
              <w:right w:val="nil"/>
            </w:tcBorders>
            <w:shd w:val="clear" w:color="auto" w:fill="D9D9D9" w:themeFill="background1" w:themeFillShade="D9"/>
            <w:vAlign w:val="bottom"/>
          </w:tcPr>
          <w:p w14:paraId="3AC4D7AD"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39</w:t>
            </w:r>
          </w:p>
        </w:tc>
        <w:tc>
          <w:tcPr>
            <w:tcW w:w="623" w:type="dxa"/>
            <w:tcBorders>
              <w:left w:val="nil"/>
              <w:bottom w:val="nil"/>
              <w:right w:val="nil"/>
            </w:tcBorders>
            <w:shd w:val="clear" w:color="auto" w:fill="auto"/>
            <w:vAlign w:val="bottom"/>
          </w:tcPr>
          <w:p w14:paraId="2C92DB8B"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18</w:t>
            </w:r>
          </w:p>
        </w:tc>
        <w:tc>
          <w:tcPr>
            <w:tcW w:w="624" w:type="dxa"/>
            <w:tcBorders>
              <w:left w:val="nil"/>
              <w:bottom w:val="nil"/>
              <w:right w:val="nil"/>
            </w:tcBorders>
            <w:shd w:val="clear" w:color="auto" w:fill="auto"/>
            <w:vAlign w:val="bottom"/>
          </w:tcPr>
          <w:p w14:paraId="18FD3937"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9</w:t>
            </w:r>
          </w:p>
        </w:tc>
        <w:tc>
          <w:tcPr>
            <w:tcW w:w="623" w:type="dxa"/>
            <w:tcBorders>
              <w:left w:val="nil"/>
              <w:bottom w:val="nil"/>
              <w:right w:val="nil"/>
            </w:tcBorders>
            <w:shd w:val="clear" w:color="auto" w:fill="auto"/>
            <w:vAlign w:val="bottom"/>
          </w:tcPr>
          <w:p w14:paraId="4588C507"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11</w:t>
            </w:r>
          </w:p>
        </w:tc>
        <w:tc>
          <w:tcPr>
            <w:tcW w:w="623" w:type="dxa"/>
            <w:tcBorders>
              <w:left w:val="nil"/>
              <w:bottom w:val="nil"/>
              <w:right w:val="nil"/>
            </w:tcBorders>
            <w:shd w:val="clear" w:color="auto" w:fill="D9D9D9" w:themeFill="background1" w:themeFillShade="D9"/>
            <w:vAlign w:val="bottom"/>
          </w:tcPr>
          <w:p w14:paraId="2AFB736A"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34</w:t>
            </w:r>
          </w:p>
        </w:tc>
        <w:tc>
          <w:tcPr>
            <w:tcW w:w="624" w:type="dxa"/>
            <w:tcBorders>
              <w:left w:val="nil"/>
              <w:bottom w:val="nil"/>
              <w:right w:val="nil"/>
            </w:tcBorders>
            <w:shd w:val="clear" w:color="auto" w:fill="D9D9D9" w:themeFill="background1" w:themeFillShade="D9"/>
            <w:vAlign w:val="bottom"/>
          </w:tcPr>
          <w:p w14:paraId="0B876322"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24</w:t>
            </w:r>
          </w:p>
        </w:tc>
        <w:tc>
          <w:tcPr>
            <w:tcW w:w="623" w:type="dxa"/>
            <w:tcBorders>
              <w:left w:val="nil"/>
              <w:bottom w:val="nil"/>
              <w:right w:val="nil"/>
            </w:tcBorders>
            <w:shd w:val="clear" w:color="auto" w:fill="D9D9D9" w:themeFill="background1" w:themeFillShade="D9"/>
            <w:vAlign w:val="bottom"/>
          </w:tcPr>
          <w:p w14:paraId="63F2B69D"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31</w:t>
            </w:r>
          </w:p>
        </w:tc>
        <w:tc>
          <w:tcPr>
            <w:tcW w:w="624" w:type="dxa"/>
            <w:tcBorders>
              <w:left w:val="nil"/>
              <w:bottom w:val="nil"/>
              <w:right w:val="nil"/>
            </w:tcBorders>
            <w:shd w:val="clear" w:color="auto" w:fill="D9D9D9" w:themeFill="background1" w:themeFillShade="D9"/>
            <w:vAlign w:val="bottom"/>
          </w:tcPr>
          <w:p w14:paraId="715485C4" w14:textId="77777777" w:rsidR="00722E5C" w:rsidRDefault="00722E5C" w:rsidP="00722E5C">
            <w:pPr>
              <w:widowControl w:val="0"/>
              <w:autoSpaceDE w:val="0"/>
              <w:autoSpaceDN w:val="0"/>
              <w:adjustRightInd w:val="0"/>
              <w:jc w:val="center"/>
              <w:rPr>
                <w:rFonts w:ascii="Helvetica" w:hAnsi="Helvetica" w:cs="Helvetica"/>
                <w:kern w:val="1"/>
              </w:rPr>
            </w:pPr>
            <w:r>
              <w:rPr>
                <w:sz w:val="20"/>
                <w:szCs w:val="20"/>
              </w:rPr>
              <w:t>-</w:t>
            </w:r>
          </w:p>
        </w:tc>
      </w:tr>
      <w:tr w:rsidR="00722E5C" w14:paraId="6CF81EB3" w14:textId="77777777" w:rsidTr="00AD5986">
        <w:trPr>
          <w:trHeight w:val="631"/>
          <w:jc w:val="center"/>
        </w:trPr>
        <w:tc>
          <w:tcPr>
            <w:tcW w:w="2182" w:type="dxa"/>
            <w:tcBorders>
              <w:top w:val="nil"/>
              <w:left w:val="nil"/>
              <w:bottom w:val="single" w:sz="4" w:space="0" w:color="auto"/>
              <w:right w:val="nil"/>
            </w:tcBorders>
            <w:vAlign w:val="center"/>
          </w:tcPr>
          <w:p w14:paraId="5D4598D7" w14:textId="77777777" w:rsidR="00722E5C" w:rsidRPr="007F7E89" w:rsidRDefault="00722E5C" w:rsidP="00722E5C">
            <w:pPr>
              <w:widowControl w:val="0"/>
              <w:autoSpaceDE w:val="0"/>
              <w:autoSpaceDN w:val="0"/>
              <w:adjustRightInd w:val="0"/>
              <w:ind w:left="57"/>
              <w:rPr>
                <w:rFonts w:ascii="Helvetica" w:hAnsi="Helvetica" w:cs="Helvetica"/>
                <w:b/>
                <w:kern w:val="1"/>
              </w:rPr>
            </w:pPr>
            <w:r w:rsidRPr="007F7E89">
              <w:rPr>
                <w:b/>
                <w:color w:val="000000"/>
                <w:sz w:val="20"/>
                <w:szCs w:val="20"/>
              </w:rPr>
              <w:t>Average Duplication</w:t>
            </w:r>
          </w:p>
        </w:tc>
        <w:tc>
          <w:tcPr>
            <w:tcW w:w="623" w:type="dxa"/>
            <w:tcBorders>
              <w:top w:val="nil"/>
              <w:left w:val="nil"/>
              <w:bottom w:val="single" w:sz="4" w:space="0" w:color="auto"/>
              <w:right w:val="nil"/>
            </w:tcBorders>
            <w:vAlign w:val="center"/>
          </w:tcPr>
          <w:p w14:paraId="5205485F"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47</w:t>
            </w:r>
          </w:p>
        </w:tc>
        <w:tc>
          <w:tcPr>
            <w:tcW w:w="623" w:type="dxa"/>
            <w:tcBorders>
              <w:top w:val="nil"/>
              <w:left w:val="nil"/>
              <w:bottom w:val="single" w:sz="4" w:space="0" w:color="auto"/>
              <w:right w:val="nil"/>
            </w:tcBorders>
            <w:vAlign w:val="center"/>
          </w:tcPr>
          <w:p w14:paraId="2FB63D4E"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17</w:t>
            </w:r>
          </w:p>
        </w:tc>
        <w:tc>
          <w:tcPr>
            <w:tcW w:w="681" w:type="dxa"/>
            <w:tcBorders>
              <w:top w:val="nil"/>
              <w:left w:val="nil"/>
              <w:bottom w:val="single" w:sz="4" w:space="0" w:color="auto"/>
              <w:right w:val="nil"/>
            </w:tcBorders>
            <w:vAlign w:val="center"/>
          </w:tcPr>
          <w:p w14:paraId="7D5A962D"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8</w:t>
            </w:r>
          </w:p>
        </w:tc>
        <w:tc>
          <w:tcPr>
            <w:tcW w:w="566" w:type="dxa"/>
            <w:tcBorders>
              <w:top w:val="nil"/>
              <w:left w:val="nil"/>
              <w:bottom w:val="single" w:sz="4" w:space="0" w:color="auto"/>
              <w:right w:val="nil"/>
            </w:tcBorders>
            <w:vAlign w:val="center"/>
          </w:tcPr>
          <w:p w14:paraId="17402912"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44</w:t>
            </w:r>
          </w:p>
        </w:tc>
        <w:tc>
          <w:tcPr>
            <w:tcW w:w="623" w:type="dxa"/>
            <w:tcBorders>
              <w:top w:val="nil"/>
              <w:left w:val="nil"/>
              <w:bottom w:val="single" w:sz="4" w:space="0" w:color="auto"/>
              <w:right w:val="nil"/>
            </w:tcBorders>
            <w:vAlign w:val="center"/>
          </w:tcPr>
          <w:p w14:paraId="13746099"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56</w:t>
            </w:r>
          </w:p>
        </w:tc>
        <w:tc>
          <w:tcPr>
            <w:tcW w:w="624" w:type="dxa"/>
            <w:gridSpan w:val="2"/>
            <w:tcBorders>
              <w:top w:val="nil"/>
              <w:left w:val="nil"/>
              <w:bottom w:val="single" w:sz="4" w:space="0" w:color="auto"/>
              <w:right w:val="nil"/>
            </w:tcBorders>
            <w:vAlign w:val="center"/>
          </w:tcPr>
          <w:p w14:paraId="72AA84E0"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32</w:t>
            </w:r>
          </w:p>
        </w:tc>
        <w:tc>
          <w:tcPr>
            <w:tcW w:w="623" w:type="dxa"/>
            <w:tcBorders>
              <w:top w:val="nil"/>
              <w:left w:val="nil"/>
              <w:bottom w:val="single" w:sz="4" w:space="0" w:color="auto"/>
              <w:right w:val="nil"/>
            </w:tcBorders>
            <w:vAlign w:val="center"/>
          </w:tcPr>
          <w:p w14:paraId="12B88787"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16</w:t>
            </w:r>
          </w:p>
        </w:tc>
        <w:tc>
          <w:tcPr>
            <w:tcW w:w="624" w:type="dxa"/>
            <w:tcBorders>
              <w:top w:val="nil"/>
              <w:left w:val="nil"/>
              <w:bottom w:val="single" w:sz="4" w:space="0" w:color="auto"/>
              <w:right w:val="nil"/>
            </w:tcBorders>
            <w:vAlign w:val="center"/>
          </w:tcPr>
          <w:p w14:paraId="4C340D26"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9</w:t>
            </w:r>
          </w:p>
        </w:tc>
        <w:tc>
          <w:tcPr>
            <w:tcW w:w="623" w:type="dxa"/>
            <w:tcBorders>
              <w:top w:val="nil"/>
              <w:left w:val="nil"/>
              <w:bottom w:val="single" w:sz="4" w:space="0" w:color="auto"/>
              <w:right w:val="nil"/>
            </w:tcBorders>
            <w:vAlign w:val="center"/>
          </w:tcPr>
          <w:p w14:paraId="03E9531C"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8</w:t>
            </w:r>
          </w:p>
        </w:tc>
        <w:tc>
          <w:tcPr>
            <w:tcW w:w="623" w:type="dxa"/>
            <w:tcBorders>
              <w:top w:val="nil"/>
              <w:left w:val="nil"/>
              <w:bottom w:val="single" w:sz="4" w:space="0" w:color="auto"/>
              <w:right w:val="nil"/>
            </w:tcBorders>
            <w:vAlign w:val="center"/>
          </w:tcPr>
          <w:p w14:paraId="292606A8"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21</w:t>
            </w:r>
          </w:p>
        </w:tc>
        <w:tc>
          <w:tcPr>
            <w:tcW w:w="624" w:type="dxa"/>
            <w:tcBorders>
              <w:top w:val="nil"/>
              <w:left w:val="nil"/>
              <w:bottom w:val="single" w:sz="4" w:space="0" w:color="auto"/>
              <w:right w:val="nil"/>
            </w:tcBorders>
            <w:vAlign w:val="center"/>
          </w:tcPr>
          <w:p w14:paraId="32DA1853"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20</w:t>
            </w:r>
          </w:p>
        </w:tc>
        <w:tc>
          <w:tcPr>
            <w:tcW w:w="623" w:type="dxa"/>
            <w:tcBorders>
              <w:top w:val="nil"/>
              <w:left w:val="nil"/>
              <w:bottom w:val="single" w:sz="4" w:space="0" w:color="auto"/>
              <w:right w:val="nil"/>
            </w:tcBorders>
            <w:vAlign w:val="center"/>
          </w:tcPr>
          <w:p w14:paraId="73E3F1F4"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20</w:t>
            </w:r>
          </w:p>
        </w:tc>
        <w:tc>
          <w:tcPr>
            <w:tcW w:w="624" w:type="dxa"/>
            <w:tcBorders>
              <w:top w:val="nil"/>
              <w:left w:val="nil"/>
              <w:bottom w:val="single" w:sz="4" w:space="0" w:color="auto"/>
              <w:right w:val="nil"/>
            </w:tcBorders>
            <w:vAlign w:val="center"/>
          </w:tcPr>
          <w:p w14:paraId="0AC61AA0" w14:textId="77777777" w:rsidR="00722E5C" w:rsidRPr="007F7E89" w:rsidRDefault="00722E5C" w:rsidP="00722E5C">
            <w:pPr>
              <w:widowControl w:val="0"/>
              <w:autoSpaceDE w:val="0"/>
              <w:autoSpaceDN w:val="0"/>
              <w:adjustRightInd w:val="0"/>
              <w:jc w:val="center"/>
              <w:rPr>
                <w:b/>
                <w:sz w:val="20"/>
                <w:szCs w:val="20"/>
              </w:rPr>
            </w:pPr>
            <w:r w:rsidRPr="007F7E89">
              <w:rPr>
                <w:b/>
                <w:sz w:val="20"/>
                <w:szCs w:val="20"/>
              </w:rPr>
              <w:t>24</w:t>
            </w:r>
          </w:p>
        </w:tc>
      </w:tr>
    </w:tbl>
    <w:p w14:paraId="05BEAA2C" w14:textId="77777777" w:rsidR="00722E5C" w:rsidRPr="00491D4A" w:rsidRDefault="00722E5C" w:rsidP="00722E5C">
      <w:pPr>
        <w:spacing w:before="120"/>
        <w:jc w:val="center"/>
        <w:rPr>
          <w:rFonts w:cs="Arial"/>
          <w:sz w:val="18"/>
          <w:szCs w:val="18"/>
        </w:rPr>
      </w:pPr>
      <w:r w:rsidRPr="00491D4A">
        <w:rPr>
          <w:rFonts w:cs="Arial"/>
          <w:i/>
          <w:sz w:val="18"/>
          <w:szCs w:val="18"/>
        </w:rPr>
        <w:t>Kantar Worldpanel: 52 weeks to Jan 2005.</w:t>
      </w:r>
      <w:r>
        <w:rPr>
          <w:rFonts w:cs="Arial"/>
          <w:i/>
          <w:sz w:val="18"/>
          <w:szCs w:val="18"/>
        </w:rPr>
        <w:t xml:space="preserve"> </w:t>
      </w:r>
    </w:p>
    <w:p w14:paraId="7E93183F" w14:textId="77777777" w:rsidR="00722E5C" w:rsidRDefault="00722E5C" w:rsidP="00722E5C">
      <w:pPr>
        <w:jc w:val="center"/>
        <w:rPr>
          <w:rFonts w:cs="Arial"/>
        </w:rPr>
      </w:pPr>
    </w:p>
    <w:p w14:paraId="1D884987" w14:textId="77777777" w:rsidR="002565FA" w:rsidRDefault="002565FA" w:rsidP="00722E5C">
      <w:pPr>
        <w:jc w:val="center"/>
        <w:rPr>
          <w:rFonts w:cs="Arial"/>
        </w:rPr>
      </w:pPr>
    </w:p>
    <w:p w14:paraId="747D27C7" w14:textId="18B4803D" w:rsidR="002565FA" w:rsidRDefault="00500927" w:rsidP="00AD5986">
      <w:pPr>
        <w:rPr>
          <w:rFonts w:cs="Arial"/>
        </w:rPr>
      </w:pPr>
      <w:r w:rsidRPr="005166FA">
        <w:rPr>
          <w:b/>
          <w:bCs/>
          <w:color w:val="000000"/>
        </w:rPr>
        <w:t xml:space="preserve"> </w:t>
      </w:r>
      <w:r w:rsidRPr="005166FA">
        <w:rPr>
          <w:color w:val="000000"/>
        </w:rPr>
        <w:t xml:space="preserve"> </w:t>
      </w:r>
    </w:p>
    <w:p w14:paraId="3E70BFDF" w14:textId="239671D5" w:rsidR="00BA0AF2" w:rsidRPr="00BA0AF2" w:rsidRDefault="002565FA" w:rsidP="00BA0AF2">
      <w:pPr>
        <w:jc w:val="center"/>
        <w:rPr>
          <w:b/>
          <w:sz w:val="20"/>
          <w:szCs w:val="20"/>
          <w:u w:val="single"/>
        </w:rPr>
      </w:pPr>
      <w:r w:rsidRPr="00536BA7">
        <w:rPr>
          <w:b/>
          <w:sz w:val="20"/>
          <w:szCs w:val="20"/>
          <w:u w:val="single"/>
        </w:rPr>
        <w:t xml:space="preserve">Table 12 </w:t>
      </w:r>
      <w:r w:rsidR="00BA0AF2">
        <w:rPr>
          <w:rStyle w:val="apple-converted-space"/>
          <w:rFonts w:ascii="Arial" w:hAnsi="Arial" w:cs="Arial"/>
          <w:color w:val="000000"/>
        </w:rPr>
        <w:t> </w:t>
      </w:r>
      <w:r w:rsidR="00BA0AF2" w:rsidRPr="00BA0AF2">
        <w:rPr>
          <w:b/>
          <w:sz w:val="20"/>
          <w:szCs w:val="20"/>
          <w:u w:val="single"/>
        </w:rPr>
        <w:t>Nine Dirichlet Deviations. Type, incidence, derivation and managerial implications</w:t>
      </w:r>
    </w:p>
    <w:p w14:paraId="2DEA7FBA" w14:textId="1B30BC88" w:rsidR="002565FA" w:rsidRDefault="002565FA" w:rsidP="00DD6264">
      <w:pPr>
        <w:jc w:val="center"/>
        <w:rPr>
          <w:b/>
          <w:sz w:val="20"/>
          <w:szCs w:val="20"/>
          <w:u w:val="single"/>
        </w:rPr>
      </w:pPr>
    </w:p>
    <w:p w14:paraId="1832CD47" w14:textId="77777777" w:rsidR="002565FA" w:rsidRPr="00536BA7" w:rsidRDefault="002565FA" w:rsidP="002565FA">
      <w:pPr>
        <w:jc w:val="center"/>
        <w:rPr>
          <w:b/>
          <w:sz w:val="20"/>
          <w:szCs w:val="20"/>
          <w:u w:val="single"/>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843"/>
        <w:gridCol w:w="3686"/>
        <w:gridCol w:w="1275"/>
        <w:gridCol w:w="2268"/>
        <w:gridCol w:w="2535"/>
        <w:gridCol w:w="2441"/>
      </w:tblGrid>
      <w:tr w:rsidR="002565FA" w14:paraId="0346352F" w14:textId="77777777" w:rsidTr="003E79CE">
        <w:tc>
          <w:tcPr>
            <w:tcW w:w="1951" w:type="dxa"/>
            <w:gridSpan w:val="2"/>
            <w:tcBorders>
              <w:top w:val="single" w:sz="4" w:space="0" w:color="auto"/>
              <w:bottom w:val="single" w:sz="4" w:space="0" w:color="auto"/>
            </w:tcBorders>
          </w:tcPr>
          <w:p w14:paraId="6FF9D3F0" w14:textId="77777777" w:rsidR="002565FA" w:rsidRPr="00FA711C" w:rsidRDefault="002565FA" w:rsidP="003E79CE">
            <w:pPr>
              <w:rPr>
                <w:b/>
                <w:sz w:val="20"/>
                <w:szCs w:val="20"/>
              </w:rPr>
            </w:pPr>
            <w:r w:rsidRPr="00FA711C">
              <w:rPr>
                <w:b/>
                <w:sz w:val="20"/>
                <w:szCs w:val="20"/>
              </w:rPr>
              <w:t>Deviation</w:t>
            </w:r>
          </w:p>
          <w:p w14:paraId="5E449266" w14:textId="77777777" w:rsidR="002565FA" w:rsidRPr="00FA711C" w:rsidRDefault="002565FA" w:rsidP="003E79CE">
            <w:pPr>
              <w:rPr>
                <w:b/>
                <w:sz w:val="20"/>
                <w:szCs w:val="20"/>
              </w:rPr>
            </w:pPr>
          </w:p>
        </w:tc>
        <w:tc>
          <w:tcPr>
            <w:tcW w:w="3686" w:type="dxa"/>
            <w:tcBorders>
              <w:top w:val="single" w:sz="4" w:space="0" w:color="auto"/>
              <w:bottom w:val="single" w:sz="4" w:space="0" w:color="auto"/>
            </w:tcBorders>
          </w:tcPr>
          <w:p w14:paraId="07B148C5" w14:textId="77777777" w:rsidR="002565FA" w:rsidRPr="00FA711C" w:rsidRDefault="002565FA" w:rsidP="003E79CE">
            <w:pPr>
              <w:rPr>
                <w:b/>
                <w:sz w:val="20"/>
                <w:szCs w:val="20"/>
              </w:rPr>
            </w:pPr>
            <w:r w:rsidRPr="00FA711C">
              <w:rPr>
                <w:b/>
                <w:sz w:val="20"/>
                <w:szCs w:val="20"/>
              </w:rPr>
              <w:t>Identified in:</w:t>
            </w:r>
          </w:p>
        </w:tc>
        <w:tc>
          <w:tcPr>
            <w:tcW w:w="1275" w:type="dxa"/>
            <w:tcBorders>
              <w:top w:val="single" w:sz="4" w:space="0" w:color="auto"/>
              <w:bottom w:val="single" w:sz="4" w:space="0" w:color="auto"/>
            </w:tcBorders>
          </w:tcPr>
          <w:p w14:paraId="37416EC1" w14:textId="77777777" w:rsidR="002565FA" w:rsidRDefault="002565FA" w:rsidP="003E79CE">
            <w:pPr>
              <w:rPr>
                <w:b/>
                <w:sz w:val="20"/>
                <w:szCs w:val="20"/>
              </w:rPr>
            </w:pPr>
            <w:r>
              <w:rPr>
                <w:b/>
                <w:sz w:val="20"/>
                <w:szCs w:val="20"/>
              </w:rPr>
              <w:t>Assum-</w:t>
            </w:r>
          </w:p>
          <w:p w14:paraId="6442BD00" w14:textId="77777777" w:rsidR="002565FA" w:rsidRPr="00FA711C" w:rsidRDefault="002565FA" w:rsidP="003E79CE">
            <w:pPr>
              <w:rPr>
                <w:b/>
                <w:sz w:val="20"/>
                <w:szCs w:val="20"/>
              </w:rPr>
            </w:pPr>
            <w:r>
              <w:rPr>
                <w:b/>
                <w:sz w:val="20"/>
                <w:szCs w:val="20"/>
              </w:rPr>
              <w:t>ptions</w:t>
            </w:r>
            <w:r w:rsidRPr="00FA711C">
              <w:rPr>
                <w:b/>
                <w:sz w:val="20"/>
                <w:szCs w:val="20"/>
              </w:rPr>
              <w:t xml:space="preserve"> breached</w:t>
            </w:r>
          </w:p>
        </w:tc>
        <w:tc>
          <w:tcPr>
            <w:tcW w:w="2268" w:type="dxa"/>
            <w:tcBorders>
              <w:top w:val="single" w:sz="4" w:space="0" w:color="auto"/>
              <w:bottom w:val="single" w:sz="4" w:space="0" w:color="auto"/>
            </w:tcBorders>
          </w:tcPr>
          <w:p w14:paraId="6F598F80" w14:textId="77777777" w:rsidR="002565FA" w:rsidRPr="00FA711C" w:rsidRDefault="002565FA" w:rsidP="003E79CE">
            <w:pPr>
              <w:rPr>
                <w:b/>
                <w:sz w:val="20"/>
                <w:szCs w:val="20"/>
              </w:rPr>
            </w:pPr>
            <w:r>
              <w:rPr>
                <w:b/>
                <w:sz w:val="20"/>
                <w:szCs w:val="20"/>
              </w:rPr>
              <w:t xml:space="preserve">Incidence </w:t>
            </w:r>
          </w:p>
        </w:tc>
        <w:tc>
          <w:tcPr>
            <w:tcW w:w="2535" w:type="dxa"/>
            <w:tcBorders>
              <w:top w:val="single" w:sz="4" w:space="0" w:color="auto"/>
              <w:bottom w:val="single" w:sz="4" w:space="0" w:color="auto"/>
            </w:tcBorders>
          </w:tcPr>
          <w:p w14:paraId="59E30DEC" w14:textId="77777777" w:rsidR="002565FA" w:rsidRDefault="002565FA" w:rsidP="003E79CE">
            <w:pPr>
              <w:rPr>
                <w:b/>
                <w:sz w:val="20"/>
                <w:szCs w:val="20"/>
              </w:rPr>
            </w:pPr>
            <w:r>
              <w:rPr>
                <w:b/>
                <w:sz w:val="20"/>
                <w:szCs w:val="20"/>
              </w:rPr>
              <w:t xml:space="preserve">Suggested </w:t>
            </w:r>
          </w:p>
          <w:p w14:paraId="7699EA47" w14:textId="77777777" w:rsidR="002565FA" w:rsidRPr="00FA711C" w:rsidRDefault="002565FA" w:rsidP="003E79CE">
            <w:pPr>
              <w:rPr>
                <w:b/>
                <w:sz w:val="20"/>
                <w:szCs w:val="20"/>
              </w:rPr>
            </w:pPr>
            <w:r>
              <w:rPr>
                <w:b/>
                <w:sz w:val="20"/>
                <w:szCs w:val="20"/>
              </w:rPr>
              <w:t>cause</w:t>
            </w:r>
          </w:p>
        </w:tc>
        <w:tc>
          <w:tcPr>
            <w:tcW w:w="2441" w:type="dxa"/>
            <w:tcBorders>
              <w:top w:val="single" w:sz="4" w:space="0" w:color="auto"/>
              <w:bottom w:val="single" w:sz="4" w:space="0" w:color="auto"/>
            </w:tcBorders>
          </w:tcPr>
          <w:p w14:paraId="09BD93F1" w14:textId="77777777" w:rsidR="002565FA" w:rsidRDefault="002565FA" w:rsidP="003E79CE">
            <w:pPr>
              <w:rPr>
                <w:b/>
                <w:sz w:val="20"/>
                <w:szCs w:val="20"/>
              </w:rPr>
            </w:pPr>
            <w:r w:rsidRPr="00FA711C">
              <w:rPr>
                <w:b/>
                <w:sz w:val="20"/>
                <w:szCs w:val="20"/>
              </w:rPr>
              <w:t xml:space="preserve">Managerial </w:t>
            </w:r>
          </w:p>
          <w:p w14:paraId="48E138A0" w14:textId="77777777" w:rsidR="002565FA" w:rsidRPr="00FA711C" w:rsidRDefault="002565FA" w:rsidP="003E79CE">
            <w:pPr>
              <w:rPr>
                <w:b/>
                <w:sz w:val="20"/>
                <w:szCs w:val="20"/>
              </w:rPr>
            </w:pPr>
            <w:r w:rsidRPr="00FA711C">
              <w:rPr>
                <w:b/>
                <w:sz w:val="20"/>
                <w:szCs w:val="20"/>
              </w:rPr>
              <w:t>Implications</w:t>
            </w:r>
          </w:p>
        </w:tc>
      </w:tr>
      <w:tr w:rsidR="002565FA" w14:paraId="1F24AF5F" w14:textId="77777777" w:rsidTr="003E79CE">
        <w:tc>
          <w:tcPr>
            <w:tcW w:w="14156" w:type="dxa"/>
            <w:gridSpan w:val="7"/>
            <w:tcBorders>
              <w:top w:val="single" w:sz="4" w:space="0" w:color="auto"/>
              <w:bottom w:val="nil"/>
            </w:tcBorders>
          </w:tcPr>
          <w:p w14:paraId="3773047F" w14:textId="77777777" w:rsidR="002565FA" w:rsidRDefault="002565FA" w:rsidP="003E79CE">
            <w:pPr>
              <w:rPr>
                <w:b/>
                <w:sz w:val="20"/>
                <w:szCs w:val="20"/>
                <w:u w:val="single"/>
              </w:rPr>
            </w:pPr>
            <w:r w:rsidRPr="00FA54BE">
              <w:rPr>
                <w:b/>
                <w:sz w:val="20"/>
                <w:szCs w:val="20"/>
                <w:u w:val="single"/>
              </w:rPr>
              <w:t>Double Jeopardy Dirichlet Deviations</w:t>
            </w:r>
          </w:p>
          <w:p w14:paraId="52804D5C" w14:textId="77777777" w:rsidR="002565FA" w:rsidRPr="00FA54BE" w:rsidRDefault="002565FA" w:rsidP="003E79CE">
            <w:pPr>
              <w:rPr>
                <w:b/>
                <w:sz w:val="20"/>
                <w:szCs w:val="20"/>
                <w:u w:val="single"/>
              </w:rPr>
            </w:pPr>
          </w:p>
        </w:tc>
      </w:tr>
      <w:tr w:rsidR="002565FA" w14:paraId="4AA19A60" w14:textId="77777777" w:rsidTr="003E79CE">
        <w:trPr>
          <w:gridBefore w:val="1"/>
          <w:wBefore w:w="108" w:type="dxa"/>
        </w:trPr>
        <w:tc>
          <w:tcPr>
            <w:tcW w:w="1843" w:type="dxa"/>
            <w:tcBorders>
              <w:top w:val="nil"/>
              <w:bottom w:val="nil"/>
            </w:tcBorders>
          </w:tcPr>
          <w:p w14:paraId="5D688708" w14:textId="77777777" w:rsidR="002565FA" w:rsidRDefault="002565FA" w:rsidP="003E79CE">
            <w:pPr>
              <w:rPr>
                <w:sz w:val="20"/>
                <w:szCs w:val="20"/>
              </w:rPr>
            </w:pPr>
            <w:r>
              <w:rPr>
                <w:sz w:val="20"/>
                <w:szCs w:val="20"/>
              </w:rPr>
              <w:t>Excess loyalty for high share brands</w:t>
            </w:r>
          </w:p>
          <w:p w14:paraId="0E112E9A" w14:textId="2B53A5FA" w:rsidR="002565FA" w:rsidRPr="00071B92" w:rsidRDefault="002565FA" w:rsidP="003E79CE">
            <w:pPr>
              <w:rPr>
                <w:sz w:val="20"/>
                <w:szCs w:val="20"/>
              </w:rPr>
            </w:pPr>
            <w:r>
              <w:rPr>
                <w:sz w:val="20"/>
                <w:szCs w:val="20"/>
              </w:rPr>
              <w:t>(Table 4</w:t>
            </w:r>
            <w:r w:rsidR="004661A8">
              <w:rPr>
                <w:sz w:val="20"/>
                <w:szCs w:val="20"/>
              </w:rPr>
              <w:t xml:space="preserve"> and 5</w:t>
            </w:r>
            <w:r>
              <w:rPr>
                <w:sz w:val="20"/>
                <w:szCs w:val="20"/>
              </w:rPr>
              <w:t>)</w:t>
            </w:r>
          </w:p>
        </w:tc>
        <w:tc>
          <w:tcPr>
            <w:tcW w:w="3686" w:type="dxa"/>
            <w:tcBorders>
              <w:top w:val="nil"/>
              <w:bottom w:val="nil"/>
            </w:tcBorders>
          </w:tcPr>
          <w:p w14:paraId="4435849D" w14:textId="77777777" w:rsidR="002565FA" w:rsidRDefault="002565FA" w:rsidP="003E79CE">
            <w:pPr>
              <w:rPr>
                <w:sz w:val="20"/>
                <w:szCs w:val="20"/>
              </w:rPr>
            </w:pPr>
            <w:r>
              <w:rPr>
                <w:sz w:val="20"/>
                <w:szCs w:val="20"/>
              </w:rPr>
              <w:t>Fader &amp; Schmittlein, (1993)</w:t>
            </w:r>
          </w:p>
          <w:p w14:paraId="542D5D7D" w14:textId="77777777" w:rsidR="002565FA" w:rsidRDefault="002565FA" w:rsidP="003E79CE">
            <w:pPr>
              <w:rPr>
                <w:sz w:val="20"/>
                <w:szCs w:val="20"/>
              </w:rPr>
            </w:pPr>
            <w:r w:rsidRPr="00174AF5">
              <w:rPr>
                <w:sz w:val="20"/>
                <w:szCs w:val="20"/>
              </w:rPr>
              <w:t>Jung, Gruca, &amp; Rego, (2010)</w:t>
            </w:r>
          </w:p>
          <w:p w14:paraId="6B68782C" w14:textId="77777777" w:rsidR="002565FA" w:rsidRDefault="002565FA" w:rsidP="003E79CE">
            <w:pPr>
              <w:rPr>
                <w:sz w:val="20"/>
                <w:szCs w:val="20"/>
              </w:rPr>
            </w:pPr>
            <w:r w:rsidRPr="00174AF5">
              <w:rPr>
                <w:sz w:val="20"/>
                <w:szCs w:val="20"/>
              </w:rPr>
              <w:t>Li, Habel &amp; Rungie (2006)</w:t>
            </w:r>
          </w:p>
          <w:p w14:paraId="21D7222D" w14:textId="77777777" w:rsidR="002565FA" w:rsidRPr="00071B92" w:rsidRDefault="002565FA" w:rsidP="003E79CE">
            <w:pPr>
              <w:rPr>
                <w:sz w:val="20"/>
                <w:szCs w:val="20"/>
              </w:rPr>
            </w:pPr>
            <w:r>
              <w:rPr>
                <w:sz w:val="20"/>
                <w:szCs w:val="20"/>
              </w:rPr>
              <w:t>Pare &amp; Dawes, (2012)</w:t>
            </w:r>
          </w:p>
        </w:tc>
        <w:tc>
          <w:tcPr>
            <w:tcW w:w="1275" w:type="dxa"/>
            <w:tcBorders>
              <w:top w:val="nil"/>
              <w:bottom w:val="nil"/>
            </w:tcBorders>
          </w:tcPr>
          <w:p w14:paraId="5546EB4B" w14:textId="77777777" w:rsidR="002565FA" w:rsidRPr="00071B92" w:rsidRDefault="002565FA" w:rsidP="003E79CE">
            <w:pPr>
              <w:rPr>
                <w:sz w:val="20"/>
                <w:szCs w:val="20"/>
              </w:rPr>
            </w:pPr>
            <w:r>
              <w:rPr>
                <w:sz w:val="20"/>
                <w:szCs w:val="20"/>
              </w:rPr>
              <w:t>3 and 4</w:t>
            </w:r>
          </w:p>
        </w:tc>
        <w:tc>
          <w:tcPr>
            <w:tcW w:w="2268" w:type="dxa"/>
            <w:tcBorders>
              <w:top w:val="nil"/>
              <w:bottom w:val="nil"/>
            </w:tcBorders>
          </w:tcPr>
          <w:p w14:paraId="1CBD7903" w14:textId="77777777" w:rsidR="002565FA" w:rsidRDefault="002565FA" w:rsidP="003E79CE">
            <w:pPr>
              <w:rPr>
                <w:sz w:val="20"/>
                <w:szCs w:val="20"/>
              </w:rPr>
            </w:pPr>
            <w:r>
              <w:rPr>
                <w:sz w:val="20"/>
                <w:szCs w:val="20"/>
              </w:rPr>
              <w:t>Prior Incidence: 50-75%</w:t>
            </w:r>
          </w:p>
          <w:p w14:paraId="2BD8169F" w14:textId="5C5D81DC" w:rsidR="002565FA" w:rsidRDefault="002565FA" w:rsidP="003E79CE">
            <w:pPr>
              <w:rPr>
                <w:sz w:val="20"/>
                <w:szCs w:val="20"/>
              </w:rPr>
            </w:pPr>
            <w:r>
              <w:rPr>
                <w:sz w:val="20"/>
                <w:szCs w:val="20"/>
              </w:rPr>
              <w:t>This replication: 7</w:t>
            </w:r>
            <w:r w:rsidR="009E5861">
              <w:rPr>
                <w:sz w:val="20"/>
                <w:szCs w:val="20"/>
              </w:rPr>
              <w:t>0</w:t>
            </w:r>
            <w:r>
              <w:rPr>
                <w:sz w:val="20"/>
                <w:szCs w:val="20"/>
              </w:rPr>
              <w:t>%</w:t>
            </w:r>
          </w:p>
          <w:p w14:paraId="1BE8A3E3" w14:textId="4A443DAA" w:rsidR="002565FA" w:rsidRPr="00071B92" w:rsidRDefault="002565FA" w:rsidP="003E79CE">
            <w:pPr>
              <w:rPr>
                <w:sz w:val="20"/>
                <w:szCs w:val="20"/>
              </w:rPr>
            </w:pPr>
            <w:r>
              <w:rPr>
                <w:sz w:val="20"/>
                <w:szCs w:val="20"/>
              </w:rPr>
              <w:t>Mean deviation = 1</w:t>
            </w:r>
            <w:r w:rsidR="00A24D10">
              <w:rPr>
                <w:sz w:val="20"/>
                <w:szCs w:val="20"/>
              </w:rPr>
              <w:t>0</w:t>
            </w:r>
            <w:r>
              <w:rPr>
                <w:sz w:val="20"/>
                <w:szCs w:val="20"/>
              </w:rPr>
              <w:t>%</w:t>
            </w:r>
          </w:p>
        </w:tc>
        <w:tc>
          <w:tcPr>
            <w:tcW w:w="2535" w:type="dxa"/>
            <w:tcBorders>
              <w:top w:val="nil"/>
              <w:bottom w:val="nil"/>
            </w:tcBorders>
          </w:tcPr>
          <w:p w14:paraId="46E3F1F0" w14:textId="77777777" w:rsidR="002565FA" w:rsidRDefault="002565FA" w:rsidP="003E79CE">
            <w:pPr>
              <w:rPr>
                <w:sz w:val="20"/>
                <w:szCs w:val="20"/>
              </w:rPr>
            </w:pPr>
            <w:r>
              <w:rPr>
                <w:sz w:val="20"/>
                <w:szCs w:val="20"/>
              </w:rPr>
              <w:t>Not linked to “mental” share</w:t>
            </w:r>
          </w:p>
          <w:p w14:paraId="31C5600D" w14:textId="77777777" w:rsidR="002565FA" w:rsidRDefault="002565FA" w:rsidP="003E79CE">
            <w:pPr>
              <w:rPr>
                <w:sz w:val="20"/>
                <w:szCs w:val="20"/>
              </w:rPr>
            </w:pPr>
            <w:r>
              <w:rPr>
                <w:sz w:val="20"/>
                <w:szCs w:val="20"/>
              </w:rPr>
              <w:t>- Limitations of the NBD</w:t>
            </w:r>
          </w:p>
          <w:p w14:paraId="7C02A0B8" w14:textId="77777777" w:rsidR="002565FA" w:rsidRDefault="002565FA" w:rsidP="003E79CE">
            <w:pPr>
              <w:rPr>
                <w:sz w:val="20"/>
                <w:szCs w:val="20"/>
              </w:rPr>
            </w:pPr>
            <w:r>
              <w:rPr>
                <w:sz w:val="20"/>
                <w:szCs w:val="20"/>
              </w:rPr>
              <w:t>- Distribution anomalies</w:t>
            </w:r>
          </w:p>
          <w:p w14:paraId="0BDCB66C" w14:textId="77777777" w:rsidR="002565FA" w:rsidRPr="00071B92" w:rsidRDefault="002565FA" w:rsidP="003E79CE">
            <w:pPr>
              <w:rPr>
                <w:sz w:val="20"/>
                <w:szCs w:val="20"/>
              </w:rPr>
            </w:pPr>
            <w:r>
              <w:rPr>
                <w:sz w:val="20"/>
                <w:szCs w:val="20"/>
              </w:rPr>
              <w:t>- “Lack” of light buyers.</w:t>
            </w:r>
          </w:p>
        </w:tc>
        <w:tc>
          <w:tcPr>
            <w:tcW w:w="2441" w:type="dxa"/>
            <w:tcBorders>
              <w:top w:val="nil"/>
              <w:bottom w:val="nil"/>
            </w:tcBorders>
          </w:tcPr>
          <w:p w14:paraId="2D4EFF37" w14:textId="77777777" w:rsidR="002565FA" w:rsidRPr="00071B92" w:rsidRDefault="002565FA" w:rsidP="003E79CE">
            <w:pPr>
              <w:rPr>
                <w:sz w:val="20"/>
                <w:szCs w:val="20"/>
              </w:rPr>
            </w:pPr>
            <w:r>
              <w:rPr>
                <w:sz w:val="20"/>
                <w:szCs w:val="20"/>
              </w:rPr>
              <w:t xml:space="preserve">Target the market - even leading brands continue to build penetration of very light buyers over time. </w:t>
            </w:r>
          </w:p>
        </w:tc>
      </w:tr>
      <w:tr w:rsidR="002565FA" w14:paraId="41029AB3" w14:textId="77777777" w:rsidTr="003E79CE">
        <w:trPr>
          <w:gridBefore w:val="1"/>
          <w:wBefore w:w="108" w:type="dxa"/>
        </w:trPr>
        <w:tc>
          <w:tcPr>
            <w:tcW w:w="1843" w:type="dxa"/>
            <w:tcBorders>
              <w:top w:val="nil"/>
              <w:bottom w:val="nil"/>
            </w:tcBorders>
          </w:tcPr>
          <w:p w14:paraId="34AC33F6" w14:textId="77777777" w:rsidR="002565FA" w:rsidRDefault="002565FA" w:rsidP="003E79CE">
            <w:pPr>
              <w:rPr>
                <w:sz w:val="20"/>
                <w:szCs w:val="20"/>
              </w:rPr>
            </w:pPr>
            <w:r>
              <w:rPr>
                <w:sz w:val="20"/>
                <w:szCs w:val="20"/>
              </w:rPr>
              <w:t>Niching performance</w:t>
            </w:r>
          </w:p>
          <w:p w14:paraId="4D522B19" w14:textId="7DE2D9B7" w:rsidR="002565FA" w:rsidRPr="00071B92" w:rsidRDefault="002565FA" w:rsidP="003E79CE">
            <w:pPr>
              <w:rPr>
                <w:sz w:val="20"/>
                <w:szCs w:val="20"/>
              </w:rPr>
            </w:pPr>
            <w:r>
              <w:rPr>
                <w:sz w:val="20"/>
                <w:szCs w:val="20"/>
              </w:rPr>
              <w:t xml:space="preserve">(Table </w:t>
            </w:r>
            <w:r w:rsidR="004661A8">
              <w:rPr>
                <w:sz w:val="20"/>
                <w:szCs w:val="20"/>
              </w:rPr>
              <w:t>6 and 7)</w:t>
            </w:r>
          </w:p>
        </w:tc>
        <w:tc>
          <w:tcPr>
            <w:tcW w:w="3686" w:type="dxa"/>
            <w:tcBorders>
              <w:top w:val="nil"/>
              <w:bottom w:val="nil"/>
            </w:tcBorders>
          </w:tcPr>
          <w:p w14:paraId="644C49E7" w14:textId="77777777" w:rsidR="002565FA" w:rsidRDefault="002565FA" w:rsidP="003E79CE">
            <w:pPr>
              <w:rPr>
                <w:sz w:val="20"/>
                <w:szCs w:val="20"/>
              </w:rPr>
            </w:pPr>
            <w:r w:rsidRPr="00051DAE">
              <w:rPr>
                <w:sz w:val="20"/>
                <w:szCs w:val="20"/>
              </w:rPr>
              <w:t>Bhattacharya, (1997)</w:t>
            </w:r>
          </w:p>
          <w:p w14:paraId="5DBC0B5E" w14:textId="77777777" w:rsidR="002565FA" w:rsidRDefault="002565FA" w:rsidP="003E79CE">
            <w:pPr>
              <w:rPr>
                <w:sz w:val="20"/>
                <w:szCs w:val="20"/>
              </w:rPr>
            </w:pPr>
            <w:r w:rsidRPr="003D2E9C">
              <w:rPr>
                <w:sz w:val="20"/>
                <w:szCs w:val="20"/>
              </w:rPr>
              <w:t xml:space="preserve">Dawes, Nenycz-Thiel, (2013). </w:t>
            </w:r>
          </w:p>
          <w:p w14:paraId="120CF6EF" w14:textId="77777777" w:rsidR="002565FA" w:rsidRPr="00051DAE" w:rsidRDefault="002565FA" w:rsidP="003E79CE">
            <w:pPr>
              <w:rPr>
                <w:sz w:val="20"/>
                <w:szCs w:val="20"/>
              </w:rPr>
            </w:pPr>
            <w:r w:rsidRPr="003D2E9C">
              <w:rPr>
                <w:sz w:val="20"/>
                <w:szCs w:val="20"/>
              </w:rPr>
              <w:t xml:space="preserve">Kahn, </w:t>
            </w:r>
            <w:r>
              <w:rPr>
                <w:sz w:val="20"/>
                <w:szCs w:val="20"/>
              </w:rPr>
              <w:t>Kalwani &amp;</w:t>
            </w:r>
            <w:r w:rsidRPr="003D2E9C">
              <w:rPr>
                <w:sz w:val="20"/>
                <w:szCs w:val="20"/>
              </w:rPr>
              <w:t xml:space="preserve"> Morrison (1988) </w:t>
            </w:r>
            <w:r w:rsidRPr="00051DAE">
              <w:rPr>
                <w:sz w:val="20"/>
                <w:szCs w:val="20"/>
              </w:rPr>
              <w:t xml:space="preserve"> </w:t>
            </w:r>
          </w:p>
          <w:p w14:paraId="1669E3E0" w14:textId="77777777" w:rsidR="002565FA" w:rsidRPr="00071B92" w:rsidRDefault="002565FA" w:rsidP="003E79CE">
            <w:pPr>
              <w:rPr>
                <w:sz w:val="20"/>
                <w:szCs w:val="20"/>
              </w:rPr>
            </w:pPr>
            <w:r>
              <w:rPr>
                <w:sz w:val="20"/>
                <w:szCs w:val="20"/>
              </w:rPr>
              <w:t>Uncles &amp; Ellis, (1989)</w:t>
            </w:r>
          </w:p>
        </w:tc>
        <w:tc>
          <w:tcPr>
            <w:tcW w:w="1275" w:type="dxa"/>
            <w:tcBorders>
              <w:top w:val="nil"/>
              <w:bottom w:val="nil"/>
            </w:tcBorders>
          </w:tcPr>
          <w:p w14:paraId="7757D2ED" w14:textId="77777777" w:rsidR="002565FA" w:rsidRPr="00071B92" w:rsidRDefault="002565FA" w:rsidP="003E79CE">
            <w:pPr>
              <w:rPr>
                <w:sz w:val="20"/>
                <w:szCs w:val="20"/>
              </w:rPr>
            </w:pPr>
            <w:r>
              <w:rPr>
                <w:sz w:val="20"/>
                <w:szCs w:val="20"/>
              </w:rPr>
              <w:t>3 and 4</w:t>
            </w:r>
          </w:p>
        </w:tc>
        <w:tc>
          <w:tcPr>
            <w:tcW w:w="2268" w:type="dxa"/>
            <w:tcBorders>
              <w:top w:val="nil"/>
              <w:bottom w:val="nil"/>
            </w:tcBorders>
          </w:tcPr>
          <w:p w14:paraId="7F43C408" w14:textId="77777777" w:rsidR="002565FA" w:rsidRDefault="002565FA" w:rsidP="003E79CE">
            <w:pPr>
              <w:rPr>
                <w:sz w:val="20"/>
                <w:szCs w:val="20"/>
              </w:rPr>
            </w:pPr>
            <w:r>
              <w:rPr>
                <w:sz w:val="20"/>
                <w:szCs w:val="20"/>
              </w:rPr>
              <w:t>Prior Incidence: 25-33%</w:t>
            </w:r>
          </w:p>
          <w:p w14:paraId="65C46383" w14:textId="24FBD767" w:rsidR="002565FA" w:rsidRDefault="002565FA" w:rsidP="003E79CE">
            <w:pPr>
              <w:rPr>
                <w:sz w:val="20"/>
                <w:szCs w:val="20"/>
              </w:rPr>
            </w:pPr>
            <w:r>
              <w:rPr>
                <w:sz w:val="20"/>
                <w:szCs w:val="20"/>
              </w:rPr>
              <w:t>This replication:</w:t>
            </w:r>
            <w:r w:rsidR="00570285">
              <w:rPr>
                <w:sz w:val="20"/>
                <w:szCs w:val="20"/>
              </w:rPr>
              <w:t xml:space="preserve"> &lt;5%</w:t>
            </w:r>
          </w:p>
          <w:p w14:paraId="72CB4D1E" w14:textId="33419E81" w:rsidR="005D378E" w:rsidRDefault="005D378E" w:rsidP="003E79CE">
            <w:pPr>
              <w:rPr>
                <w:sz w:val="20"/>
                <w:szCs w:val="20"/>
              </w:rPr>
            </w:pPr>
            <w:r>
              <w:rPr>
                <w:sz w:val="20"/>
                <w:szCs w:val="20"/>
              </w:rPr>
              <w:t>(excl. PLs</w:t>
            </w:r>
            <w:r w:rsidR="00AF7427">
              <w:rPr>
                <w:sz w:val="20"/>
                <w:szCs w:val="20"/>
              </w:rPr>
              <w:t>, leaders, regional</w:t>
            </w:r>
            <w:r>
              <w:rPr>
                <w:sz w:val="20"/>
                <w:szCs w:val="20"/>
              </w:rPr>
              <w:t>)</w:t>
            </w:r>
          </w:p>
          <w:p w14:paraId="3A2A7521" w14:textId="1211B871" w:rsidR="002565FA" w:rsidRPr="00071B92" w:rsidRDefault="002565FA" w:rsidP="003E79CE">
            <w:pPr>
              <w:rPr>
                <w:sz w:val="20"/>
                <w:szCs w:val="20"/>
              </w:rPr>
            </w:pPr>
            <w:r>
              <w:rPr>
                <w:sz w:val="20"/>
                <w:szCs w:val="20"/>
              </w:rPr>
              <w:t xml:space="preserve">Mean deviation = </w:t>
            </w:r>
            <w:r w:rsidR="00756CDE">
              <w:rPr>
                <w:sz w:val="20"/>
                <w:szCs w:val="20"/>
              </w:rPr>
              <w:t>5</w:t>
            </w:r>
            <w:r>
              <w:rPr>
                <w:sz w:val="20"/>
                <w:szCs w:val="20"/>
              </w:rPr>
              <w:t>0%</w:t>
            </w:r>
          </w:p>
        </w:tc>
        <w:tc>
          <w:tcPr>
            <w:tcW w:w="2535" w:type="dxa"/>
            <w:tcBorders>
              <w:top w:val="nil"/>
              <w:bottom w:val="nil"/>
            </w:tcBorders>
          </w:tcPr>
          <w:p w14:paraId="09DC32FB" w14:textId="77777777" w:rsidR="002565FA" w:rsidRDefault="002565FA" w:rsidP="003E79CE">
            <w:pPr>
              <w:rPr>
                <w:sz w:val="20"/>
                <w:szCs w:val="20"/>
              </w:rPr>
            </w:pPr>
            <w:r w:rsidRPr="00C34843">
              <w:rPr>
                <w:sz w:val="20"/>
                <w:szCs w:val="20"/>
              </w:rPr>
              <w:t xml:space="preserve">Restricted penetration: </w:t>
            </w:r>
            <w:r>
              <w:rPr>
                <w:sz w:val="20"/>
                <w:szCs w:val="20"/>
              </w:rPr>
              <w:t xml:space="preserve"> </w:t>
            </w:r>
          </w:p>
          <w:p w14:paraId="5F9C7F4E" w14:textId="77777777" w:rsidR="002565FA" w:rsidRDefault="002565FA" w:rsidP="003E79CE">
            <w:pPr>
              <w:rPr>
                <w:sz w:val="20"/>
                <w:szCs w:val="20"/>
              </w:rPr>
            </w:pPr>
            <w:r>
              <w:rPr>
                <w:sz w:val="20"/>
                <w:szCs w:val="20"/>
              </w:rPr>
              <w:t xml:space="preserve"> - </w:t>
            </w:r>
            <w:r w:rsidRPr="00C34843">
              <w:rPr>
                <w:sz w:val="20"/>
                <w:szCs w:val="20"/>
              </w:rPr>
              <w:t xml:space="preserve">Private Labels </w:t>
            </w:r>
          </w:p>
          <w:p w14:paraId="11CCAF0D" w14:textId="77777777" w:rsidR="002565FA" w:rsidRDefault="002565FA" w:rsidP="003E79CE">
            <w:pPr>
              <w:rPr>
                <w:sz w:val="20"/>
                <w:szCs w:val="20"/>
              </w:rPr>
            </w:pPr>
            <w:r>
              <w:rPr>
                <w:sz w:val="20"/>
                <w:szCs w:val="20"/>
              </w:rPr>
              <w:t xml:space="preserve"> - R</w:t>
            </w:r>
            <w:r w:rsidRPr="00C34843">
              <w:rPr>
                <w:sz w:val="20"/>
                <w:szCs w:val="20"/>
              </w:rPr>
              <w:t>egional brands</w:t>
            </w:r>
            <w:r>
              <w:rPr>
                <w:sz w:val="20"/>
                <w:szCs w:val="20"/>
              </w:rPr>
              <w:t xml:space="preserve"> </w:t>
            </w:r>
          </w:p>
          <w:p w14:paraId="746445C9" w14:textId="77777777" w:rsidR="002565FA" w:rsidRPr="00C34843" w:rsidRDefault="002565FA" w:rsidP="003E79CE">
            <w:pPr>
              <w:rPr>
                <w:sz w:val="20"/>
                <w:szCs w:val="20"/>
              </w:rPr>
            </w:pPr>
            <w:r>
              <w:rPr>
                <w:sz w:val="20"/>
                <w:szCs w:val="20"/>
              </w:rPr>
              <w:t>- Functional difference</w:t>
            </w:r>
          </w:p>
        </w:tc>
        <w:tc>
          <w:tcPr>
            <w:tcW w:w="2441" w:type="dxa"/>
            <w:tcBorders>
              <w:top w:val="nil"/>
              <w:bottom w:val="nil"/>
            </w:tcBorders>
          </w:tcPr>
          <w:p w14:paraId="45D61579" w14:textId="77777777" w:rsidR="002565FA" w:rsidRPr="00071B92" w:rsidRDefault="002565FA" w:rsidP="003E79CE">
            <w:pPr>
              <w:rPr>
                <w:sz w:val="20"/>
                <w:szCs w:val="20"/>
              </w:rPr>
            </w:pPr>
            <w:r>
              <w:rPr>
                <w:sz w:val="20"/>
                <w:szCs w:val="20"/>
              </w:rPr>
              <w:t xml:space="preserve">Expand penetration to build sales and share. Niching performance may fade as sales increase.  </w:t>
            </w:r>
          </w:p>
        </w:tc>
      </w:tr>
      <w:tr w:rsidR="002565FA" w14:paraId="0116B06A" w14:textId="77777777" w:rsidTr="003E79CE">
        <w:trPr>
          <w:gridBefore w:val="1"/>
          <w:wBefore w:w="108" w:type="dxa"/>
        </w:trPr>
        <w:tc>
          <w:tcPr>
            <w:tcW w:w="1843" w:type="dxa"/>
            <w:tcBorders>
              <w:top w:val="nil"/>
              <w:bottom w:val="nil"/>
            </w:tcBorders>
          </w:tcPr>
          <w:p w14:paraId="1BF59368" w14:textId="77777777" w:rsidR="002565FA" w:rsidRDefault="002565FA" w:rsidP="003E79CE">
            <w:pPr>
              <w:rPr>
                <w:sz w:val="20"/>
                <w:szCs w:val="20"/>
              </w:rPr>
            </w:pPr>
            <w:r>
              <w:rPr>
                <w:sz w:val="20"/>
                <w:szCs w:val="20"/>
              </w:rPr>
              <w:t>Change of Pace performance</w:t>
            </w:r>
          </w:p>
          <w:p w14:paraId="3724B01C" w14:textId="270AD0B2" w:rsidR="002565FA" w:rsidRPr="00071B92" w:rsidRDefault="002565FA" w:rsidP="003E79CE">
            <w:pPr>
              <w:rPr>
                <w:sz w:val="20"/>
                <w:szCs w:val="20"/>
              </w:rPr>
            </w:pPr>
            <w:r>
              <w:rPr>
                <w:sz w:val="20"/>
                <w:szCs w:val="20"/>
              </w:rPr>
              <w:t xml:space="preserve">(Table </w:t>
            </w:r>
            <w:r w:rsidR="004661A8">
              <w:rPr>
                <w:sz w:val="20"/>
                <w:szCs w:val="20"/>
              </w:rPr>
              <w:t>8</w:t>
            </w:r>
            <w:r>
              <w:rPr>
                <w:sz w:val="20"/>
                <w:szCs w:val="20"/>
              </w:rPr>
              <w:t>)</w:t>
            </w:r>
          </w:p>
        </w:tc>
        <w:tc>
          <w:tcPr>
            <w:tcW w:w="3686" w:type="dxa"/>
            <w:tcBorders>
              <w:top w:val="nil"/>
              <w:bottom w:val="nil"/>
            </w:tcBorders>
          </w:tcPr>
          <w:p w14:paraId="1584E5E9" w14:textId="77777777" w:rsidR="002565FA" w:rsidRDefault="002565FA" w:rsidP="003E79CE">
            <w:pPr>
              <w:rPr>
                <w:sz w:val="20"/>
                <w:szCs w:val="20"/>
              </w:rPr>
            </w:pPr>
            <w:r w:rsidRPr="00051DAE">
              <w:rPr>
                <w:sz w:val="20"/>
                <w:szCs w:val="20"/>
              </w:rPr>
              <w:t>Bhattacharya, C.B. (1997)</w:t>
            </w:r>
          </w:p>
          <w:p w14:paraId="2674D6EA" w14:textId="77777777" w:rsidR="002565FA" w:rsidRPr="00071B92" w:rsidRDefault="002565FA" w:rsidP="003E79CE">
            <w:pPr>
              <w:rPr>
                <w:sz w:val="20"/>
                <w:szCs w:val="20"/>
              </w:rPr>
            </w:pPr>
            <w:r w:rsidRPr="003D2E9C">
              <w:rPr>
                <w:sz w:val="20"/>
                <w:szCs w:val="20"/>
              </w:rPr>
              <w:t xml:space="preserve">Kahn, </w:t>
            </w:r>
            <w:r>
              <w:rPr>
                <w:sz w:val="20"/>
                <w:szCs w:val="20"/>
              </w:rPr>
              <w:t>Kalwani &amp;</w:t>
            </w:r>
            <w:r w:rsidRPr="003D2E9C">
              <w:rPr>
                <w:sz w:val="20"/>
                <w:szCs w:val="20"/>
              </w:rPr>
              <w:t xml:space="preserve"> Morrison (1988) </w:t>
            </w:r>
            <w:r w:rsidRPr="00051DAE">
              <w:rPr>
                <w:sz w:val="20"/>
                <w:szCs w:val="20"/>
              </w:rPr>
              <w:t xml:space="preserve"> </w:t>
            </w:r>
          </w:p>
        </w:tc>
        <w:tc>
          <w:tcPr>
            <w:tcW w:w="1275" w:type="dxa"/>
            <w:tcBorders>
              <w:top w:val="nil"/>
              <w:bottom w:val="nil"/>
            </w:tcBorders>
          </w:tcPr>
          <w:p w14:paraId="6B659C7B" w14:textId="77777777" w:rsidR="002565FA" w:rsidRPr="00071B92" w:rsidRDefault="002565FA" w:rsidP="003E79CE">
            <w:pPr>
              <w:rPr>
                <w:sz w:val="20"/>
                <w:szCs w:val="20"/>
              </w:rPr>
            </w:pPr>
            <w:r>
              <w:rPr>
                <w:sz w:val="20"/>
                <w:szCs w:val="20"/>
              </w:rPr>
              <w:t>3 and 4</w:t>
            </w:r>
          </w:p>
        </w:tc>
        <w:tc>
          <w:tcPr>
            <w:tcW w:w="2268" w:type="dxa"/>
            <w:tcBorders>
              <w:top w:val="nil"/>
              <w:bottom w:val="nil"/>
            </w:tcBorders>
          </w:tcPr>
          <w:p w14:paraId="343113D8" w14:textId="77777777" w:rsidR="002565FA" w:rsidRDefault="002565FA" w:rsidP="003E79CE">
            <w:pPr>
              <w:rPr>
                <w:sz w:val="20"/>
                <w:szCs w:val="20"/>
              </w:rPr>
            </w:pPr>
            <w:r>
              <w:rPr>
                <w:sz w:val="20"/>
                <w:szCs w:val="20"/>
              </w:rPr>
              <w:t>Prior Incidence: 25-33%</w:t>
            </w:r>
          </w:p>
          <w:p w14:paraId="59D3145E" w14:textId="374C6B0E" w:rsidR="002565FA" w:rsidRDefault="002565FA" w:rsidP="003E79CE">
            <w:pPr>
              <w:rPr>
                <w:sz w:val="20"/>
                <w:szCs w:val="20"/>
              </w:rPr>
            </w:pPr>
            <w:r>
              <w:rPr>
                <w:sz w:val="20"/>
                <w:szCs w:val="20"/>
              </w:rPr>
              <w:t>This replication:</w:t>
            </w:r>
            <w:r w:rsidR="005311D9">
              <w:rPr>
                <w:sz w:val="20"/>
                <w:szCs w:val="20"/>
              </w:rPr>
              <w:t xml:space="preserve"> c.10%</w:t>
            </w:r>
          </w:p>
          <w:p w14:paraId="11C13E41" w14:textId="62D23C7A" w:rsidR="002565FA" w:rsidRPr="00071B92" w:rsidRDefault="002565FA" w:rsidP="003E79CE">
            <w:pPr>
              <w:rPr>
                <w:sz w:val="20"/>
                <w:szCs w:val="20"/>
              </w:rPr>
            </w:pPr>
            <w:r>
              <w:rPr>
                <w:sz w:val="20"/>
                <w:szCs w:val="20"/>
              </w:rPr>
              <w:t xml:space="preserve">Mean deficit = </w:t>
            </w:r>
            <w:r w:rsidR="00CF0C48">
              <w:rPr>
                <w:sz w:val="20"/>
                <w:szCs w:val="20"/>
              </w:rPr>
              <w:t>2</w:t>
            </w:r>
            <w:r>
              <w:rPr>
                <w:sz w:val="20"/>
                <w:szCs w:val="20"/>
              </w:rPr>
              <w:t>0%</w:t>
            </w:r>
          </w:p>
        </w:tc>
        <w:tc>
          <w:tcPr>
            <w:tcW w:w="2535" w:type="dxa"/>
            <w:tcBorders>
              <w:top w:val="nil"/>
              <w:bottom w:val="nil"/>
            </w:tcBorders>
          </w:tcPr>
          <w:p w14:paraId="3D7E10DD" w14:textId="77777777" w:rsidR="002565FA" w:rsidRDefault="002565FA" w:rsidP="003E79CE">
            <w:pPr>
              <w:rPr>
                <w:sz w:val="20"/>
                <w:szCs w:val="20"/>
              </w:rPr>
            </w:pPr>
            <w:r>
              <w:rPr>
                <w:sz w:val="20"/>
                <w:szCs w:val="20"/>
              </w:rPr>
              <w:t>Restricted opportunity:         - seasonal buying</w:t>
            </w:r>
          </w:p>
          <w:p w14:paraId="2859D28A" w14:textId="77777777" w:rsidR="002565FA" w:rsidRDefault="002565FA" w:rsidP="003E79CE">
            <w:pPr>
              <w:rPr>
                <w:sz w:val="20"/>
                <w:szCs w:val="20"/>
              </w:rPr>
            </w:pPr>
            <w:r>
              <w:rPr>
                <w:sz w:val="20"/>
                <w:szCs w:val="20"/>
              </w:rPr>
              <w:t>- loss of distribution</w:t>
            </w:r>
          </w:p>
          <w:p w14:paraId="18EED353" w14:textId="77777777" w:rsidR="002565FA" w:rsidRPr="00071B92" w:rsidRDefault="002565FA" w:rsidP="003E79CE">
            <w:pPr>
              <w:rPr>
                <w:sz w:val="20"/>
                <w:szCs w:val="20"/>
              </w:rPr>
            </w:pPr>
            <w:r>
              <w:rPr>
                <w:sz w:val="20"/>
                <w:szCs w:val="20"/>
              </w:rPr>
              <w:t>- new line extension</w:t>
            </w:r>
          </w:p>
        </w:tc>
        <w:tc>
          <w:tcPr>
            <w:tcW w:w="2441" w:type="dxa"/>
            <w:tcBorders>
              <w:top w:val="nil"/>
              <w:bottom w:val="nil"/>
            </w:tcBorders>
          </w:tcPr>
          <w:p w14:paraId="1D2DCCCE" w14:textId="77777777" w:rsidR="002565FA" w:rsidRPr="00071B92" w:rsidRDefault="002565FA" w:rsidP="003E79CE">
            <w:pPr>
              <w:rPr>
                <w:sz w:val="20"/>
                <w:szCs w:val="20"/>
              </w:rPr>
            </w:pPr>
            <w:r>
              <w:rPr>
                <w:sz w:val="20"/>
                <w:szCs w:val="20"/>
              </w:rPr>
              <w:t xml:space="preserve">Extend the season, maintain (build) </w:t>
            </w:r>
            <w:r w:rsidRPr="005129A8">
              <w:rPr>
                <w:b/>
                <w:i/>
                <w:sz w:val="20"/>
                <w:szCs w:val="20"/>
              </w:rPr>
              <w:t>all</w:t>
            </w:r>
            <w:r>
              <w:rPr>
                <w:sz w:val="20"/>
                <w:szCs w:val="20"/>
              </w:rPr>
              <w:t xml:space="preserve"> distribution, extend support for penetration growth. </w:t>
            </w:r>
          </w:p>
        </w:tc>
      </w:tr>
      <w:tr w:rsidR="002565FA" w14:paraId="5471F3E6" w14:textId="77777777" w:rsidTr="003E79CE">
        <w:trPr>
          <w:gridBefore w:val="1"/>
          <w:wBefore w:w="108" w:type="dxa"/>
          <w:trHeight w:val="373"/>
        </w:trPr>
        <w:tc>
          <w:tcPr>
            <w:tcW w:w="1843" w:type="dxa"/>
            <w:tcBorders>
              <w:top w:val="nil"/>
              <w:bottom w:val="nil"/>
            </w:tcBorders>
          </w:tcPr>
          <w:p w14:paraId="5E7A811D" w14:textId="77777777" w:rsidR="002565FA" w:rsidRDefault="002565FA" w:rsidP="003E79CE">
            <w:pPr>
              <w:rPr>
                <w:sz w:val="20"/>
                <w:szCs w:val="20"/>
              </w:rPr>
            </w:pPr>
            <w:r>
              <w:rPr>
                <w:sz w:val="20"/>
                <w:szCs w:val="20"/>
              </w:rPr>
              <w:t>Deficit loyalty for small share brands</w:t>
            </w:r>
          </w:p>
          <w:p w14:paraId="1CB80EA1" w14:textId="0FEA7594" w:rsidR="002565FA" w:rsidRPr="00071B92" w:rsidRDefault="002565FA" w:rsidP="003E79CE">
            <w:pPr>
              <w:rPr>
                <w:sz w:val="20"/>
                <w:szCs w:val="20"/>
              </w:rPr>
            </w:pPr>
            <w:r>
              <w:rPr>
                <w:sz w:val="20"/>
                <w:szCs w:val="20"/>
              </w:rPr>
              <w:t xml:space="preserve">(Table </w:t>
            </w:r>
            <w:r w:rsidR="004661A8">
              <w:rPr>
                <w:sz w:val="20"/>
                <w:szCs w:val="20"/>
              </w:rPr>
              <w:t>2, 4, 10</w:t>
            </w:r>
            <w:r>
              <w:rPr>
                <w:sz w:val="20"/>
                <w:szCs w:val="20"/>
              </w:rPr>
              <w:t>)</w:t>
            </w:r>
          </w:p>
        </w:tc>
        <w:tc>
          <w:tcPr>
            <w:tcW w:w="3686" w:type="dxa"/>
            <w:tcBorders>
              <w:top w:val="nil"/>
              <w:bottom w:val="nil"/>
            </w:tcBorders>
          </w:tcPr>
          <w:p w14:paraId="5C15F44E" w14:textId="77777777" w:rsidR="002565FA" w:rsidRDefault="002565FA" w:rsidP="003E79CE">
            <w:pPr>
              <w:rPr>
                <w:sz w:val="20"/>
                <w:szCs w:val="20"/>
              </w:rPr>
            </w:pPr>
            <w:r>
              <w:rPr>
                <w:sz w:val="20"/>
                <w:szCs w:val="20"/>
              </w:rPr>
              <w:t>Franke, Bennett &amp; Graham, (2017)</w:t>
            </w:r>
          </w:p>
          <w:p w14:paraId="514A288E" w14:textId="77777777" w:rsidR="002565FA" w:rsidRDefault="002565FA" w:rsidP="003E79CE">
            <w:pPr>
              <w:rPr>
                <w:sz w:val="20"/>
                <w:szCs w:val="20"/>
              </w:rPr>
            </w:pPr>
            <w:r>
              <w:rPr>
                <w:sz w:val="20"/>
                <w:szCs w:val="20"/>
              </w:rPr>
              <w:t>Pare, Dawes &amp; Driesener, (2006)</w:t>
            </w:r>
          </w:p>
          <w:p w14:paraId="2502AFB9" w14:textId="77777777" w:rsidR="002565FA" w:rsidRDefault="002565FA" w:rsidP="003E79CE">
            <w:pPr>
              <w:rPr>
                <w:sz w:val="20"/>
                <w:szCs w:val="20"/>
              </w:rPr>
            </w:pPr>
            <w:r>
              <w:rPr>
                <w:sz w:val="20"/>
                <w:szCs w:val="20"/>
              </w:rPr>
              <w:t>Scriven and Bound (2004)</w:t>
            </w:r>
          </w:p>
          <w:p w14:paraId="731C0167" w14:textId="77777777" w:rsidR="002565FA" w:rsidRPr="00071B92" w:rsidRDefault="002565FA" w:rsidP="003E79CE">
            <w:pPr>
              <w:rPr>
                <w:sz w:val="20"/>
                <w:szCs w:val="20"/>
              </w:rPr>
            </w:pPr>
            <w:r w:rsidRPr="003F01D0">
              <w:rPr>
                <w:sz w:val="20"/>
                <w:szCs w:val="20"/>
              </w:rPr>
              <w:t xml:space="preserve">Tanusondjaja, Trinh, &amp; Romaniuk, </w:t>
            </w:r>
            <w:r>
              <w:rPr>
                <w:sz w:val="20"/>
                <w:szCs w:val="20"/>
              </w:rPr>
              <w:t>(</w:t>
            </w:r>
            <w:r w:rsidRPr="003F01D0">
              <w:rPr>
                <w:sz w:val="20"/>
                <w:szCs w:val="20"/>
              </w:rPr>
              <w:t>2016</w:t>
            </w:r>
            <w:r>
              <w:rPr>
                <w:sz w:val="20"/>
                <w:szCs w:val="20"/>
              </w:rPr>
              <w:t>)</w:t>
            </w:r>
            <w:r w:rsidRPr="003F01D0">
              <w:rPr>
                <w:sz w:val="20"/>
                <w:szCs w:val="20"/>
              </w:rPr>
              <w:t xml:space="preserve"> </w:t>
            </w:r>
          </w:p>
        </w:tc>
        <w:tc>
          <w:tcPr>
            <w:tcW w:w="1275" w:type="dxa"/>
            <w:tcBorders>
              <w:top w:val="nil"/>
              <w:bottom w:val="nil"/>
            </w:tcBorders>
          </w:tcPr>
          <w:p w14:paraId="146ECB46" w14:textId="77777777" w:rsidR="002565FA" w:rsidRPr="00071B92" w:rsidRDefault="002565FA" w:rsidP="003E79CE">
            <w:pPr>
              <w:rPr>
                <w:sz w:val="20"/>
                <w:szCs w:val="20"/>
              </w:rPr>
            </w:pPr>
            <w:r>
              <w:rPr>
                <w:sz w:val="20"/>
                <w:szCs w:val="20"/>
              </w:rPr>
              <w:t>3 and 4</w:t>
            </w:r>
          </w:p>
        </w:tc>
        <w:tc>
          <w:tcPr>
            <w:tcW w:w="2268" w:type="dxa"/>
            <w:tcBorders>
              <w:top w:val="nil"/>
              <w:bottom w:val="nil"/>
            </w:tcBorders>
          </w:tcPr>
          <w:p w14:paraId="797903D5" w14:textId="1FEAF334" w:rsidR="002565FA" w:rsidRDefault="002565FA" w:rsidP="003E79CE">
            <w:pPr>
              <w:rPr>
                <w:sz w:val="20"/>
                <w:szCs w:val="20"/>
              </w:rPr>
            </w:pPr>
            <w:r>
              <w:rPr>
                <w:sz w:val="20"/>
                <w:szCs w:val="20"/>
              </w:rPr>
              <w:t>Prior Incidence: 25-</w:t>
            </w:r>
            <w:r w:rsidR="007B769A">
              <w:rPr>
                <w:sz w:val="20"/>
                <w:szCs w:val="20"/>
              </w:rPr>
              <w:t>60</w:t>
            </w:r>
            <w:r>
              <w:rPr>
                <w:sz w:val="20"/>
                <w:szCs w:val="20"/>
              </w:rPr>
              <w:t>%</w:t>
            </w:r>
          </w:p>
          <w:p w14:paraId="1A2938F3" w14:textId="63937ABD" w:rsidR="002565FA" w:rsidRPr="00071B92" w:rsidRDefault="002565FA" w:rsidP="00D213FB">
            <w:pPr>
              <w:rPr>
                <w:sz w:val="20"/>
                <w:szCs w:val="20"/>
              </w:rPr>
            </w:pPr>
            <w:r>
              <w:rPr>
                <w:sz w:val="20"/>
                <w:szCs w:val="20"/>
              </w:rPr>
              <w:t xml:space="preserve">This replication: </w:t>
            </w:r>
            <w:r w:rsidR="00D213FB">
              <w:rPr>
                <w:sz w:val="20"/>
                <w:szCs w:val="20"/>
              </w:rPr>
              <w:t>36</w:t>
            </w:r>
            <w:r>
              <w:rPr>
                <w:sz w:val="20"/>
                <w:szCs w:val="20"/>
              </w:rPr>
              <w:t>%</w:t>
            </w:r>
            <w:r w:rsidR="00D213FB">
              <w:rPr>
                <w:sz w:val="20"/>
                <w:szCs w:val="20"/>
              </w:rPr>
              <w:t xml:space="preserve"> Mean deficit =</w:t>
            </w:r>
            <w:r w:rsidR="004C4A20">
              <w:rPr>
                <w:sz w:val="20"/>
                <w:szCs w:val="20"/>
              </w:rPr>
              <w:t>24%</w:t>
            </w:r>
          </w:p>
        </w:tc>
        <w:tc>
          <w:tcPr>
            <w:tcW w:w="2535" w:type="dxa"/>
            <w:tcBorders>
              <w:top w:val="nil"/>
              <w:bottom w:val="nil"/>
            </w:tcBorders>
          </w:tcPr>
          <w:p w14:paraId="3A7A8111" w14:textId="77777777" w:rsidR="002565FA" w:rsidRPr="00071B92" w:rsidRDefault="002565FA" w:rsidP="003E79CE">
            <w:pPr>
              <w:rPr>
                <w:sz w:val="20"/>
                <w:szCs w:val="20"/>
              </w:rPr>
            </w:pPr>
            <w:r>
              <w:rPr>
                <w:sz w:val="20"/>
                <w:szCs w:val="20"/>
              </w:rPr>
              <w:t>Higher than expected penetration of 1x buyers. A Natural Monopoly effect. (see also Erosion)</w:t>
            </w:r>
          </w:p>
        </w:tc>
        <w:tc>
          <w:tcPr>
            <w:tcW w:w="2441" w:type="dxa"/>
            <w:tcBorders>
              <w:top w:val="nil"/>
              <w:bottom w:val="nil"/>
            </w:tcBorders>
          </w:tcPr>
          <w:p w14:paraId="08B64B43" w14:textId="77777777" w:rsidR="002565FA" w:rsidRPr="00071B92" w:rsidRDefault="002565FA" w:rsidP="003E79CE">
            <w:pPr>
              <w:rPr>
                <w:sz w:val="20"/>
                <w:szCs w:val="20"/>
              </w:rPr>
            </w:pPr>
            <w:r>
              <w:rPr>
                <w:sz w:val="20"/>
                <w:szCs w:val="20"/>
              </w:rPr>
              <w:t xml:space="preserve">Market share depends on penetration: invest in penetration-building first &amp; maximise distribution. </w:t>
            </w:r>
          </w:p>
        </w:tc>
      </w:tr>
      <w:tr w:rsidR="002565FA" w14:paraId="6A3AE71C" w14:textId="77777777" w:rsidTr="003E79CE">
        <w:trPr>
          <w:gridBefore w:val="1"/>
          <w:wBefore w:w="108" w:type="dxa"/>
        </w:trPr>
        <w:tc>
          <w:tcPr>
            <w:tcW w:w="1843" w:type="dxa"/>
            <w:tcBorders>
              <w:top w:val="nil"/>
              <w:bottom w:val="nil"/>
            </w:tcBorders>
          </w:tcPr>
          <w:p w14:paraId="32A69EFD" w14:textId="77777777" w:rsidR="002565FA" w:rsidRDefault="002565FA" w:rsidP="003E79CE">
            <w:pPr>
              <w:rPr>
                <w:sz w:val="20"/>
                <w:szCs w:val="20"/>
              </w:rPr>
            </w:pPr>
            <w:r>
              <w:rPr>
                <w:sz w:val="20"/>
                <w:szCs w:val="20"/>
              </w:rPr>
              <w:t>Category Partitioning</w:t>
            </w:r>
          </w:p>
          <w:p w14:paraId="3D2E20FC" w14:textId="4DFA372C" w:rsidR="002565FA" w:rsidRDefault="002565FA" w:rsidP="003E79CE">
            <w:pPr>
              <w:rPr>
                <w:sz w:val="20"/>
                <w:szCs w:val="20"/>
              </w:rPr>
            </w:pPr>
            <w:r>
              <w:rPr>
                <w:sz w:val="20"/>
                <w:szCs w:val="20"/>
              </w:rPr>
              <w:t>(Table 6</w:t>
            </w:r>
            <w:r w:rsidR="007F2855">
              <w:rPr>
                <w:sz w:val="20"/>
                <w:szCs w:val="20"/>
              </w:rPr>
              <w:t>, 7, 9 11</w:t>
            </w:r>
            <w:r>
              <w:rPr>
                <w:sz w:val="20"/>
                <w:szCs w:val="20"/>
              </w:rPr>
              <w:t>)</w:t>
            </w:r>
          </w:p>
          <w:p w14:paraId="2DB42B8E" w14:textId="77777777" w:rsidR="002565FA" w:rsidRPr="00071B92" w:rsidRDefault="002565FA" w:rsidP="003E79CE">
            <w:pPr>
              <w:rPr>
                <w:sz w:val="20"/>
                <w:szCs w:val="20"/>
              </w:rPr>
            </w:pPr>
          </w:p>
        </w:tc>
        <w:tc>
          <w:tcPr>
            <w:tcW w:w="3686" w:type="dxa"/>
            <w:tcBorders>
              <w:top w:val="nil"/>
              <w:bottom w:val="nil"/>
            </w:tcBorders>
          </w:tcPr>
          <w:p w14:paraId="73F7AF6A" w14:textId="77777777" w:rsidR="002565FA" w:rsidRDefault="002565FA" w:rsidP="003E79CE">
            <w:pPr>
              <w:rPr>
                <w:sz w:val="20"/>
                <w:szCs w:val="20"/>
              </w:rPr>
            </w:pPr>
            <w:r>
              <w:rPr>
                <w:sz w:val="20"/>
                <w:szCs w:val="20"/>
              </w:rPr>
              <w:t>Ehrenberg &amp; Goodhardt (1970)</w:t>
            </w:r>
          </w:p>
          <w:p w14:paraId="001164A1" w14:textId="77777777" w:rsidR="002565FA" w:rsidRDefault="002565FA" w:rsidP="003E79CE">
            <w:pPr>
              <w:rPr>
                <w:sz w:val="20"/>
                <w:szCs w:val="20"/>
              </w:rPr>
            </w:pPr>
            <w:r>
              <w:rPr>
                <w:sz w:val="20"/>
                <w:szCs w:val="20"/>
              </w:rPr>
              <w:t>Lomax et al., (1996)</w:t>
            </w:r>
          </w:p>
          <w:p w14:paraId="364E365A" w14:textId="77777777" w:rsidR="002565FA" w:rsidRPr="00071B92" w:rsidRDefault="002565FA" w:rsidP="003E79CE">
            <w:pPr>
              <w:rPr>
                <w:sz w:val="20"/>
                <w:szCs w:val="20"/>
              </w:rPr>
            </w:pPr>
            <w:r>
              <w:rPr>
                <w:sz w:val="20"/>
                <w:szCs w:val="20"/>
              </w:rPr>
              <w:t>Dawes (2016)</w:t>
            </w:r>
          </w:p>
        </w:tc>
        <w:tc>
          <w:tcPr>
            <w:tcW w:w="1275" w:type="dxa"/>
            <w:tcBorders>
              <w:top w:val="nil"/>
              <w:bottom w:val="nil"/>
            </w:tcBorders>
          </w:tcPr>
          <w:p w14:paraId="7187E792" w14:textId="77777777" w:rsidR="002565FA" w:rsidRPr="00071B92" w:rsidRDefault="002565FA" w:rsidP="003E79CE">
            <w:pPr>
              <w:rPr>
                <w:sz w:val="20"/>
                <w:szCs w:val="20"/>
              </w:rPr>
            </w:pPr>
            <w:r>
              <w:rPr>
                <w:sz w:val="20"/>
                <w:szCs w:val="20"/>
              </w:rPr>
              <w:t>3 and 4</w:t>
            </w:r>
          </w:p>
        </w:tc>
        <w:tc>
          <w:tcPr>
            <w:tcW w:w="2268" w:type="dxa"/>
            <w:tcBorders>
              <w:top w:val="nil"/>
              <w:bottom w:val="nil"/>
            </w:tcBorders>
          </w:tcPr>
          <w:p w14:paraId="694AFF2B" w14:textId="2E28DA0D" w:rsidR="002565FA" w:rsidRPr="00071B92" w:rsidRDefault="008B4351" w:rsidP="008B4351">
            <w:pPr>
              <w:rPr>
                <w:sz w:val="20"/>
                <w:szCs w:val="20"/>
              </w:rPr>
            </w:pPr>
            <w:r>
              <w:rPr>
                <w:sz w:val="20"/>
                <w:szCs w:val="20"/>
              </w:rPr>
              <w:t>Not available, not a simple calculation</w:t>
            </w:r>
          </w:p>
        </w:tc>
        <w:tc>
          <w:tcPr>
            <w:tcW w:w="2535" w:type="dxa"/>
            <w:tcBorders>
              <w:top w:val="nil"/>
              <w:bottom w:val="nil"/>
            </w:tcBorders>
          </w:tcPr>
          <w:p w14:paraId="7D2BF5A6" w14:textId="77777777" w:rsidR="002565FA" w:rsidRDefault="002565FA" w:rsidP="003E79CE">
            <w:pPr>
              <w:rPr>
                <w:sz w:val="20"/>
                <w:szCs w:val="20"/>
              </w:rPr>
            </w:pPr>
            <w:r>
              <w:rPr>
                <w:sz w:val="20"/>
                <w:szCs w:val="20"/>
              </w:rPr>
              <w:t>Functional partitions and price-tiering.</w:t>
            </w:r>
          </w:p>
          <w:p w14:paraId="1A7BEA20" w14:textId="77777777" w:rsidR="002565FA" w:rsidRPr="00071B92" w:rsidRDefault="002565FA" w:rsidP="003E79CE">
            <w:pPr>
              <w:rPr>
                <w:sz w:val="20"/>
                <w:szCs w:val="20"/>
              </w:rPr>
            </w:pPr>
          </w:p>
        </w:tc>
        <w:tc>
          <w:tcPr>
            <w:tcW w:w="2441" w:type="dxa"/>
            <w:tcBorders>
              <w:top w:val="nil"/>
              <w:bottom w:val="nil"/>
            </w:tcBorders>
          </w:tcPr>
          <w:p w14:paraId="1ED19B2E" w14:textId="4A734BB3" w:rsidR="002565FA" w:rsidRPr="00071B92" w:rsidRDefault="002565FA" w:rsidP="00450B47">
            <w:pPr>
              <w:rPr>
                <w:sz w:val="20"/>
                <w:szCs w:val="20"/>
              </w:rPr>
            </w:pPr>
            <w:r>
              <w:rPr>
                <w:sz w:val="20"/>
                <w:szCs w:val="20"/>
              </w:rPr>
              <w:t>Identify market partitions and make sure to compete in them</w:t>
            </w:r>
            <w:r w:rsidR="00450B47">
              <w:rPr>
                <w:sz w:val="20"/>
                <w:szCs w:val="20"/>
              </w:rPr>
              <w:t xml:space="preserve"> all.</w:t>
            </w:r>
            <w:r>
              <w:rPr>
                <w:sz w:val="20"/>
                <w:szCs w:val="20"/>
              </w:rPr>
              <w:t xml:space="preserve"> </w:t>
            </w:r>
          </w:p>
        </w:tc>
      </w:tr>
      <w:tr w:rsidR="002565FA" w14:paraId="3734EF56" w14:textId="77777777" w:rsidTr="003E79CE">
        <w:tc>
          <w:tcPr>
            <w:tcW w:w="14156" w:type="dxa"/>
            <w:gridSpan w:val="7"/>
            <w:tcBorders>
              <w:top w:val="nil"/>
              <w:left w:val="nil"/>
              <w:bottom w:val="nil"/>
              <w:right w:val="nil"/>
            </w:tcBorders>
          </w:tcPr>
          <w:p w14:paraId="70C10E3C" w14:textId="77777777" w:rsidR="002565FA" w:rsidRDefault="002565FA" w:rsidP="003E79CE">
            <w:pPr>
              <w:rPr>
                <w:b/>
                <w:sz w:val="20"/>
                <w:szCs w:val="20"/>
                <w:u w:val="single"/>
              </w:rPr>
            </w:pPr>
            <w:r w:rsidRPr="00FA54BE">
              <w:rPr>
                <w:b/>
                <w:sz w:val="20"/>
                <w:szCs w:val="20"/>
                <w:u w:val="single"/>
              </w:rPr>
              <w:t>Systematic Dirichlet Deviations</w:t>
            </w:r>
          </w:p>
          <w:p w14:paraId="394C17AC" w14:textId="77777777" w:rsidR="002565FA" w:rsidRPr="00FA54BE" w:rsidRDefault="002565FA" w:rsidP="003E79CE">
            <w:pPr>
              <w:rPr>
                <w:b/>
                <w:sz w:val="20"/>
                <w:szCs w:val="20"/>
                <w:u w:val="single"/>
              </w:rPr>
            </w:pPr>
          </w:p>
        </w:tc>
      </w:tr>
      <w:tr w:rsidR="002565FA" w14:paraId="7A32D300" w14:textId="77777777" w:rsidTr="003E79CE">
        <w:trPr>
          <w:gridBefore w:val="1"/>
          <w:wBefore w:w="108" w:type="dxa"/>
        </w:trPr>
        <w:tc>
          <w:tcPr>
            <w:tcW w:w="1843" w:type="dxa"/>
            <w:tcBorders>
              <w:top w:val="nil"/>
            </w:tcBorders>
          </w:tcPr>
          <w:p w14:paraId="04CE8585" w14:textId="77777777" w:rsidR="002565FA" w:rsidRDefault="002565FA" w:rsidP="003E79CE">
            <w:pPr>
              <w:rPr>
                <w:sz w:val="20"/>
                <w:szCs w:val="20"/>
              </w:rPr>
            </w:pPr>
            <w:r>
              <w:rPr>
                <w:sz w:val="20"/>
                <w:szCs w:val="20"/>
              </w:rPr>
              <w:t>Erosion of Repeat     Purchase Loyalty</w:t>
            </w:r>
          </w:p>
          <w:p w14:paraId="01E4F98A" w14:textId="5528248B" w:rsidR="002565FA" w:rsidRPr="00071B92" w:rsidRDefault="002565FA" w:rsidP="003E79CE">
            <w:pPr>
              <w:rPr>
                <w:sz w:val="20"/>
                <w:szCs w:val="20"/>
              </w:rPr>
            </w:pPr>
            <w:r>
              <w:rPr>
                <w:sz w:val="20"/>
                <w:szCs w:val="20"/>
              </w:rPr>
              <w:t xml:space="preserve"> (Table </w:t>
            </w:r>
            <w:r w:rsidR="00BB7ECF">
              <w:rPr>
                <w:sz w:val="20"/>
                <w:szCs w:val="20"/>
              </w:rPr>
              <w:t>1</w:t>
            </w:r>
            <w:r>
              <w:rPr>
                <w:sz w:val="20"/>
                <w:szCs w:val="20"/>
              </w:rPr>
              <w:t>)</w:t>
            </w:r>
          </w:p>
        </w:tc>
        <w:tc>
          <w:tcPr>
            <w:tcW w:w="3686" w:type="dxa"/>
            <w:tcBorders>
              <w:top w:val="nil"/>
            </w:tcBorders>
          </w:tcPr>
          <w:p w14:paraId="4845DBC7" w14:textId="77777777" w:rsidR="002565FA" w:rsidRDefault="002565FA" w:rsidP="003E79CE">
            <w:pPr>
              <w:rPr>
                <w:sz w:val="20"/>
                <w:szCs w:val="20"/>
              </w:rPr>
            </w:pPr>
            <w:r>
              <w:rPr>
                <w:sz w:val="20"/>
                <w:szCs w:val="20"/>
              </w:rPr>
              <w:t>Ehrenberg (1988)</w:t>
            </w:r>
          </w:p>
          <w:p w14:paraId="3B0D476C" w14:textId="77777777" w:rsidR="002565FA" w:rsidRDefault="002565FA" w:rsidP="003E79CE">
            <w:pPr>
              <w:rPr>
                <w:sz w:val="20"/>
                <w:szCs w:val="20"/>
              </w:rPr>
            </w:pPr>
            <w:r>
              <w:rPr>
                <w:sz w:val="20"/>
                <w:szCs w:val="20"/>
              </w:rPr>
              <w:t>East &amp; Hammond (1996)</w:t>
            </w:r>
          </w:p>
          <w:p w14:paraId="0779DAD2" w14:textId="77777777" w:rsidR="002565FA" w:rsidRPr="00071B92" w:rsidRDefault="002565FA" w:rsidP="003E79CE">
            <w:pPr>
              <w:rPr>
                <w:sz w:val="20"/>
                <w:szCs w:val="20"/>
              </w:rPr>
            </w:pPr>
            <w:r>
              <w:rPr>
                <w:sz w:val="20"/>
                <w:szCs w:val="20"/>
              </w:rPr>
              <w:t>Graham (2011)</w:t>
            </w:r>
          </w:p>
        </w:tc>
        <w:tc>
          <w:tcPr>
            <w:tcW w:w="1275" w:type="dxa"/>
            <w:tcBorders>
              <w:top w:val="nil"/>
            </w:tcBorders>
          </w:tcPr>
          <w:p w14:paraId="68CC62EF" w14:textId="77777777" w:rsidR="002565FA" w:rsidRPr="00071B92" w:rsidRDefault="002565FA" w:rsidP="003E79CE">
            <w:pPr>
              <w:rPr>
                <w:sz w:val="20"/>
                <w:szCs w:val="20"/>
              </w:rPr>
            </w:pPr>
            <w:r>
              <w:rPr>
                <w:sz w:val="20"/>
                <w:szCs w:val="20"/>
              </w:rPr>
              <w:t>1 and 5</w:t>
            </w:r>
          </w:p>
        </w:tc>
        <w:tc>
          <w:tcPr>
            <w:tcW w:w="2268" w:type="dxa"/>
            <w:tcBorders>
              <w:top w:val="nil"/>
            </w:tcBorders>
          </w:tcPr>
          <w:p w14:paraId="03FC50F5" w14:textId="0A2F57E5" w:rsidR="002565FA" w:rsidRDefault="002565FA" w:rsidP="003E79CE">
            <w:pPr>
              <w:rPr>
                <w:sz w:val="20"/>
                <w:szCs w:val="20"/>
              </w:rPr>
            </w:pPr>
            <w:r>
              <w:rPr>
                <w:sz w:val="20"/>
                <w:szCs w:val="20"/>
              </w:rPr>
              <w:t xml:space="preserve">Prior </w:t>
            </w:r>
            <w:r w:rsidR="00505C8C">
              <w:rPr>
                <w:sz w:val="20"/>
                <w:szCs w:val="20"/>
              </w:rPr>
              <w:t>deviation</w:t>
            </w:r>
            <w:r>
              <w:rPr>
                <w:sz w:val="20"/>
                <w:szCs w:val="20"/>
              </w:rPr>
              <w:t>: 15% pa</w:t>
            </w:r>
          </w:p>
          <w:p w14:paraId="01BA6A39" w14:textId="77777777" w:rsidR="002565FA" w:rsidRPr="00071B92" w:rsidRDefault="002565FA" w:rsidP="003E79CE">
            <w:pPr>
              <w:rPr>
                <w:sz w:val="20"/>
                <w:szCs w:val="20"/>
              </w:rPr>
            </w:pPr>
            <w:r>
              <w:rPr>
                <w:sz w:val="20"/>
                <w:szCs w:val="20"/>
              </w:rPr>
              <w:t>This replication: 35% over five years</w:t>
            </w:r>
          </w:p>
        </w:tc>
        <w:tc>
          <w:tcPr>
            <w:tcW w:w="2535" w:type="dxa"/>
            <w:tcBorders>
              <w:top w:val="nil"/>
            </w:tcBorders>
          </w:tcPr>
          <w:p w14:paraId="6789CE6B" w14:textId="77777777" w:rsidR="002565FA" w:rsidRPr="00071B92" w:rsidRDefault="002565FA" w:rsidP="003E79CE">
            <w:pPr>
              <w:rPr>
                <w:sz w:val="20"/>
                <w:szCs w:val="20"/>
              </w:rPr>
            </w:pPr>
            <w:r>
              <w:rPr>
                <w:sz w:val="20"/>
                <w:szCs w:val="20"/>
              </w:rPr>
              <w:t xml:space="preserve">Under-predicted rates of HH repertoire growth leading to excess switching </w:t>
            </w:r>
          </w:p>
        </w:tc>
        <w:tc>
          <w:tcPr>
            <w:tcW w:w="2441" w:type="dxa"/>
            <w:tcBorders>
              <w:top w:val="nil"/>
            </w:tcBorders>
          </w:tcPr>
          <w:p w14:paraId="2CC0C42E" w14:textId="77777777" w:rsidR="002565FA" w:rsidRPr="00071B92" w:rsidRDefault="002565FA" w:rsidP="003E79CE">
            <w:pPr>
              <w:rPr>
                <w:sz w:val="20"/>
                <w:szCs w:val="20"/>
              </w:rPr>
            </w:pPr>
            <w:r>
              <w:rPr>
                <w:sz w:val="20"/>
                <w:szCs w:val="20"/>
              </w:rPr>
              <w:t>Market hard to attract a fair share of switchers in order to maintain penetration.</w:t>
            </w:r>
          </w:p>
        </w:tc>
      </w:tr>
      <w:tr w:rsidR="002565FA" w14:paraId="2669E44D" w14:textId="77777777" w:rsidTr="003E79CE">
        <w:trPr>
          <w:gridBefore w:val="1"/>
          <w:wBefore w:w="108" w:type="dxa"/>
        </w:trPr>
        <w:tc>
          <w:tcPr>
            <w:tcW w:w="1843" w:type="dxa"/>
          </w:tcPr>
          <w:p w14:paraId="7EEEE89B" w14:textId="77777777" w:rsidR="002565FA" w:rsidRDefault="002565FA" w:rsidP="003E79CE">
            <w:pPr>
              <w:rPr>
                <w:sz w:val="20"/>
                <w:szCs w:val="20"/>
              </w:rPr>
            </w:pPr>
            <w:r>
              <w:rPr>
                <w:sz w:val="20"/>
                <w:szCs w:val="20"/>
              </w:rPr>
              <w:t>Period to Period Repeat deficit</w:t>
            </w:r>
          </w:p>
          <w:p w14:paraId="0AD5B358" w14:textId="178A71FB" w:rsidR="00BB7ECF" w:rsidRPr="00071B92" w:rsidRDefault="00BB7ECF" w:rsidP="003E79CE">
            <w:pPr>
              <w:rPr>
                <w:sz w:val="20"/>
                <w:szCs w:val="20"/>
              </w:rPr>
            </w:pPr>
            <w:r>
              <w:rPr>
                <w:sz w:val="20"/>
                <w:szCs w:val="20"/>
              </w:rPr>
              <w:t>(Table 3)</w:t>
            </w:r>
          </w:p>
        </w:tc>
        <w:tc>
          <w:tcPr>
            <w:tcW w:w="3686" w:type="dxa"/>
          </w:tcPr>
          <w:p w14:paraId="434DF2B0" w14:textId="77777777" w:rsidR="002565FA" w:rsidRDefault="002565FA" w:rsidP="003E79CE">
            <w:pPr>
              <w:rPr>
                <w:sz w:val="20"/>
                <w:szCs w:val="20"/>
              </w:rPr>
            </w:pPr>
            <w:r>
              <w:rPr>
                <w:sz w:val="20"/>
                <w:szCs w:val="20"/>
              </w:rPr>
              <w:t>Ehrenberg, Uncles &amp; Goodhardt, (2004)</w:t>
            </w:r>
          </w:p>
          <w:p w14:paraId="20641ADD" w14:textId="0FD559B8" w:rsidR="002565FA" w:rsidRPr="00071B92" w:rsidRDefault="00AF3553" w:rsidP="003E79CE">
            <w:pPr>
              <w:rPr>
                <w:sz w:val="20"/>
                <w:szCs w:val="20"/>
              </w:rPr>
            </w:pPr>
            <w:r>
              <w:rPr>
                <w:sz w:val="20"/>
                <w:szCs w:val="20"/>
              </w:rPr>
              <w:t>Trinh et al (2014</w:t>
            </w:r>
            <w:r w:rsidR="002565FA">
              <w:rPr>
                <w:sz w:val="20"/>
                <w:szCs w:val="20"/>
              </w:rPr>
              <w:t>)</w:t>
            </w:r>
          </w:p>
        </w:tc>
        <w:tc>
          <w:tcPr>
            <w:tcW w:w="1275" w:type="dxa"/>
          </w:tcPr>
          <w:p w14:paraId="3B674A5B" w14:textId="77777777" w:rsidR="002565FA" w:rsidRPr="00071B92" w:rsidRDefault="002565FA" w:rsidP="003E79CE">
            <w:pPr>
              <w:rPr>
                <w:sz w:val="20"/>
                <w:szCs w:val="20"/>
              </w:rPr>
            </w:pPr>
            <w:r>
              <w:rPr>
                <w:sz w:val="20"/>
                <w:szCs w:val="20"/>
              </w:rPr>
              <w:t>1 and 5</w:t>
            </w:r>
          </w:p>
        </w:tc>
        <w:tc>
          <w:tcPr>
            <w:tcW w:w="2268" w:type="dxa"/>
          </w:tcPr>
          <w:p w14:paraId="049C5623" w14:textId="5FFBAFC1" w:rsidR="002565FA" w:rsidRDefault="002565FA" w:rsidP="003E79CE">
            <w:pPr>
              <w:rPr>
                <w:sz w:val="20"/>
                <w:szCs w:val="20"/>
              </w:rPr>
            </w:pPr>
            <w:r>
              <w:rPr>
                <w:sz w:val="20"/>
                <w:szCs w:val="20"/>
              </w:rPr>
              <w:t>Prior Studies:</w:t>
            </w:r>
            <w:r w:rsidR="00AD69BD">
              <w:rPr>
                <w:sz w:val="20"/>
                <w:szCs w:val="20"/>
              </w:rPr>
              <w:t xml:space="preserve"> n/a</w:t>
            </w:r>
          </w:p>
          <w:p w14:paraId="7CA11E5B" w14:textId="567D545C" w:rsidR="00AD69BD" w:rsidRPr="00071B92" w:rsidRDefault="002565FA" w:rsidP="003E79CE">
            <w:pPr>
              <w:rPr>
                <w:sz w:val="20"/>
                <w:szCs w:val="20"/>
              </w:rPr>
            </w:pPr>
            <w:r>
              <w:rPr>
                <w:sz w:val="20"/>
                <w:szCs w:val="20"/>
              </w:rPr>
              <w:t>This</w:t>
            </w:r>
            <w:r w:rsidR="00505C8C">
              <w:rPr>
                <w:sz w:val="20"/>
                <w:szCs w:val="20"/>
              </w:rPr>
              <w:t xml:space="preserve"> incidence</w:t>
            </w:r>
            <w:r>
              <w:rPr>
                <w:sz w:val="20"/>
                <w:szCs w:val="20"/>
              </w:rPr>
              <w:t xml:space="preserve">:  </w:t>
            </w:r>
            <w:r w:rsidR="005C2CC6">
              <w:rPr>
                <w:sz w:val="20"/>
                <w:szCs w:val="20"/>
              </w:rPr>
              <w:t>c90</w:t>
            </w:r>
            <w:r>
              <w:rPr>
                <w:sz w:val="20"/>
                <w:szCs w:val="20"/>
              </w:rPr>
              <w:t>%</w:t>
            </w:r>
            <w:r w:rsidR="00AD69BD">
              <w:rPr>
                <w:sz w:val="20"/>
                <w:szCs w:val="20"/>
              </w:rPr>
              <w:t xml:space="preserve"> Mean deficit: 25%</w:t>
            </w:r>
          </w:p>
        </w:tc>
        <w:tc>
          <w:tcPr>
            <w:tcW w:w="2535" w:type="dxa"/>
          </w:tcPr>
          <w:p w14:paraId="4C167840" w14:textId="77777777" w:rsidR="002565FA" w:rsidRPr="00071B92" w:rsidRDefault="002565FA" w:rsidP="003E79CE">
            <w:pPr>
              <w:rPr>
                <w:sz w:val="20"/>
                <w:szCs w:val="20"/>
              </w:rPr>
            </w:pPr>
            <w:r>
              <w:rPr>
                <w:sz w:val="20"/>
                <w:szCs w:val="20"/>
              </w:rPr>
              <w:t>Limitations in the NBD predictions from P to P.</w:t>
            </w:r>
          </w:p>
        </w:tc>
        <w:tc>
          <w:tcPr>
            <w:tcW w:w="2441" w:type="dxa"/>
          </w:tcPr>
          <w:p w14:paraId="15101E5F" w14:textId="77777777" w:rsidR="002565FA" w:rsidRPr="00071B92" w:rsidRDefault="002565FA" w:rsidP="003E79CE">
            <w:pPr>
              <w:rPr>
                <w:sz w:val="20"/>
                <w:szCs w:val="20"/>
              </w:rPr>
            </w:pPr>
            <w:r>
              <w:rPr>
                <w:sz w:val="20"/>
                <w:szCs w:val="20"/>
              </w:rPr>
              <w:t>Invest in penetration to maintain (top up) share</w:t>
            </w:r>
          </w:p>
        </w:tc>
      </w:tr>
      <w:tr w:rsidR="002565FA" w14:paraId="0C84770C" w14:textId="77777777" w:rsidTr="003E79CE">
        <w:trPr>
          <w:gridBefore w:val="1"/>
          <w:wBefore w:w="108" w:type="dxa"/>
        </w:trPr>
        <w:tc>
          <w:tcPr>
            <w:tcW w:w="1843" w:type="dxa"/>
          </w:tcPr>
          <w:p w14:paraId="476823E1" w14:textId="578C3949" w:rsidR="002565FA" w:rsidRPr="00071B92" w:rsidRDefault="002565FA" w:rsidP="003E79CE">
            <w:pPr>
              <w:rPr>
                <w:sz w:val="20"/>
                <w:szCs w:val="20"/>
              </w:rPr>
            </w:pPr>
            <w:r>
              <w:rPr>
                <w:sz w:val="20"/>
                <w:szCs w:val="20"/>
              </w:rPr>
              <w:t xml:space="preserve">Excess sole brand buyers (Table </w:t>
            </w:r>
            <w:r w:rsidR="00BB7ECF">
              <w:rPr>
                <w:sz w:val="20"/>
                <w:szCs w:val="20"/>
              </w:rPr>
              <w:t>2</w:t>
            </w:r>
            <w:r>
              <w:rPr>
                <w:sz w:val="20"/>
                <w:szCs w:val="20"/>
              </w:rPr>
              <w:t>)</w:t>
            </w:r>
          </w:p>
        </w:tc>
        <w:tc>
          <w:tcPr>
            <w:tcW w:w="3686" w:type="dxa"/>
          </w:tcPr>
          <w:p w14:paraId="01355AA4" w14:textId="77777777" w:rsidR="002565FA" w:rsidRDefault="002565FA" w:rsidP="003E79CE">
            <w:pPr>
              <w:rPr>
                <w:sz w:val="20"/>
                <w:szCs w:val="20"/>
              </w:rPr>
            </w:pPr>
            <w:r>
              <w:rPr>
                <w:sz w:val="20"/>
                <w:szCs w:val="20"/>
              </w:rPr>
              <w:t>Ehrenberg, Uncles &amp; Goodhardt, (2004)</w:t>
            </w:r>
          </w:p>
          <w:p w14:paraId="76E2E844" w14:textId="77777777" w:rsidR="002565FA" w:rsidRPr="00071B92" w:rsidRDefault="002565FA" w:rsidP="003E79CE">
            <w:pPr>
              <w:rPr>
                <w:sz w:val="20"/>
                <w:szCs w:val="20"/>
              </w:rPr>
            </w:pPr>
            <w:r>
              <w:rPr>
                <w:sz w:val="20"/>
                <w:szCs w:val="20"/>
              </w:rPr>
              <w:t>Scriven &amp; Bound, (2004)</w:t>
            </w:r>
          </w:p>
        </w:tc>
        <w:tc>
          <w:tcPr>
            <w:tcW w:w="1275" w:type="dxa"/>
          </w:tcPr>
          <w:p w14:paraId="79F57CBA" w14:textId="77777777" w:rsidR="002565FA" w:rsidRPr="00071B92" w:rsidRDefault="002565FA" w:rsidP="003E79CE">
            <w:pPr>
              <w:rPr>
                <w:sz w:val="20"/>
                <w:szCs w:val="20"/>
              </w:rPr>
            </w:pPr>
            <w:r>
              <w:rPr>
                <w:sz w:val="20"/>
                <w:szCs w:val="20"/>
              </w:rPr>
              <w:t>3, 4 and 5</w:t>
            </w:r>
          </w:p>
        </w:tc>
        <w:tc>
          <w:tcPr>
            <w:tcW w:w="2268" w:type="dxa"/>
          </w:tcPr>
          <w:p w14:paraId="59BED2E5" w14:textId="0F152FF3" w:rsidR="002565FA" w:rsidRDefault="002565FA" w:rsidP="003E79CE">
            <w:pPr>
              <w:rPr>
                <w:sz w:val="20"/>
                <w:szCs w:val="20"/>
              </w:rPr>
            </w:pPr>
            <w:r>
              <w:rPr>
                <w:sz w:val="20"/>
                <w:szCs w:val="20"/>
              </w:rPr>
              <w:t>Prior Studies:</w:t>
            </w:r>
            <w:r w:rsidR="00E60C10">
              <w:rPr>
                <w:sz w:val="20"/>
                <w:szCs w:val="20"/>
              </w:rPr>
              <w:t xml:space="preserve"> Sometimes</w:t>
            </w:r>
          </w:p>
          <w:p w14:paraId="3D08EDDB" w14:textId="6D492363" w:rsidR="002565FA" w:rsidRDefault="002565FA" w:rsidP="003E79CE">
            <w:pPr>
              <w:rPr>
                <w:sz w:val="20"/>
                <w:szCs w:val="20"/>
              </w:rPr>
            </w:pPr>
            <w:r>
              <w:rPr>
                <w:sz w:val="20"/>
                <w:szCs w:val="20"/>
              </w:rPr>
              <w:t xml:space="preserve">This </w:t>
            </w:r>
            <w:r w:rsidR="001B554D">
              <w:rPr>
                <w:sz w:val="20"/>
                <w:szCs w:val="20"/>
              </w:rPr>
              <w:t>incidence</w:t>
            </w:r>
            <w:r>
              <w:rPr>
                <w:sz w:val="20"/>
                <w:szCs w:val="20"/>
              </w:rPr>
              <w:t>:</w:t>
            </w:r>
            <w:r w:rsidR="00C51452">
              <w:rPr>
                <w:sz w:val="20"/>
                <w:szCs w:val="20"/>
              </w:rPr>
              <w:t xml:space="preserve"> 60%</w:t>
            </w:r>
          </w:p>
          <w:p w14:paraId="08AD879E" w14:textId="326E213F" w:rsidR="00505C8C" w:rsidRPr="00071B92" w:rsidRDefault="00505C8C" w:rsidP="003E79CE">
            <w:pPr>
              <w:rPr>
                <w:sz w:val="20"/>
                <w:szCs w:val="20"/>
              </w:rPr>
            </w:pPr>
            <w:r>
              <w:rPr>
                <w:sz w:val="20"/>
                <w:szCs w:val="20"/>
              </w:rPr>
              <w:t>Mean deviation: 20%</w:t>
            </w:r>
          </w:p>
        </w:tc>
        <w:tc>
          <w:tcPr>
            <w:tcW w:w="2535" w:type="dxa"/>
          </w:tcPr>
          <w:p w14:paraId="04386582" w14:textId="77777777" w:rsidR="002565FA" w:rsidRPr="00FD2C4B" w:rsidRDefault="002565FA" w:rsidP="003E79CE">
            <w:pPr>
              <w:rPr>
                <w:sz w:val="20"/>
                <w:szCs w:val="20"/>
              </w:rPr>
            </w:pPr>
            <w:r w:rsidRPr="00FD2C4B">
              <w:rPr>
                <w:sz w:val="20"/>
                <w:szCs w:val="20"/>
              </w:rPr>
              <w:t xml:space="preserve">As above </w:t>
            </w:r>
          </w:p>
        </w:tc>
        <w:tc>
          <w:tcPr>
            <w:tcW w:w="2441" w:type="dxa"/>
          </w:tcPr>
          <w:p w14:paraId="029AED0B" w14:textId="008692F8" w:rsidR="002565FA" w:rsidRPr="00FD2C4B" w:rsidRDefault="00CC1135" w:rsidP="003E79CE">
            <w:pPr>
              <w:rPr>
                <w:sz w:val="20"/>
                <w:szCs w:val="20"/>
              </w:rPr>
            </w:pPr>
            <w:r>
              <w:rPr>
                <w:sz w:val="20"/>
                <w:szCs w:val="20"/>
              </w:rPr>
              <w:t>Maintain but don’t expect to build the brand solely in this way</w:t>
            </w:r>
          </w:p>
        </w:tc>
      </w:tr>
      <w:tr w:rsidR="002565FA" w14:paraId="3B9DD65E" w14:textId="77777777" w:rsidTr="003E79CE">
        <w:trPr>
          <w:gridBefore w:val="1"/>
          <w:wBefore w:w="108" w:type="dxa"/>
        </w:trPr>
        <w:tc>
          <w:tcPr>
            <w:tcW w:w="1843" w:type="dxa"/>
          </w:tcPr>
          <w:p w14:paraId="50D7B5BE" w14:textId="66779F9F" w:rsidR="002565FA" w:rsidRPr="00071B92" w:rsidRDefault="002565FA" w:rsidP="003E79CE">
            <w:pPr>
              <w:rPr>
                <w:sz w:val="20"/>
                <w:szCs w:val="20"/>
              </w:rPr>
            </w:pPr>
            <w:r>
              <w:rPr>
                <w:sz w:val="20"/>
                <w:szCs w:val="20"/>
              </w:rPr>
              <w:t xml:space="preserve">Excess sole-brand loyalty (Table </w:t>
            </w:r>
            <w:r w:rsidR="00BB7ECF">
              <w:rPr>
                <w:sz w:val="20"/>
                <w:szCs w:val="20"/>
              </w:rPr>
              <w:t>2</w:t>
            </w:r>
            <w:r>
              <w:rPr>
                <w:sz w:val="20"/>
                <w:szCs w:val="20"/>
              </w:rPr>
              <w:t>)</w:t>
            </w:r>
          </w:p>
        </w:tc>
        <w:tc>
          <w:tcPr>
            <w:tcW w:w="3686" w:type="dxa"/>
          </w:tcPr>
          <w:p w14:paraId="7E641533" w14:textId="77777777" w:rsidR="002565FA" w:rsidRDefault="002565FA" w:rsidP="003E79CE">
            <w:pPr>
              <w:rPr>
                <w:sz w:val="20"/>
                <w:szCs w:val="20"/>
              </w:rPr>
            </w:pPr>
            <w:r>
              <w:rPr>
                <w:sz w:val="20"/>
                <w:szCs w:val="20"/>
              </w:rPr>
              <w:t>Ehrenberg, Uncles &amp; Goodhardt, (2004)</w:t>
            </w:r>
          </w:p>
          <w:p w14:paraId="608E389E" w14:textId="77777777" w:rsidR="002565FA" w:rsidRPr="00071B92" w:rsidRDefault="002565FA" w:rsidP="003E79CE">
            <w:pPr>
              <w:rPr>
                <w:sz w:val="20"/>
                <w:szCs w:val="20"/>
              </w:rPr>
            </w:pPr>
            <w:r>
              <w:rPr>
                <w:sz w:val="20"/>
                <w:szCs w:val="20"/>
              </w:rPr>
              <w:t>Scriven &amp; Bound, (2004)</w:t>
            </w:r>
          </w:p>
        </w:tc>
        <w:tc>
          <w:tcPr>
            <w:tcW w:w="1275" w:type="dxa"/>
          </w:tcPr>
          <w:p w14:paraId="4B1EDF3D" w14:textId="77777777" w:rsidR="002565FA" w:rsidRPr="00071B92" w:rsidRDefault="002565FA" w:rsidP="003E79CE">
            <w:pPr>
              <w:rPr>
                <w:sz w:val="20"/>
                <w:szCs w:val="20"/>
              </w:rPr>
            </w:pPr>
            <w:r>
              <w:rPr>
                <w:sz w:val="20"/>
                <w:szCs w:val="20"/>
              </w:rPr>
              <w:t>3, 4 and 5</w:t>
            </w:r>
          </w:p>
        </w:tc>
        <w:tc>
          <w:tcPr>
            <w:tcW w:w="2268" w:type="dxa"/>
          </w:tcPr>
          <w:p w14:paraId="7A66F8D4" w14:textId="4E66A941" w:rsidR="002565FA" w:rsidRDefault="002565FA" w:rsidP="003E79CE">
            <w:pPr>
              <w:rPr>
                <w:sz w:val="20"/>
                <w:szCs w:val="20"/>
              </w:rPr>
            </w:pPr>
            <w:r>
              <w:rPr>
                <w:sz w:val="20"/>
                <w:szCs w:val="20"/>
              </w:rPr>
              <w:t>Prior Studies:</w:t>
            </w:r>
            <w:r w:rsidR="00E60C10">
              <w:rPr>
                <w:sz w:val="20"/>
                <w:szCs w:val="20"/>
              </w:rPr>
              <w:t xml:space="preserve"> Frequent</w:t>
            </w:r>
          </w:p>
          <w:p w14:paraId="5B64DCC4" w14:textId="78A95720" w:rsidR="00BA0AF2" w:rsidRPr="00071B92" w:rsidRDefault="002565FA" w:rsidP="003E79CE">
            <w:pPr>
              <w:rPr>
                <w:sz w:val="20"/>
                <w:szCs w:val="20"/>
              </w:rPr>
            </w:pPr>
            <w:r>
              <w:rPr>
                <w:sz w:val="20"/>
                <w:szCs w:val="20"/>
              </w:rPr>
              <w:t xml:space="preserve">This </w:t>
            </w:r>
            <w:r w:rsidR="001B554D">
              <w:rPr>
                <w:sz w:val="20"/>
                <w:szCs w:val="20"/>
              </w:rPr>
              <w:t>incidence</w:t>
            </w:r>
            <w:r>
              <w:rPr>
                <w:sz w:val="20"/>
                <w:szCs w:val="20"/>
              </w:rPr>
              <w:t>:</w:t>
            </w:r>
            <w:r w:rsidR="00BA0AF2">
              <w:rPr>
                <w:sz w:val="20"/>
                <w:szCs w:val="20"/>
              </w:rPr>
              <w:t xml:space="preserve"> 70% Mean deviation: 83%</w:t>
            </w:r>
          </w:p>
        </w:tc>
        <w:tc>
          <w:tcPr>
            <w:tcW w:w="2535" w:type="dxa"/>
          </w:tcPr>
          <w:p w14:paraId="47763FDE" w14:textId="77777777" w:rsidR="002565FA" w:rsidRPr="00FD2C4B" w:rsidRDefault="002565FA" w:rsidP="003E79CE">
            <w:pPr>
              <w:rPr>
                <w:sz w:val="20"/>
                <w:szCs w:val="20"/>
              </w:rPr>
            </w:pPr>
            <w:r w:rsidRPr="00FD2C4B">
              <w:rPr>
                <w:sz w:val="20"/>
                <w:szCs w:val="20"/>
              </w:rPr>
              <w:t>As above</w:t>
            </w:r>
          </w:p>
        </w:tc>
        <w:tc>
          <w:tcPr>
            <w:tcW w:w="2441" w:type="dxa"/>
          </w:tcPr>
          <w:p w14:paraId="1E7CFA5F" w14:textId="14D11A18" w:rsidR="002565FA" w:rsidRPr="00FD2C4B" w:rsidRDefault="00CC1135" w:rsidP="003E79CE">
            <w:pPr>
              <w:rPr>
                <w:sz w:val="20"/>
                <w:szCs w:val="20"/>
              </w:rPr>
            </w:pPr>
            <w:r>
              <w:rPr>
                <w:sz w:val="20"/>
                <w:szCs w:val="20"/>
              </w:rPr>
              <w:t>Maintain but don’t expect to build the brand solely in this way</w:t>
            </w:r>
          </w:p>
        </w:tc>
      </w:tr>
    </w:tbl>
    <w:p w14:paraId="3135B568" w14:textId="2EBC9496" w:rsidR="002565FA" w:rsidRDefault="002565FA" w:rsidP="002565FA"/>
    <w:p w14:paraId="06B8D1BE" w14:textId="586C26A5" w:rsidR="00500927" w:rsidRDefault="00500927">
      <w:pPr>
        <w:rPr>
          <w:rFonts w:cs="Arial"/>
          <w:b/>
        </w:rPr>
      </w:pPr>
      <w:r>
        <w:rPr>
          <w:rFonts w:cs="Arial"/>
          <w:b/>
        </w:rPr>
        <w:br w:type="page"/>
      </w:r>
    </w:p>
    <w:p w14:paraId="48136E12" w14:textId="77777777" w:rsidR="00722E5C" w:rsidRDefault="00722E5C" w:rsidP="00722E5C">
      <w:pPr>
        <w:jc w:val="center"/>
        <w:rPr>
          <w:rFonts w:cs="Arial"/>
          <w:b/>
        </w:rPr>
      </w:pPr>
    </w:p>
    <w:p w14:paraId="7B5315C0" w14:textId="77777777" w:rsidR="00722E5C" w:rsidRDefault="00722E5C" w:rsidP="006E3F17">
      <w:pPr>
        <w:jc w:val="center"/>
        <w:rPr>
          <w:rFonts w:cs="Arial"/>
          <w:b/>
        </w:rPr>
      </w:pPr>
      <w:r w:rsidRPr="000F7F20">
        <w:rPr>
          <w:rFonts w:cs="Arial"/>
          <w:b/>
        </w:rPr>
        <w:t xml:space="preserve">Figure 1. % Deviation from Predicted Frequency </w:t>
      </w:r>
      <w:r w:rsidRPr="000F7F20">
        <w:rPr>
          <w:rFonts w:cs="Arial"/>
          <w:b/>
          <w:i/>
        </w:rPr>
        <w:t>vs</w:t>
      </w:r>
      <w:r w:rsidRPr="000F7F20">
        <w:rPr>
          <w:rFonts w:cs="Arial"/>
          <w:b/>
        </w:rPr>
        <w:t xml:space="preserve"> Penetration</w:t>
      </w:r>
    </w:p>
    <w:p w14:paraId="3D765BA3" w14:textId="77777777" w:rsidR="00722E5C" w:rsidRPr="000F7F20" w:rsidRDefault="00722E5C" w:rsidP="00722E5C">
      <w:pPr>
        <w:jc w:val="center"/>
        <w:rPr>
          <w:rFonts w:cs="Arial"/>
          <w:b/>
        </w:rPr>
      </w:pPr>
      <w:r>
        <w:rPr>
          <w:rFonts w:cs="Arial"/>
          <w:b/>
        </w:rPr>
        <w:t>Brand Leaders in 62 Categories</w:t>
      </w:r>
    </w:p>
    <w:p w14:paraId="00A663D8" w14:textId="77777777" w:rsidR="00722E5C" w:rsidRDefault="00722E5C" w:rsidP="00722E5C">
      <w:pPr>
        <w:jc w:val="center"/>
        <w:rPr>
          <w:rFonts w:cs="Arial"/>
        </w:rPr>
      </w:pPr>
    </w:p>
    <w:p w14:paraId="0894D41E" w14:textId="5873A533" w:rsidR="00D15FB0" w:rsidRDefault="006E3F17" w:rsidP="00722E5C">
      <w:pPr>
        <w:jc w:val="center"/>
        <w:rPr>
          <w:rFonts w:cs="Arial"/>
        </w:rPr>
      </w:pPr>
      <w:r>
        <w:rPr>
          <w:noProof/>
          <w:lang w:val="en-US" w:eastAsia="en-US"/>
        </w:rPr>
        <w:drawing>
          <wp:inline distT="0" distB="0" distL="0" distR="0" wp14:anchorId="26430A6C" wp14:editId="3C789CDE">
            <wp:extent cx="6266347" cy="3733800"/>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3048FBF" w14:textId="77777777" w:rsidR="00722E5C" w:rsidRPr="006409AD" w:rsidRDefault="00722E5C" w:rsidP="00AD5986">
      <w:pPr>
        <w:jc w:val="center"/>
      </w:pPr>
    </w:p>
    <w:sectPr w:rsidR="00722E5C" w:rsidRPr="006409AD" w:rsidSect="00722E5C">
      <w:pgSz w:w="1684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F9285" w14:textId="77777777" w:rsidR="00CC1135" w:rsidRDefault="00CC1135">
      <w:r>
        <w:separator/>
      </w:r>
    </w:p>
  </w:endnote>
  <w:endnote w:type="continuationSeparator" w:id="0">
    <w:p w14:paraId="04BA8B09" w14:textId="77777777" w:rsidR="00CC1135" w:rsidRDefault="00CC1135">
      <w:r>
        <w:continuationSeparator/>
      </w:r>
    </w:p>
  </w:endnote>
  <w:endnote w:type="continuationNotice" w:id="1">
    <w:p w14:paraId="29DCC7A7" w14:textId="77777777" w:rsidR="00CC1135" w:rsidRDefault="00CC1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ppleGaramond Lt">
    <w:altName w:val="Helvetica Neue"/>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Mincho">
    <w:charset w:val="80"/>
    <w:family w:val="auto"/>
    <w:pitch w:val="variable"/>
    <w:sig w:usb0="E00002FF" w:usb1="6AC7FDFB" w:usb2="08000012" w:usb3="00000000" w:csb0="0002009F" w:csb1="00000000"/>
  </w:font>
  <w:font w:name="Open Sans">
    <w:altName w:val="Times New Roman"/>
    <w:panose1 w:val="00000000000000000000"/>
    <w:charset w:val="00"/>
    <w:family w:val="roman"/>
    <w:notTrueType/>
    <w:pitch w:val="default"/>
  </w:font>
  <w:font w:name="MS PGothic">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B351" w14:textId="77777777" w:rsidR="00CC1135" w:rsidRDefault="00CC1135" w:rsidP="000D5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CFA60" w14:textId="77777777" w:rsidR="00CC1135" w:rsidRDefault="00CC1135" w:rsidP="000D56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80B2" w14:textId="77777777" w:rsidR="00CC1135" w:rsidRDefault="00CC1135" w:rsidP="000D5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CC7">
      <w:rPr>
        <w:rStyle w:val="PageNumber"/>
        <w:noProof/>
      </w:rPr>
      <w:t>1</w:t>
    </w:r>
    <w:r>
      <w:rPr>
        <w:rStyle w:val="PageNumber"/>
      </w:rPr>
      <w:fldChar w:fldCharType="end"/>
    </w:r>
  </w:p>
  <w:p w14:paraId="3216162A" w14:textId="77777777" w:rsidR="00CC1135" w:rsidRDefault="00CC1135" w:rsidP="000D569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8584F" w14:textId="77777777" w:rsidR="00CC1135" w:rsidRDefault="00CC1135" w:rsidP="00CB7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09E80" w14:textId="77777777" w:rsidR="00CC1135" w:rsidRDefault="00CC1135" w:rsidP="00CB76D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55E1" w14:textId="77777777" w:rsidR="00CC1135" w:rsidRDefault="00CC1135" w:rsidP="00CB7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CE9">
      <w:rPr>
        <w:rStyle w:val="PageNumber"/>
        <w:noProof/>
      </w:rPr>
      <w:t>42</w:t>
    </w:r>
    <w:r>
      <w:rPr>
        <w:rStyle w:val="PageNumber"/>
      </w:rPr>
      <w:fldChar w:fldCharType="end"/>
    </w:r>
  </w:p>
  <w:p w14:paraId="1E385B34" w14:textId="77777777" w:rsidR="00CC1135" w:rsidRDefault="00CC1135" w:rsidP="00CB76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3D243" w14:textId="77777777" w:rsidR="00CC1135" w:rsidRDefault="00CC1135">
      <w:r>
        <w:separator/>
      </w:r>
    </w:p>
  </w:footnote>
  <w:footnote w:type="continuationSeparator" w:id="0">
    <w:p w14:paraId="0F86728A" w14:textId="77777777" w:rsidR="00CC1135" w:rsidRDefault="00CC1135">
      <w:r>
        <w:continuationSeparator/>
      </w:r>
    </w:p>
  </w:footnote>
  <w:footnote w:type="continuationNotice" w:id="1">
    <w:p w14:paraId="6CFC1EFA" w14:textId="77777777" w:rsidR="00CC1135" w:rsidRDefault="00CC113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D88"/>
    <w:multiLevelType w:val="hybridMultilevel"/>
    <w:tmpl w:val="723CE5C6"/>
    <w:lvl w:ilvl="0" w:tplc="59EE8ACA">
      <w:start w:val="1"/>
      <w:numFmt w:val="bullet"/>
      <w:pStyle w:val="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C47"/>
    <w:multiLevelType w:val="hybridMultilevel"/>
    <w:tmpl w:val="46942606"/>
    <w:lvl w:ilvl="0" w:tplc="FFFFFFFF">
      <w:start w:val="13"/>
      <w:numFmt w:val="none"/>
      <w:lvlText w:val="6)"/>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FA2211"/>
    <w:multiLevelType w:val="multilevel"/>
    <w:tmpl w:val="26C812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1D1BB9"/>
    <w:multiLevelType w:val="multilevel"/>
    <w:tmpl w:val="26C812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67360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2B16E5"/>
    <w:multiLevelType w:val="hybridMultilevel"/>
    <w:tmpl w:val="B904450E"/>
    <w:lvl w:ilvl="0" w:tplc="728AB566">
      <w:start w:val="1"/>
      <w:numFmt w:val="none"/>
      <w:lvlText w:val="4.4.5"/>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CC3143"/>
    <w:multiLevelType w:val="hybridMultilevel"/>
    <w:tmpl w:val="169A9710"/>
    <w:lvl w:ilvl="0" w:tplc="F39E7BA4">
      <w:start w:val="1"/>
      <w:numFmt w:val="none"/>
      <w:lvlText w:val="4.4.3"/>
      <w:lvlJc w:val="left"/>
      <w:pPr>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36B12D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6D3496F"/>
    <w:multiLevelType w:val="multilevel"/>
    <w:tmpl w:val="FB98B43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697ED7"/>
    <w:multiLevelType w:val="hybridMultilevel"/>
    <w:tmpl w:val="4E06A63E"/>
    <w:lvl w:ilvl="0" w:tplc="4D644548">
      <w:start w:val="4"/>
      <w:numFmt w:val="decimal"/>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68D36D1"/>
    <w:multiLevelType w:val="hybridMultilevel"/>
    <w:tmpl w:val="C7966CA2"/>
    <w:lvl w:ilvl="0" w:tplc="BE02DA7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BC431A"/>
    <w:multiLevelType w:val="hybridMultilevel"/>
    <w:tmpl w:val="2062A2FC"/>
    <w:lvl w:ilvl="0" w:tplc="95C408DA">
      <w:start w:val="1"/>
      <w:numFmt w:val="none"/>
      <w:lvlText w:val="4.4.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15159D"/>
    <w:multiLevelType w:val="hybridMultilevel"/>
    <w:tmpl w:val="FE162D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B198B"/>
    <w:multiLevelType w:val="hybridMultilevel"/>
    <w:tmpl w:val="544EAC86"/>
    <w:lvl w:ilvl="0" w:tplc="FFFFFFFF">
      <w:start w:val="1"/>
      <w:numFmt w:val="none"/>
      <w:lvlText w:val="%13.1)"/>
      <w:lvlJc w:val="left"/>
      <w:pPr>
        <w:tabs>
          <w:tab w:val="num" w:pos="1040"/>
        </w:tabs>
        <w:ind w:left="1040" w:hanging="680"/>
      </w:pPr>
      <w:rPr>
        <w:rFonts w:hint="default"/>
        <w:b/>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2330EF1"/>
    <w:multiLevelType w:val="hybridMultilevel"/>
    <w:tmpl w:val="AF9E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F23A41"/>
    <w:multiLevelType w:val="hybridMultilevel"/>
    <w:tmpl w:val="0B40F890"/>
    <w:lvl w:ilvl="0" w:tplc="FFFFFFFF">
      <w:start w:val="1"/>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9CC0857"/>
    <w:multiLevelType w:val="hybridMultilevel"/>
    <w:tmpl w:val="1C0C81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ACC76F2"/>
    <w:multiLevelType w:val="multilevel"/>
    <w:tmpl w:val="00D8A062"/>
    <w:lvl w:ilvl="0">
      <w:start w:val="4"/>
      <w:numFmt w:val="decimal"/>
      <w:lvlText w:val="%1."/>
      <w:lvlJc w:val="left"/>
      <w:pPr>
        <w:tabs>
          <w:tab w:val="num" w:pos="720"/>
        </w:tabs>
        <w:ind w:left="720" w:hanging="360"/>
      </w:pPr>
      <w:rPr>
        <w:rFonts w:hint="default"/>
        <w:b/>
        <w:i w:val="0"/>
      </w:rPr>
    </w:lvl>
    <w:lvl w:ilvl="1">
      <w:start w:val="4"/>
      <w:numFmt w:val="decimal"/>
      <w:isLgl/>
      <w:lvlText w:val="%1.%2"/>
      <w:lvlJc w:val="left"/>
      <w:pPr>
        <w:tabs>
          <w:tab w:val="num" w:pos="920"/>
        </w:tabs>
        <w:ind w:left="920" w:hanging="5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E714909"/>
    <w:multiLevelType w:val="hybridMultilevel"/>
    <w:tmpl w:val="49CECB7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8081C90"/>
    <w:multiLevelType w:val="hybridMultilevel"/>
    <w:tmpl w:val="D1C29990"/>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4A26654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A9753EE"/>
    <w:multiLevelType w:val="multilevel"/>
    <w:tmpl w:val="FB98B43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D7A0B94"/>
    <w:multiLevelType w:val="hybridMultilevel"/>
    <w:tmpl w:val="B55C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A5119"/>
    <w:multiLevelType w:val="hybridMultilevel"/>
    <w:tmpl w:val="CDC47274"/>
    <w:lvl w:ilvl="0" w:tplc="9098B6BA">
      <w:start w:val="1"/>
      <w:numFmt w:val="none"/>
      <w:lvlText w:val="4.4.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EF70B0"/>
    <w:multiLevelType w:val="hybridMultilevel"/>
    <w:tmpl w:val="DB36543C"/>
    <w:lvl w:ilvl="0" w:tplc="BC1ACC92">
      <w:start w:val="1"/>
      <w:numFmt w:val="none"/>
      <w:lvlText w:val="4.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CE5A61"/>
    <w:multiLevelType w:val="hybridMultilevel"/>
    <w:tmpl w:val="E118F994"/>
    <w:lvl w:ilvl="0" w:tplc="30EC12F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EA0B54"/>
    <w:multiLevelType w:val="hybridMultilevel"/>
    <w:tmpl w:val="AF642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204DF0"/>
    <w:multiLevelType w:val="hybridMultilevel"/>
    <w:tmpl w:val="E546535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EBC2EDC"/>
    <w:multiLevelType w:val="hybridMultilevel"/>
    <w:tmpl w:val="B2143390"/>
    <w:lvl w:ilvl="0" w:tplc="FFFFFFFF">
      <w:start w:val="6"/>
      <w:numFmt w:val="none"/>
      <w:lvlText w:val="4.1)"/>
      <w:lvlJc w:val="left"/>
      <w:pPr>
        <w:tabs>
          <w:tab w:val="num" w:pos="108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F8E0A82"/>
    <w:multiLevelType w:val="hybridMultilevel"/>
    <w:tmpl w:val="B99E8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2E113E"/>
    <w:multiLevelType w:val="multilevel"/>
    <w:tmpl w:val="F18E7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CC635F"/>
    <w:multiLevelType w:val="hybridMultilevel"/>
    <w:tmpl w:val="FF309CFC"/>
    <w:lvl w:ilvl="0" w:tplc="95C408DA">
      <w:start w:val="1"/>
      <w:numFmt w:val="none"/>
      <w:lvlText w:val="4.4.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2268F5"/>
    <w:multiLevelType w:val="hybridMultilevel"/>
    <w:tmpl w:val="5B7AE35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8B36F89"/>
    <w:multiLevelType w:val="hybridMultilevel"/>
    <w:tmpl w:val="C0ECC890"/>
    <w:lvl w:ilvl="0" w:tplc="F0D482A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4B6EC0"/>
    <w:multiLevelType w:val="hybridMultilevel"/>
    <w:tmpl w:val="094AA076"/>
    <w:lvl w:ilvl="0" w:tplc="F39E7BA4">
      <w:start w:val="1"/>
      <w:numFmt w:val="none"/>
      <w:lvlText w:val="4.4.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E6057E"/>
    <w:multiLevelType w:val="hybridMultilevel"/>
    <w:tmpl w:val="D1C2999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60447AC"/>
    <w:multiLevelType w:val="hybridMultilevel"/>
    <w:tmpl w:val="69FC698C"/>
    <w:lvl w:ilvl="0" w:tplc="8A36D5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D0746B"/>
    <w:multiLevelType w:val="hybridMultilevel"/>
    <w:tmpl w:val="DFE84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772BB9"/>
    <w:multiLevelType w:val="hybridMultilevel"/>
    <w:tmpl w:val="17EE4814"/>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D2417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15"/>
  </w:num>
  <w:num w:numId="3">
    <w:abstractNumId w:val="35"/>
  </w:num>
  <w:num w:numId="4">
    <w:abstractNumId w:val="19"/>
  </w:num>
  <w:num w:numId="5">
    <w:abstractNumId w:val="38"/>
  </w:num>
  <w:num w:numId="6">
    <w:abstractNumId w:val="18"/>
  </w:num>
  <w:num w:numId="7">
    <w:abstractNumId w:val="13"/>
  </w:num>
  <w:num w:numId="8">
    <w:abstractNumId w:val="32"/>
  </w:num>
  <w:num w:numId="9">
    <w:abstractNumId w:val="28"/>
  </w:num>
  <w:num w:numId="10">
    <w:abstractNumId w:val="1"/>
  </w:num>
  <w:num w:numId="11">
    <w:abstractNumId w:val="27"/>
  </w:num>
  <w:num w:numId="12">
    <w:abstractNumId w:val="8"/>
  </w:num>
  <w:num w:numId="13">
    <w:abstractNumId w:val="21"/>
  </w:num>
  <w:num w:numId="14">
    <w:abstractNumId w:val="17"/>
  </w:num>
  <w:num w:numId="15">
    <w:abstractNumId w:val="30"/>
  </w:num>
  <w:num w:numId="16">
    <w:abstractNumId w:val="4"/>
  </w:num>
  <w:num w:numId="17">
    <w:abstractNumId w:val="39"/>
  </w:num>
  <w:num w:numId="18">
    <w:abstractNumId w:val="7"/>
  </w:num>
  <w:num w:numId="19">
    <w:abstractNumId w:val="20"/>
  </w:num>
  <w:num w:numId="20">
    <w:abstractNumId w:val="16"/>
  </w:num>
  <w:num w:numId="21">
    <w:abstractNumId w:val="9"/>
  </w:num>
  <w:num w:numId="22">
    <w:abstractNumId w:val="14"/>
  </w:num>
  <w:num w:numId="23">
    <w:abstractNumId w:val="25"/>
  </w:num>
  <w:num w:numId="24">
    <w:abstractNumId w:val="10"/>
  </w:num>
  <w:num w:numId="25">
    <w:abstractNumId w:val="37"/>
  </w:num>
  <w:num w:numId="26">
    <w:abstractNumId w:val="2"/>
  </w:num>
  <w:num w:numId="27">
    <w:abstractNumId w:val="26"/>
  </w:num>
  <w:num w:numId="28">
    <w:abstractNumId w:val="31"/>
  </w:num>
  <w:num w:numId="29">
    <w:abstractNumId w:val="5"/>
  </w:num>
  <w:num w:numId="30">
    <w:abstractNumId w:val="11"/>
  </w:num>
  <w:num w:numId="31">
    <w:abstractNumId w:val="24"/>
  </w:num>
  <w:num w:numId="32">
    <w:abstractNumId w:val="34"/>
  </w:num>
  <w:num w:numId="33">
    <w:abstractNumId w:val="23"/>
  </w:num>
  <w:num w:numId="34">
    <w:abstractNumId w:val="0"/>
  </w:num>
  <w:num w:numId="35">
    <w:abstractNumId w:val="36"/>
  </w:num>
  <w:num w:numId="36">
    <w:abstractNumId w:val="33"/>
  </w:num>
  <w:num w:numId="37">
    <w:abstractNumId w:val="3"/>
  </w:num>
  <w:num w:numId="38">
    <w:abstractNumId w:val="29"/>
  </w:num>
  <w:num w:numId="39">
    <w:abstractNumId w:val="1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9F"/>
    <w:rsid w:val="000001D3"/>
    <w:rsid w:val="00000D40"/>
    <w:rsid w:val="0000323E"/>
    <w:rsid w:val="0000404D"/>
    <w:rsid w:val="0000455E"/>
    <w:rsid w:val="000058C5"/>
    <w:rsid w:val="00007269"/>
    <w:rsid w:val="0001100D"/>
    <w:rsid w:val="0001113F"/>
    <w:rsid w:val="00014761"/>
    <w:rsid w:val="000200FB"/>
    <w:rsid w:val="00020D95"/>
    <w:rsid w:val="00021D9F"/>
    <w:rsid w:val="00032F08"/>
    <w:rsid w:val="00033537"/>
    <w:rsid w:val="000346D2"/>
    <w:rsid w:val="00040498"/>
    <w:rsid w:val="00040DCC"/>
    <w:rsid w:val="00042640"/>
    <w:rsid w:val="00042C2D"/>
    <w:rsid w:val="00044F7D"/>
    <w:rsid w:val="000463FF"/>
    <w:rsid w:val="00051706"/>
    <w:rsid w:val="00051EC1"/>
    <w:rsid w:val="000537F2"/>
    <w:rsid w:val="00054E45"/>
    <w:rsid w:val="0005599B"/>
    <w:rsid w:val="00055F5D"/>
    <w:rsid w:val="00056E21"/>
    <w:rsid w:val="00061EFA"/>
    <w:rsid w:val="0006453F"/>
    <w:rsid w:val="0006515A"/>
    <w:rsid w:val="00065FA7"/>
    <w:rsid w:val="0006626F"/>
    <w:rsid w:val="00067A5F"/>
    <w:rsid w:val="000702E2"/>
    <w:rsid w:val="00070C22"/>
    <w:rsid w:val="00071093"/>
    <w:rsid w:val="00073BAD"/>
    <w:rsid w:val="00073C80"/>
    <w:rsid w:val="00074793"/>
    <w:rsid w:val="00076826"/>
    <w:rsid w:val="000834F0"/>
    <w:rsid w:val="00086293"/>
    <w:rsid w:val="00086FF6"/>
    <w:rsid w:val="000875FC"/>
    <w:rsid w:val="00092E94"/>
    <w:rsid w:val="00093EE1"/>
    <w:rsid w:val="00094136"/>
    <w:rsid w:val="00095583"/>
    <w:rsid w:val="000958EC"/>
    <w:rsid w:val="00096CF2"/>
    <w:rsid w:val="000970D5"/>
    <w:rsid w:val="000A1999"/>
    <w:rsid w:val="000A20BA"/>
    <w:rsid w:val="000A5311"/>
    <w:rsid w:val="000A6E08"/>
    <w:rsid w:val="000A7ADD"/>
    <w:rsid w:val="000B3016"/>
    <w:rsid w:val="000B6123"/>
    <w:rsid w:val="000B6613"/>
    <w:rsid w:val="000B7895"/>
    <w:rsid w:val="000C280A"/>
    <w:rsid w:val="000C45B8"/>
    <w:rsid w:val="000C4CB5"/>
    <w:rsid w:val="000D08F8"/>
    <w:rsid w:val="000D1B9D"/>
    <w:rsid w:val="000D294B"/>
    <w:rsid w:val="000D29A9"/>
    <w:rsid w:val="000D5693"/>
    <w:rsid w:val="000D670D"/>
    <w:rsid w:val="000E4212"/>
    <w:rsid w:val="000E4D24"/>
    <w:rsid w:val="000E4E69"/>
    <w:rsid w:val="000E5811"/>
    <w:rsid w:val="000F0120"/>
    <w:rsid w:val="000F1B98"/>
    <w:rsid w:val="000F6AAB"/>
    <w:rsid w:val="000F7C39"/>
    <w:rsid w:val="00100B77"/>
    <w:rsid w:val="00101155"/>
    <w:rsid w:val="00101FBD"/>
    <w:rsid w:val="0010205B"/>
    <w:rsid w:val="001031F4"/>
    <w:rsid w:val="00105564"/>
    <w:rsid w:val="00106C9D"/>
    <w:rsid w:val="00107EC4"/>
    <w:rsid w:val="0011449B"/>
    <w:rsid w:val="00114CEE"/>
    <w:rsid w:val="001173AC"/>
    <w:rsid w:val="00117897"/>
    <w:rsid w:val="00117A3B"/>
    <w:rsid w:val="00120163"/>
    <w:rsid w:val="0012251E"/>
    <w:rsid w:val="00122983"/>
    <w:rsid w:val="001245E3"/>
    <w:rsid w:val="00125211"/>
    <w:rsid w:val="001262B4"/>
    <w:rsid w:val="0012651B"/>
    <w:rsid w:val="001307D5"/>
    <w:rsid w:val="00131788"/>
    <w:rsid w:val="00132DD1"/>
    <w:rsid w:val="00134E0D"/>
    <w:rsid w:val="00136824"/>
    <w:rsid w:val="00136B38"/>
    <w:rsid w:val="0013783D"/>
    <w:rsid w:val="00141BE1"/>
    <w:rsid w:val="00144248"/>
    <w:rsid w:val="00144290"/>
    <w:rsid w:val="0014540C"/>
    <w:rsid w:val="00147F28"/>
    <w:rsid w:val="0015062E"/>
    <w:rsid w:val="0015137D"/>
    <w:rsid w:val="001605CB"/>
    <w:rsid w:val="0016267D"/>
    <w:rsid w:val="00162752"/>
    <w:rsid w:val="00162B4D"/>
    <w:rsid w:val="00162BC3"/>
    <w:rsid w:val="00162D92"/>
    <w:rsid w:val="00165218"/>
    <w:rsid w:val="00167574"/>
    <w:rsid w:val="00170945"/>
    <w:rsid w:val="001709F4"/>
    <w:rsid w:val="00172625"/>
    <w:rsid w:val="00173F8B"/>
    <w:rsid w:val="00174C95"/>
    <w:rsid w:val="001803FB"/>
    <w:rsid w:val="00182C5A"/>
    <w:rsid w:val="00183330"/>
    <w:rsid w:val="00184115"/>
    <w:rsid w:val="00184688"/>
    <w:rsid w:val="0018584E"/>
    <w:rsid w:val="0018749F"/>
    <w:rsid w:val="0019098E"/>
    <w:rsid w:val="00191351"/>
    <w:rsid w:val="00192914"/>
    <w:rsid w:val="00194029"/>
    <w:rsid w:val="001963F1"/>
    <w:rsid w:val="00196529"/>
    <w:rsid w:val="001A0A8F"/>
    <w:rsid w:val="001A13F0"/>
    <w:rsid w:val="001A1FA4"/>
    <w:rsid w:val="001A3709"/>
    <w:rsid w:val="001A6D65"/>
    <w:rsid w:val="001A7608"/>
    <w:rsid w:val="001A7986"/>
    <w:rsid w:val="001B03C2"/>
    <w:rsid w:val="001B051A"/>
    <w:rsid w:val="001B0559"/>
    <w:rsid w:val="001B07EF"/>
    <w:rsid w:val="001B1467"/>
    <w:rsid w:val="001B2533"/>
    <w:rsid w:val="001B3967"/>
    <w:rsid w:val="001B4152"/>
    <w:rsid w:val="001B4679"/>
    <w:rsid w:val="001B5510"/>
    <w:rsid w:val="001B554D"/>
    <w:rsid w:val="001B680C"/>
    <w:rsid w:val="001B6AED"/>
    <w:rsid w:val="001B79A6"/>
    <w:rsid w:val="001C104D"/>
    <w:rsid w:val="001C2DEB"/>
    <w:rsid w:val="001C34C4"/>
    <w:rsid w:val="001C3B78"/>
    <w:rsid w:val="001C3FA2"/>
    <w:rsid w:val="001C3FA3"/>
    <w:rsid w:val="001C7D05"/>
    <w:rsid w:val="001D0A38"/>
    <w:rsid w:val="001D1A6E"/>
    <w:rsid w:val="001D5134"/>
    <w:rsid w:val="001D6377"/>
    <w:rsid w:val="001D6AF2"/>
    <w:rsid w:val="001E061E"/>
    <w:rsid w:val="001E1122"/>
    <w:rsid w:val="001E3565"/>
    <w:rsid w:val="001E6A6A"/>
    <w:rsid w:val="001E731B"/>
    <w:rsid w:val="001F0A18"/>
    <w:rsid w:val="001F0F18"/>
    <w:rsid w:val="001F563F"/>
    <w:rsid w:val="00200504"/>
    <w:rsid w:val="002006C6"/>
    <w:rsid w:val="00202321"/>
    <w:rsid w:val="00203148"/>
    <w:rsid w:val="0020475C"/>
    <w:rsid w:val="00204763"/>
    <w:rsid w:val="00204A8C"/>
    <w:rsid w:val="002055C6"/>
    <w:rsid w:val="00212288"/>
    <w:rsid w:val="002138B9"/>
    <w:rsid w:val="00213B7D"/>
    <w:rsid w:val="00222B2F"/>
    <w:rsid w:val="00226550"/>
    <w:rsid w:val="00227E84"/>
    <w:rsid w:val="0023046F"/>
    <w:rsid w:val="002371D9"/>
    <w:rsid w:val="0024285D"/>
    <w:rsid w:val="00242900"/>
    <w:rsid w:val="00243C16"/>
    <w:rsid w:val="002463C0"/>
    <w:rsid w:val="002464B3"/>
    <w:rsid w:val="00251480"/>
    <w:rsid w:val="002565FA"/>
    <w:rsid w:val="00257A3D"/>
    <w:rsid w:val="00257C25"/>
    <w:rsid w:val="00261B93"/>
    <w:rsid w:val="00262843"/>
    <w:rsid w:val="00262DDF"/>
    <w:rsid w:val="00263F70"/>
    <w:rsid w:val="00267483"/>
    <w:rsid w:val="00270BAF"/>
    <w:rsid w:val="00275245"/>
    <w:rsid w:val="00275991"/>
    <w:rsid w:val="002773E5"/>
    <w:rsid w:val="00280634"/>
    <w:rsid w:val="002868EB"/>
    <w:rsid w:val="00287846"/>
    <w:rsid w:val="00295D18"/>
    <w:rsid w:val="002967FB"/>
    <w:rsid w:val="002A0A12"/>
    <w:rsid w:val="002A3CA0"/>
    <w:rsid w:val="002A4DFD"/>
    <w:rsid w:val="002A6C40"/>
    <w:rsid w:val="002B3A56"/>
    <w:rsid w:val="002B482C"/>
    <w:rsid w:val="002B5741"/>
    <w:rsid w:val="002C1A86"/>
    <w:rsid w:val="002C5D1B"/>
    <w:rsid w:val="002C5D8A"/>
    <w:rsid w:val="002D0A04"/>
    <w:rsid w:val="002D0D4B"/>
    <w:rsid w:val="002D3666"/>
    <w:rsid w:val="002E0367"/>
    <w:rsid w:val="002E093D"/>
    <w:rsid w:val="002E5D52"/>
    <w:rsid w:val="002E6D42"/>
    <w:rsid w:val="002F002A"/>
    <w:rsid w:val="002F3438"/>
    <w:rsid w:val="002F40E6"/>
    <w:rsid w:val="002F7197"/>
    <w:rsid w:val="0030050D"/>
    <w:rsid w:val="00300AA8"/>
    <w:rsid w:val="00300DC7"/>
    <w:rsid w:val="0030264B"/>
    <w:rsid w:val="00302961"/>
    <w:rsid w:val="003058E8"/>
    <w:rsid w:val="00310A34"/>
    <w:rsid w:val="00320E9E"/>
    <w:rsid w:val="00321CD5"/>
    <w:rsid w:val="00322F47"/>
    <w:rsid w:val="00331607"/>
    <w:rsid w:val="00334133"/>
    <w:rsid w:val="0033543B"/>
    <w:rsid w:val="00337155"/>
    <w:rsid w:val="00337427"/>
    <w:rsid w:val="003405E4"/>
    <w:rsid w:val="0034081E"/>
    <w:rsid w:val="00341056"/>
    <w:rsid w:val="00343837"/>
    <w:rsid w:val="0034459C"/>
    <w:rsid w:val="003451F5"/>
    <w:rsid w:val="00345EC9"/>
    <w:rsid w:val="00346D78"/>
    <w:rsid w:val="00350A98"/>
    <w:rsid w:val="0035144D"/>
    <w:rsid w:val="00353663"/>
    <w:rsid w:val="00356C9F"/>
    <w:rsid w:val="00361F0C"/>
    <w:rsid w:val="003643CE"/>
    <w:rsid w:val="00364917"/>
    <w:rsid w:val="00364C76"/>
    <w:rsid w:val="003678FE"/>
    <w:rsid w:val="003708E8"/>
    <w:rsid w:val="00372DA9"/>
    <w:rsid w:val="003731D2"/>
    <w:rsid w:val="00373487"/>
    <w:rsid w:val="003735D2"/>
    <w:rsid w:val="00376D20"/>
    <w:rsid w:val="00376E94"/>
    <w:rsid w:val="003779C4"/>
    <w:rsid w:val="00380ACB"/>
    <w:rsid w:val="00381022"/>
    <w:rsid w:val="003822FA"/>
    <w:rsid w:val="00383962"/>
    <w:rsid w:val="00387E02"/>
    <w:rsid w:val="00390E3A"/>
    <w:rsid w:val="00392A0E"/>
    <w:rsid w:val="00396507"/>
    <w:rsid w:val="00396C2E"/>
    <w:rsid w:val="003970D2"/>
    <w:rsid w:val="003A0062"/>
    <w:rsid w:val="003A045A"/>
    <w:rsid w:val="003A1B7B"/>
    <w:rsid w:val="003A2E17"/>
    <w:rsid w:val="003A466D"/>
    <w:rsid w:val="003A7005"/>
    <w:rsid w:val="003B1DA1"/>
    <w:rsid w:val="003B29B2"/>
    <w:rsid w:val="003B4958"/>
    <w:rsid w:val="003B5944"/>
    <w:rsid w:val="003B6369"/>
    <w:rsid w:val="003B63EB"/>
    <w:rsid w:val="003B7B97"/>
    <w:rsid w:val="003C0905"/>
    <w:rsid w:val="003C221C"/>
    <w:rsid w:val="003C4C17"/>
    <w:rsid w:val="003C651B"/>
    <w:rsid w:val="003C7805"/>
    <w:rsid w:val="003C7FEC"/>
    <w:rsid w:val="003D0037"/>
    <w:rsid w:val="003D04FB"/>
    <w:rsid w:val="003D081D"/>
    <w:rsid w:val="003D3FC3"/>
    <w:rsid w:val="003D65A3"/>
    <w:rsid w:val="003E077B"/>
    <w:rsid w:val="003E295D"/>
    <w:rsid w:val="003E3519"/>
    <w:rsid w:val="003E482D"/>
    <w:rsid w:val="003E5B16"/>
    <w:rsid w:val="003E7364"/>
    <w:rsid w:val="003E79CE"/>
    <w:rsid w:val="003F0F8B"/>
    <w:rsid w:val="003F1C0C"/>
    <w:rsid w:val="003F2078"/>
    <w:rsid w:val="003F2D04"/>
    <w:rsid w:val="003F501D"/>
    <w:rsid w:val="003F6AC3"/>
    <w:rsid w:val="00401040"/>
    <w:rsid w:val="00402DD2"/>
    <w:rsid w:val="00404B6A"/>
    <w:rsid w:val="00404B95"/>
    <w:rsid w:val="00405C38"/>
    <w:rsid w:val="00407F9C"/>
    <w:rsid w:val="00410F55"/>
    <w:rsid w:val="00412652"/>
    <w:rsid w:val="00413CE9"/>
    <w:rsid w:val="00414E8E"/>
    <w:rsid w:val="00415A05"/>
    <w:rsid w:val="00420C75"/>
    <w:rsid w:val="0042413C"/>
    <w:rsid w:val="00424FA1"/>
    <w:rsid w:val="00425655"/>
    <w:rsid w:val="00425F16"/>
    <w:rsid w:val="004273B4"/>
    <w:rsid w:val="00430E9E"/>
    <w:rsid w:val="0043512C"/>
    <w:rsid w:val="00435EB4"/>
    <w:rsid w:val="00440578"/>
    <w:rsid w:val="0044145B"/>
    <w:rsid w:val="004417B7"/>
    <w:rsid w:val="004454CB"/>
    <w:rsid w:val="00446173"/>
    <w:rsid w:val="00450B47"/>
    <w:rsid w:val="0045155A"/>
    <w:rsid w:val="0045216F"/>
    <w:rsid w:val="00456ED4"/>
    <w:rsid w:val="00461CB3"/>
    <w:rsid w:val="00462061"/>
    <w:rsid w:val="0046540D"/>
    <w:rsid w:val="004661A8"/>
    <w:rsid w:val="00466DB5"/>
    <w:rsid w:val="00471660"/>
    <w:rsid w:val="004717AC"/>
    <w:rsid w:val="00471B3C"/>
    <w:rsid w:val="0047210D"/>
    <w:rsid w:val="00477F46"/>
    <w:rsid w:val="004815A1"/>
    <w:rsid w:val="00483054"/>
    <w:rsid w:val="00484EEA"/>
    <w:rsid w:val="0048561D"/>
    <w:rsid w:val="00491DC5"/>
    <w:rsid w:val="00492525"/>
    <w:rsid w:val="00492553"/>
    <w:rsid w:val="00492671"/>
    <w:rsid w:val="0049306E"/>
    <w:rsid w:val="00493737"/>
    <w:rsid w:val="0049501F"/>
    <w:rsid w:val="004A0D94"/>
    <w:rsid w:val="004A2D24"/>
    <w:rsid w:val="004A2EEC"/>
    <w:rsid w:val="004A4DE8"/>
    <w:rsid w:val="004A5816"/>
    <w:rsid w:val="004A709D"/>
    <w:rsid w:val="004B155C"/>
    <w:rsid w:val="004B2074"/>
    <w:rsid w:val="004B4A15"/>
    <w:rsid w:val="004C0781"/>
    <w:rsid w:val="004C0D02"/>
    <w:rsid w:val="004C192E"/>
    <w:rsid w:val="004C3842"/>
    <w:rsid w:val="004C4A20"/>
    <w:rsid w:val="004C6DD6"/>
    <w:rsid w:val="004C7ACC"/>
    <w:rsid w:val="004D16F3"/>
    <w:rsid w:val="004D18ED"/>
    <w:rsid w:val="004D27F1"/>
    <w:rsid w:val="004D3055"/>
    <w:rsid w:val="004D3C50"/>
    <w:rsid w:val="004D3ED9"/>
    <w:rsid w:val="004D6686"/>
    <w:rsid w:val="004E2381"/>
    <w:rsid w:val="004E2C23"/>
    <w:rsid w:val="004E3C6E"/>
    <w:rsid w:val="004E7275"/>
    <w:rsid w:val="004F0FDD"/>
    <w:rsid w:val="004F2B49"/>
    <w:rsid w:val="004F3DB5"/>
    <w:rsid w:val="004F485F"/>
    <w:rsid w:val="004F6B12"/>
    <w:rsid w:val="00500927"/>
    <w:rsid w:val="00500A13"/>
    <w:rsid w:val="00502954"/>
    <w:rsid w:val="00502BC2"/>
    <w:rsid w:val="00503DF4"/>
    <w:rsid w:val="00504341"/>
    <w:rsid w:val="00505BF4"/>
    <w:rsid w:val="00505C8C"/>
    <w:rsid w:val="00506D8E"/>
    <w:rsid w:val="00510377"/>
    <w:rsid w:val="00511AFB"/>
    <w:rsid w:val="00514039"/>
    <w:rsid w:val="0051600A"/>
    <w:rsid w:val="005177E1"/>
    <w:rsid w:val="00522D19"/>
    <w:rsid w:val="00527031"/>
    <w:rsid w:val="005311D9"/>
    <w:rsid w:val="005334F1"/>
    <w:rsid w:val="00533CC7"/>
    <w:rsid w:val="00534975"/>
    <w:rsid w:val="00536181"/>
    <w:rsid w:val="00537C49"/>
    <w:rsid w:val="00537E94"/>
    <w:rsid w:val="00545914"/>
    <w:rsid w:val="005466A2"/>
    <w:rsid w:val="00546E22"/>
    <w:rsid w:val="00547386"/>
    <w:rsid w:val="00547594"/>
    <w:rsid w:val="005507C0"/>
    <w:rsid w:val="0055127A"/>
    <w:rsid w:val="00552D26"/>
    <w:rsid w:val="0055574A"/>
    <w:rsid w:val="00555D78"/>
    <w:rsid w:val="00555F23"/>
    <w:rsid w:val="005578A4"/>
    <w:rsid w:val="00560896"/>
    <w:rsid w:val="005640E4"/>
    <w:rsid w:val="00564CF7"/>
    <w:rsid w:val="00570285"/>
    <w:rsid w:val="00572E34"/>
    <w:rsid w:val="0057320D"/>
    <w:rsid w:val="00573F64"/>
    <w:rsid w:val="00581077"/>
    <w:rsid w:val="00587E64"/>
    <w:rsid w:val="005941C0"/>
    <w:rsid w:val="00594671"/>
    <w:rsid w:val="00595F59"/>
    <w:rsid w:val="00596633"/>
    <w:rsid w:val="00597CBA"/>
    <w:rsid w:val="00597D7B"/>
    <w:rsid w:val="005A4608"/>
    <w:rsid w:val="005A5FAA"/>
    <w:rsid w:val="005A74BC"/>
    <w:rsid w:val="005B2F4C"/>
    <w:rsid w:val="005C0618"/>
    <w:rsid w:val="005C2BEC"/>
    <w:rsid w:val="005C2CC6"/>
    <w:rsid w:val="005C359F"/>
    <w:rsid w:val="005C380A"/>
    <w:rsid w:val="005C4485"/>
    <w:rsid w:val="005C4A58"/>
    <w:rsid w:val="005C7C17"/>
    <w:rsid w:val="005D378E"/>
    <w:rsid w:val="005D4388"/>
    <w:rsid w:val="005D52A8"/>
    <w:rsid w:val="005D6A60"/>
    <w:rsid w:val="005E0B9A"/>
    <w:rsid w:val="005E0FF3"/>
    <w:rsid w:val="005E2B32"/>
    <w:rsid w:val="005E53FA"/>
    <w:rsid w:val="005E578F"/>
    <w:rsid w:val="005E69D4"/>
    <w:rsid w:val="005E7960"/>
    <w:rsid w:val="005F21E1"/>
    <w:rsid w:val="005F3745"/>
    <w:rsid w:val="005F3CF4"/>
    <w:rsid w:val="005F6D30"/>
    <w:rsid w:val="005F6EFF"/>
    <w:rsid w:val="005F7C77"/>
    <w:rsid w:val="00600584"/>
    <w:rsid w:val="00600905"/>
    <w:rsid w:val="006031EC"/>
    <w:rsid w:val="00606AD0"/>
    <w:rsid w:val="00610A42"/>
    <w:rsid w:val="00611E2B"/>
    <w:rsid w:val="00612770"/>
    <w:rsid w:val="00613E08"/>
    <w:rsid w:val="006179AA"/>
    <w:rsid w:val="0062028C"/>
    <w:rsid w:val="00621E0D"/>
    <w:rsid w:val="006238D2"/>
    <w:rsid w:val="00624AF0"/>
    <w:rsid w:val="00631107"/>
    <w:rsid w:val="00633D2B"/>
    <w:rsid w:val="00634071"/>
    <w:rsid w:val="0063487C"/>
    <w:rsid w:val="00636BA3"/>
    <w:rsid w:val="006409AD"/>
    <w:rsid w:val="00640A3D"/>
    <w:rsid w:val="00641E88"/>
    <w:rsid w:val="00643308"/>
    <w:rsid w:val="00645249"/>
    <w:rsid w:val="00645630"/>
    <w:rsid w:val="00647864"/>
    <w:rsid w:val="00650E07"/>
    <w:rsid w:val="0065284A"/>
    <w:rsid w:val="00656DA5"/>
    <w:rsid w:val="00656F55"/>
    <w:rsid w:val="00664863"/>
    <w:rsid w:val="006666B6"/>
    <w:rsid w:val="00671093"/>
    <w:rsid w:val="006714F4"/>
    <w:rsid w:val="00671D10"/>
    <w:rsid w:val="0067498B"/>
    <w:rsid w:val="00677053"/>
    <w:rsid w:val="0067786E"/>
    <w:rsid w:val="00691BC5"/>
    <w:rsid w:val="0069266F"/>
    <w:rsid w:val="00692D86"/>
    <w:rsid w:val="00692E59"/>
    <w:rsid w:val="00693B34"/>
    <w:rsid w:val="0069595A"/>
    <w:rsid w:val="00695F7E"/>
    <w:rsid w:val="00697488"/>
    <w:rsid w:val="006A0A32"/>
    <w:rsid w:val="006A2A72"/>
    <w:rsid w:val="006A3968"/>
    <w:rsid w:val="006A587E"/>
    <w:rsid w:val="006B04D9"/>
    <w:rsid w:val="006B143E"/>
    <w:rsid w:val="006B3BA9"/>
    <w:rsid w:val="006B50C0"/>
    <w:rsid w:val="006B6C64"/>
    <w:rsid w:val="006C0C25"/>
    <w:rsid w:val="006C1644"/>
    <w:rsid w:val="006C20DD"/>
    <w:rsid w:val="006C3B54"/>
    <w:rsid w:val="006C44FD"/>
    <w:rsid w:val="006D1215"/>
    <w:rsid w:val="006D41DA"/>
    <w:rsid w:val="006D460D"/>
    <w:rsid w:val="006D66D5"/>
    <w:rsid w:val="006D67A4"/>
    <w:rsid w:val="006D7E39"/>
    <w:rsid w:val="006E0C74"/>
    <w:rsid w:val="006E2694"/>
    <w:rsid w:val="006E3F17"/>
    <w:rsid w:val="006E628F"/>
    <w:rsid w:val="006E6E3D"/>
    <w:rsid w:val="006E768F"/>
    <w:rsid w:val="006E7BDC"/>
    <w:rsid w:val="006F0D74"/>
    <w:rsid w:val="006F15EF"/>
    <w:rsid w:val="006F623D"/>
    <w:rsid w:val="006F629D"/>
    <w:rsid w:val="006F6609"/>
    <w:rsid w:val="00703AC4"/>
    <w:rsid w:val="00707CFA"/>
    <w:rsid w:val="00710066"/>
    <w:rsid w:val="00710A91"/>
    <w:rsid w:val="007121D4"/>
    <w:rsid w:val="00713227"/>
    <w:rsid w:val="00713430"/>
    <w:rsid w:val="007150C2"/>
    <w:rsid w:val="007179A9"/>
    <w:rsid w:val="00720271"/>
    <w:rsid w:val="00722E5C"/>
    <w:rsid w:val="00723C80"/>
    <w:rsid w:val="0072585E"/>
    <w:rsid w:val="00726988"/>
    <w:rsid w:val="00730A93"/>
    <w:rsid w:val="00732741"/>
    <w:rsid w:val="00735DE6"/>
    <w:rsid w:val="00735FEE"/>
    <w:rsid w:val="00741EC6"/>
    <w:rsid w:val="007438AF"/>
    <w:rsid w:val="00743EBD"/>
    <w:rsid w:val="007448F0"/>
    <w:rsid w:val="007451E8"/>
    <w:rsid w:val="00745E91"/>
    <w:rsid w:val="00747698"/>
    <w:rsid w:val="007547F0"/>
    <w:rsid w:val="00756513"/>
    <w:rsid w:val="00756CDE"/>
    <w:rsid w:val="00757A5D"/>
    <w:rsid w:val="0076162B"/>
    <w:rsid w:val="007630C0"/>
    <w:rsid w:val="00764055"/>
    <w:rsid w:val="00764363"/>
    <w:rsid w:val="0076451E"/>
    <w:rsid w:val="00764E23"/>
    <w:rsid w:val="00765736"/>
    <w:rsid w:val="007669F6"/>
    <w:rsid w:val="007675FB"/>
    <w:rsid w:val="007715E6"/>
    <w:rsid w:val="00772BD0"/>
    <w:rsid w:val="00772FEA"/>
    <w:rsid w:val="0077434C"/>
    <w:rsid w:val="007752BD"/>
    <w:rsid w:val="007759F2"/>
    <w:rsid w:val="007811A3"/>
    <w:rsid w:val="00782ED4"/>
    <w:rsid w:val="00783E35"/>
    <w:rsid w:val="007879CC"/>
    <w:rsid w:val="00790B28"/>
    <w:rsid w:val="00792131"/>
    <w:rsid w:val="00793242"/>
    <w:rsid w:val="007933D4"/>
    <w:rsid w:val="007942A5"/>
    <w:rsid w:val="00794C79"/>
    <w:rsid w:val="0079648F"/>
    <w:rsid w:val="00796979"/>
    <w:rsid w:val="007970F6"/>
    <w:rsid w:val="00797C14"/>
    <w:rsid w:val="007A14E2"/>
    <w:rsid w:val="007A1A86"/>
    <w:rsid w:val="007A4AA2"/>
    <w:rsid w:val="007A583F"/>
    <w:rsid w:val="007A6193"/>
    <w:rsid w:val="007A655F"/>
    <w:rsid w:val="007B05F6"/>
    <w:rsid w:val="007B4626"/>
    <w:rsid w:val="007B769A"/>
    <w:rsid w:val="007C0D94"/>
    <w:rsid w:val="007C486A"/>
    <w:rsid w:val="007C54FB"/>
    <w:rsid w:val="007C7AD5"/>
    <w:rsid w:val="007D1405"/>
    <w:rsid w:val="007D31A5"/>
    <w:rsid w:val="007D4B81"/>
    <w:rsid w:val="007D4BC1"/>
    <w:rsid w:val="007D6CF9"/>
    <w:rsid w:val="007D70B4"/>
    <w:rsid w:val="007E0B90"/>
    <w:rsid w:val="007E180A"/>
    <w:rsid w:val="007E3ECB"/>
    <w:rsid w:val="007E50DE"/>
    <w:rsid w:val="007E5C78"/>
    <w:rsid w:val="007E66CF"/>
    <w:rsid w:val="007E6B3D"/>
    <w:rsid w:val="007F05C2"/>
    <w:rsid w:val="007F116C"/>
    <w:rsid w:val="007F1898"/>
    <w:rsid w:val="007F2613"/>
    <w:rsid w:val="007F2855"/>
    <w:rsid w:val="007F37CE"/>
    <w:rsid w:val="007F45E5"/>
    <w:rsid w:val="007F78E0"/>
    <w:rsid w:val="00801064"/>
    <w:rsid w:val="00805A5D"/>
    <w:rsid w:val="00806119"/>
    <w:rsid w:val="00810E26"/>
    <w:rsid w:val="00811645"/>
    <w:rsid w:val="008135B9"/>
    <w:rsid w:val="00813AE8"/>
    <w:rsid w:val="008160CF"/>
    <w:rsid w:val="00816D30"/>
    <w:rsid w:val="00823DDB"/>
    <w:rsid w:val="008255AB"/>
    <w:rsid w:val="00826522"/>
    <w:rsid w:val="008271DF"/>
    <w:rsid w:val="00831B86"/>
    <w:rsid w:val="00833D9D"/>
    <w:rsid w:val="00837AC1"/>
    <w:rsid w:val="00840722"/>
    <w:rsid w:val="00840BAB"/>
    <w:rsid w:val="00841450"/>
    <w:rsid w:val="00842AD1"/>
    <w:rsid w:val="00843B03"/>
    <w:rsid w:val="00847731"/>
    <w:rsid w:val="00847795"/>
    <w:rsid w:val="00847F46"/>
    <w:rsid w:val="00851003"/>
    <w:rsid w:val="008536EF"/>
    <w:rsid w:val="008539D3"/>
    <w:rsid w:val="00855898"/>
    <w:rsid w:val="00862894"/>
    <w:rsid w:val="008635FC"/>
    <w:rsid w:val="00865A74"/>
    <w:rsid w:val="00867305"/>
    <w:rsid w:val="008707D1"/>
    <w:rsid w:val="00871687"/>
    <w:rsid w:val="00873602"/>
    <w:rsid w:val="00874F0A"/>
    <w:rsid w:val="00880CF7"/>
    <w:rsid w:val="00881F79"/>
    <w:rsid w:val="00882C28"/>
    <w:rsid w:val="00883521"/>
    <w:rsid w:val="00883605"/>
    <w:rsid w:val="00883784"/>
    <w:rsid w:val="0088388B"/>
    <w:rsid w:val="00885B1B"/>
    <w:rsid w:val="00891F96"/>
    <w:rsid w:val="00891F9B"/>
    <w:rsid w:val="00892C7A"/>
    <w:rsid w:val="00896E86"/>
    <w:rsid w:val="008A1268"/>
    <w:rsid w:val="008A1A10"/>
    <w:rsid w:val="008A1FF3"/>
    <w:rsid w:val="008A2F73"/>
    <w:rsid w:val="008A3234"/>
    <w:rsid w:val="008A37FF"/>
    <w:rsid w:val="008A410D"/>
    <w:rsid w:val="008A4539"/>
    <w:rsid w:val="008A6533"/>
    <w:rsid w:val="008A7181"/>
    <w:rsid w:val="008B1087"/>
    <w:rsid w:val="008B2EDF"/>
    <w:rsid w:val="008B4351"/>
    <w:rsid w:val="008B5C8D"/>
    <w:rsid w:val="008B6491"/>
    <w:rsid w:val="008C0914"/>
    <w:rsid w:val="008C1003"/>
    <w:rsid w:val="008C1702"/>
    <w:rsid w:val="008C7134"/>
    <w:rsid w:val="008C76A8"/>
    <w:rsid w:val="008C7CDE"/>
    <w:rsid w:val="008D1AAB"/>
    <w:rsid w:val="008D2859"/>
    <w:rsid w:val="008D4039"/>
    <w:rsid w:val="008D78D0"/>
    <w:rsid w:val="008E0D50"/>
    <w:rsid w:val="008E22E8"/>
    <w:rsid w:val="008E70D0"/>
    <w:rsid w:val="008E7E7F"/>
    <w:rsid w:val="008F104C"/>
    <w:rsid w:val="008F511A"/>
    <w:rsid w:val="008F5D75"/>
    <w:rsid w:val="00900252"/>
    <w:rsid w:val="00900B87"/>
    <w:rsid w:val="00900E65"/>
    <w:rsid w:val="00906124"/>
    <w:rsid w:val="00907738"/>
    <w:rsid w:val="00907C71"/>
    <w:rsid w:val="00911B51"/>
    <w:rsid w:val="00913707"/>
    <w:rsid w:val="00913EF3"/>
    <w:rsid w:val="009149E1"/>
    <w:rsid w:val="00914E89"/>
    <w:rsid w:val="00915104"/>
    <w:rsid w:val="00917231"/>
    <w:rsid w:val="00917EE5"/>
    <w:rsid w:val="00920CC7"/>
    <w:rsid w:val="0092170F"/>
    <w:rsid w:val="00922338"/>
    <w:rsid w:val="00922F1D"/>
    <w:rsid w:val="009232FD"/>
    <w:rsid w:val="009235A5"/>
    <w:rsid w:val="009237E4"/>
    <w:rsid w:val="0092415E"/>
    <w:rsid w:val="00925043"/>
    <w:rsid w:val="00925491"/>
    <w:rsid w:val="00926088"/>
    <w:rsid w:val="00926785"/>
    <w:rsid w:val="00932019"/>
    <w:rsid w:val="00932F8B"/>
    <w:rsid w:val="0093357C"/>
    <w:rsid w:val="0093595F"/>
    <w:rsid w:val="00936458"/>
    <w:rsid w:val="00937981"/>
    <w:rsid w:val="00937D2A"/>
    <w:rsid w:val="0094146D"/>
    <w:rsid w:val="0094258C"/>
    <w:rsid w:val="009459FC"/>
    <w:rsid w:val="00945B08"/>
    <w:rsid w:val="00946E79"/>
    <w:rsid w:val="00947912"/>
    <w:rsid w:val="00950150"/>
    <w:rsid w:val="009528E0"/>
    <w:rsid w:val="00961C7D"/>
    <w:rsid w:val="0096362F"/>
    <w:rsid w:val="00964D19"/>
    <w:rsid w:val="0096527B"/>
    <w:rsid w:val="0096671E"/>
    <w:rsid w:val="00966F82"/>
    <w:rsid w:val="0096707E"/>
    <w:rsid w:val="009714D5"/>
    <w:rsid w:val="009715FC"/>
    <w:rsid w:val="0097359F"/>
    <w:rsid w:val="009748B9"/>
    <w:rsid w:val="00980CD4"/>
    <w:rsid w:val="00980FAB"/>
    <w:rsid w:val="00985232"/>
    <w:rsid w:val="00985349"/>
    <w:rsid w:val="0098769F"/>
    <w:rsid w:val="00987CFE"/>
    <w:rsid w:val="00990721"/>
    <w:rsid w:val="00993A9B"/>
    <w:rsid w:val="00995175"/>
    <w:rsid w:val="0099674D"/>
    <w:rsid w:val="00997CD9"/>
    <w:rsid w:val="009A1268"/>
    <w:rsid w:val="009A4B22"/>
    <w:rsid w:val="009A6ABF"/>
    <w:rsid w:val="009A6C2D"/>
    <w:rsid w:val="009B16C4"/>
    <w:rsid w:val="009B1EBD"/>
    <w:rsid w:val="009B3173"/>
    <w:rsid w:val="009B3FE0"/>
    <w:rsid w:val="009B4CB1"/>
    <w:rsid w:val="009B529E"/>
    <w:rsid w:val="009B58A7"/>
    <w:rsid w:val="009B63D1"/>
    <w:rsid w:val="009B64D9"/>
    <w:rsid w:val="009B6621"/>
    <w:rsid w:val="009C16C3"/>
    <w:rsid w:val="009C3C10"/>
    <w:rsid w:val="009D1D93"/>
    <w:rsid w:val="009D24A0"/>
    <w:rsid w:val="009D31C5"/>
    <w:rsid w:val="009D3C4F"/>
    <w:rsid w:val="009D3C83"/>
    <w:rsid w:val="009D4B2B"/>
    <w:rsid w:val="009E2AEC"/>
    <w:rsid w:val="009E40CB"/>
    <w:rsid w:val="009E5861"/>
    <w:rsid w:val="009E691C"/>
    <w:rsid w:val="009F3E98"/>
    <w:rsid w:val="009F681C"/>
    <w:rsid w:val="00A0088B"/>
    <w:rsid w:val="00A0353F"/>
    <w:rsid w:val="00A04AA6"/>
    <w:rsid w:val="00A05648"/>
    <w:rsid w:val="00A06CE6"/>
    <w:rsid w:val="00A141C4"/>
    <w:rsid w:val="00A14D03"/>
    <w:rsid w:val="00A172D6"/>
    <w:rsid w:val="00A20C4B"/>
    <w:rsid w:val="00A237FB"/>
    <w:rsid w:val="00A24D10"/>
    <w:rsid w:val="00A25227"/>
    <w:rsid w:val="00A307E8"/>
    <w:rsid w:val="00A329BC"/>
    <w:rsid w:val="00A33C49"/>
    <w:rsid w:val="00A34996"/>
    <w:rsid w:val="00A351BF"/>
    <w:rsid w:val="00A400BC"/>
    <w:rsid w:val="00A47655"/>
    <w:rsid w:val="00A50E5F"/>
    <w:rsid w:val="00A51017"/>
    <w:rsid w:val="00A5152A"/>
    <w:rsid w:val="00A51B81"/>
    <w:rsid w:val="00A53FF9"/>
    <w:rsid w:val="00A56CFD"/>
    <w:rsid w:val="00A605AD"/>
    <w:rsid w:val="00A61749"/>
    <w:rsid w:val="00A61B68"/>
    <w:rsid w:val="00A6225F"/>
    <w:rsid w:val="00A64C1C"/>
    <w:rsid w:val="00A64C33"/>
    <w:rsid w:val="00A64E31"/>
    <w:rsid w:val="00A66129"/>
    <w:rsid w:val="00A6618D"/>
    <w:rsid w:val="00A67FD5"/>
    <w:rsid w:val="00A702A5"/>
    <w:rsid w:val="00A70800"/>
    <w:rsid w:val="00A720AB"/>
    <w:rsid w:val="00A7294E"/>
    <w:rsid w:val="00A72BD3"/>
    <w:rsid w:val="00A7449D"/>
    <w:rsid w:val="00A74876"/>
    <w:rsid w:val="00A77496"/>
    <w:rsid w:val="00A80608"/>
    <w:rsid w:val="00A823C2"/>
    <w:rsid w:val="00A83F7F"/>
    <w:rsid w:val="00A85A65"/>
    <w:rsid w:val="00A86159"/>
    <w:rsid w:val="00A903A2"/>
    <w:rsid w:val="00A941F0"/>
    <w:rsid w:val="00A956BB"/>
    <w:rsid w:val="00A958EE"/>
    <w:rsid w:val="00A959DF"/>
    <w:rsid w:val="00A963EE"/>
    <w:rsid w:val="00A97C91"/>
    <w:rsid w:val="00AA1A59"/>
    <w:rsid w:val="00AA350B"/>
    <w:rsid w:val="00AA3B9A"/>
    <w:rsid w:val="00AA5F48"/>
    <w:rsid w:val="00AA6821"/>
    <w:rsid w:val="00AB0D26"/>
    <w:rsid w:val="00AB1A8A"/>
    <w:rsid w:val="00AB529B"/>
    <w:rsid w:val="00AB57CF"/>
    <w:rsid w:val="00AB6D47"/>
    <w:rsid w:val="00AC001F"/>
    <w:rsid w:val="00AC0235"/>
    <w:rsid w:val="00AC25D9"/>
    <w:rsid w:val="00AC77DB"/>
    <w:rsid w:val="00AD0D57"/>
    <w:rsid w:val="00AD172D"/>
    <w:rsid w:val="00AD4B43"/>
    <w:rsid w:val="00AD5986"/>
    <w:rsid w:val="00AD69BD"/>
    <w:rsid w:val="00AD6AE6"/>
    <w:rsid w:val="00AE0113"/>
    <w:rsid w:val="00AE6817"/>
    <w:rsid w:val="00AE70E2"/>
    <w:rsid w:val="00AF13F0"/>
    <w:rsid w:val="00AF15CD"/>
    <w:rsid w:val="00AF2F7C"/>
    <w:rsid w:val="00AF3553"/>
    <w:rsid w:val="00AF7427"/>
    <w:rsid w:val="00AF77E2"/>
    <w:rsid w:val="00AF7869"/>
    <w:rsid w:val="00B02751"/>
    <w:rsid w:val="00B07DFA"/>
    <w:rsid w:val="00B07F92"/>
    <w:rsid w:val="00B10C46"/>
    <w:rsid w:val="00B12EDF"/>
    <w:rsid w:val="00B13D6F"/>
    <w:rsid w:val="00B16ACA"/>
    <w:rsid w:val="00B16B00"/>
    <w:rsid w:val="00B21EEA"/>
    <w:rsid w:val="00B2562F"/>
    <w:rsid w:val="00B25AC2"/>
    <w:rsid w:val="00B30282"/>
    <w:rsid w:val="00B36BDC"/>
    <w:rsid w:val="00B373C3"/>
    <w:rsid w:val="00B40554"/>
    <w:rsid w:val="00B4154C"/>
    <w:rsid w:val="00B42E66"/>
    <w:rsid w:val="00B4421E"/>
    <w:rsid w:val="00B46ABF"/>
    <w:rsid w:val="00B50256"/>
    <w:rsid w:val="00B502BD"/>
    <w:rsid w:val="00B5230F"/>
    <w:rsid w:val="00B52809"/>
    <w:rsid w:val="00B53C31"/>
    <w:rsid w:val="00B55143"/>
    <w:rsid w:val="00B563C2"/>
    <w:rsid w:val="00B63C90"/>
    <w:rsid w:val="00B644E8"/>
    <w:rsid w:val="00B64F04"/>
    <w:rsid w:val="00B65652"/>
    <w:rsid w:val="00B6581D"/>
    <w:rsid w:val="00B66E5A"/>
    <w:rsid w:val="00B67B8B"/>
    <w:rsid w:val="00B7108F"/>
    <w:rsid w:val="00B7343A"/>
    <w:rsid w:val="00B80E0E"/>
    <w:rsid w:val="00B80ED4"/>
    <w:rsid w:val="00B82D88"/>
    <w:rsid w:val="00B93C05"/>
    <w:rsid w:val="00B94C4B"/>
    <w:rsid w:val="00B94EAC"/>
    <w:rsid w:val="00B979BB"/>
    <w:rsid w:val="00BA0AF2"/>
    <w:rsid w:val="00BA4BD2"/>
    <w:rsid w:val="00BA5CC4"/>
    <w:rsid w:val="00BA743F"/>
    <w:rsid w:val="00BB0ECE"/>
    <w:rsid w:val="00BB4C5C"/>
    <w:rsid w:val="00BB4F26"/>
    <w:rsid w:val="00BB4F58"/>
    <w:rsid w:val="00BB7ECF"/>
    <w:rsid w:val="00BC1B4C"/>
    <w:rsid w:val="00BC1E97"/>
    <w:rsid w:val="00BC215F"/>
    <w:rsid w:val="00BC3456"/>
    <w:rsid w:val="00BC36DB"/>
    <w:rsid w:val="00BC464C"/>
    <w:rsid w:val="00BC545D"/>
    <w:rsid w:val="00BC56B3"/>
    <w:rsid w:val="00BC5D11"/>
    <w:rsid w:val="00BD56C4"/>
    <w:rsid w:val="00BD5B6D"/>
    <w:rsid w:val="00BD7135"/>
    <w:rsid w:val="00BE18F1"/>
    <w:rsid w:val="00BE51CC"/>
    <w:rsid w:val="00BE58DD"/>
    <w:rsid w:val="00BE7610"/>
    <w:rsid w:val="00BE79CB"/>
    <w:rsid w:val="00BF152C"/>
    <w:rsid w:val="00BF259D"/>
    <w:rsid w:val="00BF37EE"/>
    <w:rsid w:val="00BF453D"/>
    <w:rsid w:val="00BF56A7"/>
    <w:rsid w:val="00BF67DA"/>
    <w:rsid w:val="00BF6A89"/>
    <w:rsid w:val="00BF7E0E"/>
    <w:rsid w:val="00C00261"/>
    <w:rsid w:val="00C002CC"/>
    <w:rsid w:val="00C0421C"/>
    <w:rsid w:val="00C063DE"/>
    <w:rsid w:val="00C07150"/>
    <w:rsid w:val="00C12B2A"/>
    <w:rsid w:val="00C178D6"/>
    <w:rsid w:val="00C219D2"/>
    <w:rsid w:val="00C21C54"/>
    <w:rsid w:val="00C23D53"/>
    <w:rsid w:val="00C27227"/>
    <w:rsid w:val="00C32D1C"/>
    <w:rsid w:val="00C33A1D"/>
    <w:rsid w:val="00C34226"/>
    <w:rsid w:val="00C34EA4"/>
    <w:rsid w:val="00C35CED"/>
    <w:rsid w:val="00C3758B"/>
    <w:rsid w:val="00C37AF9"/>
    <w:rsid w:val="00C4498C"/>
    <w:rsid w:val="00C4509B"/>
    <w:rsid w:val="00C46803"/>
    <w:rsid w:val="00C5047A"/>
    <w:rsid w:val="00C50CFF"/>
    <w:rsid w:val="00C51103"/>
    <w:rsid w:val="00C51327"/>
    <w:rsid w:val="00C51452"/>
    <w:rsid w:val="00C53134"/>
    <w:rsid w:val="00C531AF"/>
    <w:rsid w:val="00C53C4B"/>
    <w:rsid w:val="00C54083"/>
    <w:rsid w:val="00C543F7"/>
    <w:rsid w:val="00C54620"/>
    <w:rsid w:val="00C546E5"/>
    <w:rsid w:val="00C5669E"/>
    <w:rsid w:val="00C569F4"/>
    <w:rsid w:val="00C57CB4"/>
    <w:rsid w:val="00C6192C"/>
    <w:rsid w:val="00C61F0A"/>
    <w:rsid w:val="00C65DFC"/>
    <w:rsid w:val="00C66FB9"/>
    <w:rsid w:val="00C722AF"/>
    <w:rsid w:val="00C74424"/>
    <w:rsid w:val="00C7564D"/>
    <w:rsid w:val="00C82433"/>
    <w:rsid w:val="00C838CE"/>
    <w:rsid w:val="00C85002"/>
    <w:rsid w:val="00C87C77"/>
    <w:rsid w:val="00C931C1"/>
    <w:rsid w:val="00C94E48"/>
    <w:rsid w:val="00CA03CB"/>
    <w:rsid w:val="00CA180D"/>
    <w:rsid w:val="00CA240E"/>
    <w:rsid w:val="00CA25A3"/>
    <w:rsid w:val="00CA57F0"/>
    <w:rsid w:val="00CA5F07"/>
    <w:rsid w:val="00CB0A61"/>
    <w:rsid w:val="00CB18BF"/>
    <w:rsid w:val="00CB3E2E"/>
    <w:rsid w:val="00CB48FA"/>
    <w:rsid w:val="00CB4937"/>
    <w:rsid w:val="00CB49C4"/>
    <w:rsid w:val="00CB5C41"/>
    <w:rsid w:val="00CB6C89"/>
    <w:rsid w:val="00CB6EDF"/>
    <w:rsid w:val="00CB76D7"/>
    <w:rsid w:val="00CC0AD2"/>
    <w:rsid w:val="00CC1135"/>
    <w:rsid w:val="00CC32AF"/>
    <w:rsid w:val="00CC39E6"/>
    <w:rsid w:val="00CC52DD"/>
    <w:rsid w:val="00CC54AB"/>
    <w:rsid w:val="00CC6266"/>
    <w:rsid w:val="00CC720A"/>
    <w:rsid w:val="00CD06BC"/>
    <w:rsid w:val="00CD2948"/>
    <w:rsid w:val="00CD2D2C"/>
    <w:rsid w:val="00CD4898"/>
    <w:rsid w:val="00CD4935"/>
    <w:rsid w:val="00CD62A5"/>
    <w:rsid w:val="00CD6331"/>
    <w:rsid w:val="00CD6FF6"/>
    <w:rsid w:val="00CE03E9"/>
    <w:rsid w:val="00CE47EF"/>
    <w:rsid w:val="00CF0C48"/>
    <w:rsid w:val="00CF1537"/>
    <w:rsid w:val="00CF21E7"/>
    <w:rsid w:val="00CF2D93"/>
    <w:rsid w:val="00CF3B89"/>
    <w:rsid w:val="00CF55D6"/>
    <w:rsid w:val="00CF5721"/>
    <w:rsid w:val="00CF59FF"/>
    <w:rsid w:val="00D013A9"/>
    <w:rsid w:val="00D0178C"/>
    <w:rsid w:val="00D01DD6"/>
    <w:rsid w:val="00D02858"/>
    <w:rsid w:val="00D02A2E"/>
    <w:rsid w:val="00D02B02"/>
    <w:rsid w:val="00D07677"/>
    <w:rsid w:val="00D07F3B"/>
    <w:rsid w:val="00D107CD"/>
    <w:rsid w:val="00D14CEB"/>
    <w:rsid w:val="00D15FB0"/>
    <w:rsid w:val="00D17342"/>
    <w:rsid w:val="00D1737D"/>
    <w:rsid w:val="00D213FB"/>
    <w:rsid w:val="00D21B44"/>
    <w:rsid w:val="00D23604"/>
    <w:rsid w:val="00D27406"/>
    <w:rsid w:val="00D276BB"/>
    <w:rsid w:val="00D30343"/>
    <w:rsid w:val="00D3254F"/>
    <w:rsid w:val="00D35D7A"/>
    <w:rsid w:val="00D36394"/>
    <w:rsid w:val="00D42313"/>
    <w:rsid w:val="00D42C88"/>
    <w:rsid w:val="00D43B91"/>
    <w:rsid w:val="00D45F0D"/>
    <w:rsid w:val="00D46D54"/>
    <w:rsid w:val="00D51846"/>
    <w:rsid w:val="00D546C5"/>
    <w:rsid w:val="00D56783"/>
    <w:rsid w:val="00D56988"/>
    <w:rsid w:val="00D6178F"/>
    <w:rsid w:val="00D61792"/>
    <w:rsid w:val="00D61A7F"/>
    <w:rsid w:val="00D632F8"/>
    <w:rsid w:val="00D64AE3"/>
    <w:rsid w:val="00D66CCD"/>
    <w:rsid w:val="00D66D81"/>
    <w:rsid w:val="00D70850"/>
    <w:rsid w:val="00D70A4B"/>
    <w:rsid w:val="00D7118F"/>
    <w:rsid w:val="00D75688"/>
    <w:rsid w:val="00D75C88"/>
    <w:rsid w:val="00D80DD4"/>
    <w:rsid w:val="00D8110D"/>
    <w:rsid w:val="00D8512E"/>
    <w:rsid w:val="00D87792"/>
    <w:rsid w:val="00D879E2"/>
    <w:rsid w:val="00D87F33"/>
    <w:rsid w:val="00D92D61"/>
    <w:rsid w:val="00D9617D"/>
    <w:rsid w:val="00DA469F"/>
    <w:rsid w:val="00DA6C21"/>
    <w:rsid w:val="00DB03E1"/>
    <w:rsid w:val="00DB10D1"/>
    <w:rsid w:val="00DB2198"/>
    <w:rsid w:val="00DB3F3B"/>
    <w:rsid w:val="00DB43AA"/>
    <w:rsid w:val="00DB7752"/>
    <w:rsid w:val="00DC146B"/>
    <w:rsid w:val="00DC3242"/>
    <w:rsid w:val="00DC3A36"/>
    <w:rsid w:val="00DC64DD"/>
    <w:rsid w:val="00DC6BFE"/>
    <w:rsid w:val="00DD2B7E"/>
    <w:rsid w:val="00DD34B1"/>
    <w:rsid w:val="00DD41C5"/>
    <w:rsid w:val="00DD4C8E"/>
    <w:rsid w:val="00DD4DB4"/>
    <w:rsid w:val="00DD510D"/>
    <w:rsid w:val="00DD6264"/>
    <w:rsid w:val="00DE1012"/>
    <w:rsid w:val="00DE26A5"/>
    <w:rsid w:val="00DE6FE9"/>
    <w:rsid w:val="00DE76AC"/>
    <w:rsid w:val="00DE7B12"/>
    <w:rsid w:val="00DF07B3"/>
    <w:rsid w:val="00DF19EE"/>
    <w:rsid w:val="00DF341C"/>
    <w:rsid w:val="00DF381A"/>
    <w:rsid w:val="00DF4BD2"/>
    <w:rsid w:val="00DF539B"/>
    <w:rsid w:val="00DF6E45"/>
    <w:rsid w:val="00E011D0"/>
    <w:rsid w:val="00E031CA"/>
    <w:rsid w:val="00E057FE"/>
    <w:rsid w:val="00E111E8"/>
    <w:rsid w:val="00E11439"/>
    <w:rsid w:val="00E122D1"/>
    <w:rsid w:val="00E146A3"/>
    <w:rsid w:val="00E14C44"/>
    <w:rsid w:val="00E162B4"/>
    <w:rsid w:val="00E162C3"/>
    <w:rsid w:val="00E2238F"/>
    <w:rsid w:val="00E23754"/>
    <w:rsid w:val="00E25FEB"/>
    <w:rsid w:val="00E27BD1"/>
    <w:rsid w:val="00E3287C"/>
    <w:rsid w:val="00E33753"/>
    <w:rsid w:val="00E35199"/>
    <w:rsid w:val="00E37222"/>
    <w:rsid w:val="00E43059"/>
    <w:rsid w:val="00E43781"/>
    <w:rsid w:val="00E441B5"/>
    <w:rsid w:val="00E4562F"/>
    <w:rsid w:val="00E47D7A"/>
    <w:rsid w:val="00E5448B"/>
    <w:rsid w:val="00E550B0"/>
    <w:rsid w:val="00E55302"/>
    <w:rsid w:val="00E568BE"/>
    <w:rsid w:val="00E56BF2"/>
    <w:rsid w:val="00E56DAE"/>
    <w:rsid w:val="00E60023"/>
    <w:rsid w:val="00E60C10"/>
    <w:rsid w:val="00E62C3B"/>
    <w:rsid w:val="00E641AB"/>
    <w:rsid w:val="00E73897"/>
    <w:rsid w:val="00E743BF"/>
    <w:rsid w:val="00E74750"/>
    <w:rsid w:val="00E74F48"/>
    <w:rsid w:val="00E80CB4"/>
    <w:rsid w:val="00E80DA9"/>
    <w:rsid w:val="00E845BF"/>
    <w:rsid w:val="00E84A48"/>
    <w:rsid w:val="00E84E03"/>
    <w:rsid w:val="00E85315"/>
    <w:rsid w:val="00E86931"/>
    <w:rsid w:val="00E87B8C"/>
    <w:rsid w:val="00E9176A"/>
    <w:rsid w:val="00E92285"/>
    <w:rsid w:val="00EA08A1"/>
    <w:rsid w:val="00EA0E47"/>
    <w:rsid w:val="00EA17C2"/>
    <w:rsid w:val="00EA4192"/>
    <w:rsid w:val="00EA425A"/>
    <w:rsid w:val="00EA5B97"/>
    <w:rsid w:val="00EB2A11"/>
    <w:rsid w:val="00EB301F"/>
    <w:rsid w:val="00EB31E2"/>
    <w:rsid w:val="00EB3D5C"/>
    <w:rsid w:val="00EB784A"/>
    <w:rsid w:val="00EC1D80"/>
    <w:rsid w:val="00EC681B"/>
    <w:rsid w:val="00ED253A"/>
    <w:rsid w:val="00ED5090"/>
    <w:rsid w:val="00ED6723"/>
    <w:rsid w:val="00EE13BA"/>
    <w:rsid w:val="00EE2963"/>
    <w:rsid w:val="00EE3CE8"/>
    <w:rsid w:val="00EE5411"/>
    <w:rsid w:val="00EE5C60"/>
    <w:rsid w:val="00EE7131"/>
    <w:rsid w:val="00EF5CDE"/>
    <w:rsid w:val="00EF7056"/>
    <w:rsid w:val="00EF7E45"/>
    <w:rsid w:val="00F015CD"/>
    <w:rsid w:val="00F02634"/>
    <w:rsid w:val="00F0307E"/>
    <w:rsid w:val="00F035E4"/>
    <w:rsid w:val="00F0545C"/>
    <w:rsid w:val="00F10F86"/>
    <w:rsid w:val="00F141DB"/>
    <w:rsid w:val="00F15675"/>
    <w:rsid w:val="00F156B5"/>
    <w:rsid w:val="00F15A1C"/>
    <w:rsid w:val="00F1696C"/>
    <w:rsid w:val="00F16DFE"/>
    <w:rsid w:val="00F20FB5"/>
    <w:rsid w:val="00F2328F"/>
    <w:rsid w:val="00F25F43"/>
    <w:rsid w:val="00F30B19"/>
    <w:rsid w:val="00F337D9"/>
    <w:rsid w:val="00F338A1"/>
    <w:rsid w:val="00F33BFD"/>
    <w:rsid w:val="00F3552A"/>
    <w:rsid w:val="00F36FA9"/>
    <w:rsid w:val="00F37D61"/>
    <w:rsid w:val="00F40492"/>
    <w:rsid w:val="00F40662"/>
    <w:rsid w:val="00F42117"/>
    <w:rsid w:val="00F475A9"/>
    <w:rsid w:val="00F4763A"/>
    <w:rsid w:val="00F53A6C"/>
    <w:rsid w:val="00F56B18"/>
    <w:rsid w:val="00F61310"/>
    <w:rsid w:val="00F64638"/>
    <w:rsid w:val="00F66F62"/>
    <w:rsid w:val="00F704FB"/>
    <w:rsid w:val="00F7209D"/>
    <w:rsid w:val="00F72B8B"/>
    <w:rsid w:val="00F72E01"/>
    <w:rsid w:val="00F73E50"/>
    <w:rsid w:val="00F74686"/>
    <w:rsid w:val="00F81081"/>
    <w:rsid w:val="00F81496"/>
    <w:rsid w:val="00F82214"/>
    <w:rsid w:val="00F84252"/>
    <w:rsid w:val="00F85B92"/>
    <w:rsid w:val="00F85BB3"/>
    <w:rsid w:val="00F91141"/>
    <w:rsid w:val="00F91D5C"/>
    <w:rsid w:val="00F95434"/>
    <w:rsid w:val="00F964C5"/>
    <w:rsid w:val="00FA03B5"/>
    <w:rsid w:val="00FA34D4"/>
    <w:rsid w:val="00FA4292"/>
    <w:rsid w:val="00FA53C8"/>
    <w:rsid w:val="00FA778E"/>
    <w:rsid w:val="00FB0C5D"/>
    <w:rsid w:val="00FB3B1F"/>
    <w:rsid w:val="00FB73A4"/>
    <w:rsid w:val="00FC39AD"/>
    <w:rsid w:val="00FC46D6"/>
    <w:rsid w:val="00FC4C35"/>
    <w:rsid w:val="00FC58DA"/>
    <w:rsid w:val="00FC5A4F"/>
    <w:rsid w:val="00FD0981"/>
    <w:rsid w:val="00FD2C4B"/>
    <w:rsid w:val="00FD4439"/>
    <w:rsid w:val="00FD4B69"/>
    <w:rsid w:val="00FD4E92"/>
    <w:rsid w:val="00FE06E6"/>
    <w:rsid w:val="00FE692B"/>
    <w:rsid w:val="00FE6DDC"/>
    <w:rsid w:val="00FF13B7"/>
    <w:rsid w:val="00FF2328"/>
    <w:rsid w:val="00FF4F96"/>
    <w:rsid w:val="00FF628C"/>
    <w:rsid w:val="00FF6ADF"/>
    <w:rsid w:val="50D8BDE1"/>
    <w:rsid w:val="616AB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9A847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uiPriority="9" w:qFormat="1"/>
    <w:lsdException w:name="heading 7" w:uiPriority="9" w:qFormat="1"/>
    <w:lsdException w:name="heading 8" w:uiPriority="9" w:qFormat="1"/>
    <w:lsdException w:name="heading 9" w:qFormat="1"/>
    <w:lsdException w:name="annotation text"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Note Level 8" w:unhideWhenUsed="0"/>
    <w:lsdException w:name="Note Level 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F2"/>
    <w:rPr>
      <w:lang w:val="en-GB" w:eastAsia="en-GB"/>
    </w:rPr>
  </w:style>
  <w:style w:type="paragraph" w:styleId="Heading1">
    <w:name w:val="heading 1"/>
    <w:basedOn w:val="Normal"/>
    <w:next w:val="Normal"/>
    <w:link w:val="Heading1Char"/>
    <w:qFormat/>
    <w:rsid w:val="00E23729"/>
    <w:pPr>
      <w:keepNext/>
      <w:spacing w:before="120" w:line="360" w:lineRule="auto"/>
      <w:jc w:val="center"/>
      <w:outlineLvl w:val="0"/>
    </w:pPr>
    <w:rPr>
      <w:rFonts w:ascii="Times" w:eastAsia="Times" w:hAnsi="Times"/>
      <w:i/>
      <w:szCs w:val="20"/>
      <w:lang w:eastAsia="en-US"/>
    </w:rPr>
  </w:style>
  <w:style w:type="paragraph" w:styleId="Heading2">
    <w:name w:val="heading 2"/>
    <w:basedOn w:val="Normal"/>
    <w:next w:val="Normal"/>
    <w:link w:val="Heading2Char"/>
    <w:qFormat/>
    <w:rsid w:val="00E2372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outlineLvl w:val="1"/>
    </w:pPr>
    <w:rPr>
      <w:color w:val="000000"/>
      <w:szCs w:val="20"/>
      <w:u w:val="single" w:color="000000"/>
      <w:lang w:val="en-US" w:eastAsia="en-US"/>
    </w:rPr>
  </w:style>
  <w:style w:type="paragraph" w:styleId="Heading3">
    <w:name w:val="heading 3"/>
    <w:basedOn w:val="Normal"/>
    <w:next w:val="Normal"/>
    <w:link w:val="Heading3Char"/>
    <w:qFormat/>
    <w:rsid w:val="00E2372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outlineLvl w:val="2"/>
    </w:pPr>
    <w:rPr>
      <w:color w:val="000000"/>
      <w:szCs w:val="20"/>
      <w:u w:val="single" w:color="000000"/>
      <w:lang w:val="en-US" w:eastAsia="en-US"/>
    </w:rPr>
  </w:style>
  <w:style w:type="paragraph" w:styleId="Heading4">
    <w:name w:val="heading 4"/>
    <w:aliases w:val="Text"/>
    <w:basedOn w:val="Normal"/>
    <w:qFormat/>
    <w:rsid w:val="00C40478"/>
    <w:pPr>
      <w:spacing w:after="240" w:line="360" w:lineRule="auto"/>
      <w:outlineLvl w:val="3"/>
    </w:pPr>
    <w:rPr>
      <w:rFonts w:ascii="AppleGaramond Lt" w:hAnsi="AppleGaramond Lt"/>
      <w:szCs w:val="20"/>
      <w:lang w:val="en-AU" w:eastAsia="en-US"/>
    </w:rPr>
  </w:style>
  <w:style w:type="paragraph" w:styleId="Heading5">
    <w:name w:val="heading 5"/>
    <w:basedOn w:val="Normal"/>
    <w:next w:val="Normal"/>
    <w:link w:val="Heading5Char"/>
    <w:qFormat/>
    <w:rsid w:val="00E2372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4"/>
    </w:pPr>
    <w:rPr>
      <w:b/>
      <w:color w:val="000000"/>
      <w:sz w:val="20"/>
      <w:szCs w:val="20"/>
      <w:u w:color="000000"/>
      <w:lang w:val="en-US" w:eastAsia="en-US"/>
    </w:rPr>
  </w:style>
  <w:style w:type="paragraph" w:styleId="Heading6">
    <w:name w:val="heading 6"/>
    <w:basedOn w:val="Normal"/>
    <w:next w:val="Normal"/>
    <w:link w:val="Heading6Char"/>
    <w:uiPriority w:val="9"/>
    <w:qFormat/>
    <w:rsid w:val="00E23729"/>
    <w:pPr>
      <w:spacing w:before="240" w:after="60"/>
      <w:outlineLvl w:val="5"/>
    </w:pPr>
    <w:rPr>
      <w:b/>
      <w:sz w:val="22"/>
      <w:szCs w:val="22"/>
      <w:lang w:val="en-US" w:eastAsia="en-US"/>
    </w:rPr>
  </w:style>
  <w:style w:type="paragraph" w:styleId="Heading7">
    <w:name w:val="heading 7"/>
    <w:basedOn w:val="Normal"/>
    <w:next w:val="Normal"/>
    <w:link w:val="Heading7Char"/>
    <w:uiPriority w:val="9"/>
    <w:qFormat/>
    <w:rsid w:val="00E23729"/>
    <w:pPr>
      <w:keepNext/>
      <w:spacing w:before="120" w:line="360" w:lineRule="auto"/>
      <w:outlineLvl w:val="6"/>
    </w:pPr>
    <w:rPr>
      <w:b/>
      <w:color w:val="000000"/>
      <w:szCs w:val="20"/>
      <w:u w:color="000000"/>
      <w:lang w:val="en-US" w:eastAsia="en-US"/>
    </w:rPr>
  </w:style>
  <w:style w:type="paragraph" w:styleId="Heading8">
    <w:name w:val="heading 8"/>
    <w:basedOn w:val="Normal"/>
    <w:next w:val="Normal"/>
    <w:link w:val="Heading8Char"/>
    <w:uiPriority w:val="9"/>
    <w:qFormat/>
    <w:rsid w:val="00722E5C"/>
    <w:pPr>
      <w:spacing w:before="240" w:after="60" w:line="276" w:lineRule="auto"/>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2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82CEC"/>
    <w:pPr>
      <w:spacing w:before="120" w:line="360" w:lineRule="auto"/>
      <w:jc w:val="both"/>
    </w:pPr>
    <w:rPr>
      <w:rFonts w:ascii="Times" w:eastAsia="Times" w:hAnsi="Times"/>
      <w:szCs w:val="20"/>
      <w:lang w:eastAsia="en-US"/>
    </w:rPr>
  </w:style>
  <w:style w:type="paragraph" w:styleId="Footer">
    <w:name w:val="footer"/>
    <w:basedOn w:val="Normal"/>
    <w:semiHidden/>
    <w:rsid w:val="00871DDE"/>
    <w:pPr>
      <w:tabs>
        <w:tab w:val="center" w:pos="4320"/>
        <w:tab w:val="right" w:pos="8640"/>
      </w:tabs>
    </w:pPr>
    <w:rPr>
      <w:lang w:val="en-US" w:eastAsia="en-US"/>
    </w:rPr>
  </w:style>
  <w:style w:type="character" w:styleId="PageNumber">
    <w:name w:val="page number"/>
    <w:basedOn w:val="DefaultParagraphFont"/>
    <w:rsid w:val="00871DDE"/>
  </w:style>
  <w:style w:type="paragraph" w:styleId="BalloonText">
    <w:name w:val="Balloon Text"/>
    <w:basedOn w:val="Normal"/>
    <w:link w:val="BalloonTextChar"/>
    <w:uiPriority w:val="99"/>
    <w:semiHidden/>
    <w:rsid w:val="00BA1A7A"/>
    <w:rPr>
      <w:rFonts w:ascii="Lucida Grande" w:hAnsi="Lucida Grande"/>
      <w:sz w:val="18"/>
      <w:szCs w:val="18"/>
    </w:rPr>
  </w:style>
  <w:style w:type="paragraph" w:styleId="BodyTextIndent2">
    <w:name w:val="Body Text Indent 2"/>
    <w:basedOn w:val="Normal"/>
    <w:rsid w:val="00E23729"/>
    <w:pPr>
      <w:spacing w:after="120" w:line="480" w:lineRule="auto"/>
      <w:ind w:left="283"/>
    </w:pPr>
    <w:rPr>
      <w:lang w:val="en-US" w:eastAsia="en-US"/>
    </w:rPr>
  </w:style>
  <w:style w:type="paragraph" w:styleId="Title">
    <w:name w:val="Title"/>
    <w:basedOn w:val="Normal"/>
    <w:qFormat/>
    <w:rsid w:val="00E23729"/>
    <w:pPr>
      <w:spacing w:before="120" w:line="360" w:lineRule="auto"/>
      <w:jc w:val="center"/>
    </w:pPr>
    <w:rPr>
      <w:rFonts w:ascii="Times" w:eastAsia="Times" w:hAnsi="Times"/>
      <w:b/>
      <w:szCs w:val="20"/>
      <w:u w:val="single"/>
      <w:lang w:eastAsia="en-US"/>
    </w:rPr>
  </w:style>
  <w:style w:type="paragraph" w:styleId="Subtitle">
    <w:name w:val="Subtitle"/>
    <w:basedOn w:val="Normal"/>
    <w:qFormat/>
    <w:rsid w:val="00E23729"/>
    <w:pPr>
      <w:spacing w:before="120" w:line="360" w:lineRule="auto"/>
      <w:jc w:val="center"/>
    </w:pPr>
    <w:rPr>
      <w:rFonts w:ascii="Times" w:eastAsia="Times" w:hAnsi="Times"/>
      <w:b/>
      <w:szCs w:val="20"/>
      <w:lang w:eastAsia="en-US"/>
    </w:rPr>
  </w:style>
  <w:style w:type="paragraph" w:styleId="BodyText">
    <w:name w:val="Body Text"/>
    <w:basedOn w:val="Normal"/>
    <w:rsid w:val="00E2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pPr>
    <w:rPr>
      <w:color w:val="000000"/>
      <w:szCs w:val="20"/>
      <w:u w:color="000000"/>
      <w:lang w:val="en-US" w:eastAsia="en-US"/>
    </w:rPr>
  </w:style>
  <w:style w:type="paragraph" w:customStyle="1" w:styleId="xl24">
    <w:name w:val="xl24"/>
    <w:basedOn w:val="Normal"/>
    <w:rsid w:val="00E23729"/>
    <w:pPr>
      <w:spacing w:before="100" w:beforeAutospacing="1" w:after="100" w:afterAutospacing="1"/>
      <w:jc w:val="center"/>
    </w:pPr>
    <w:rPr>
      <w:rFonts w:eastAsia="Arial Unicode MS"/>
      <w:b/>
      <w:szCs w:val="20"/>
      <w:lang w:eastAsia="en-US"/>
    </w:rPr>
  </w:style>
  <w:style w:type="paragraph" w:customStyle="1" w:styleId="xl25">
    <w:name w:val="xl25"/>
    <w:basedOn w:val="Normal"/>
    <w:rsid w:val="00E23729"/>
    <w:pPr>
      <w:pBdr>
        <w:left w:val="single" w:sz="4" w:space="0" w:color="auto"/>
      </w:pBdr>
      <w:spacing w:before="100" w:beforeAutospacing="1" w:after="100" w:afterAutospacing="1"/>
      <w:jc w:val="center"/>
    </w:pPr>
    <w:rPr>
      <w:rFonts w:eastAsia="Arial Unicode MS"/>
      <w:b/>
      <w:szCs w:val="20"/>
      <w:lang w:eastAsia="en-US"/>
    </w:rPr>
  </w:style>
  <w:style w:type="paragraph" w:customStyle="1" w:styleId="xl26">
    <w:name w:val="xl26"/>
    <w:basedOn w:val="Normal"/>
    <w:rsid w:val="00E23729"/>
    <w:pPr>
      <w:pBdr>
        <w:left w:val="single" w:sz="4" w:space="0" w:color="auto"/>
      </w:pBdr>
      <w:spacing w:before="100" w:beforeAutospacing="1" w:after="100" w:afterAutospacing="1"/>
      <w:jc w:val="center"/>
    </w:pPr>
    <w:rPr>
      <w:rFonts w:eastAsia="Arial Unicode MS"/>
      <w:b/>
      <w:szCs w:val="20"/>
      <w:lang w:eastAsia="en-US"/>
    </w:rPr>
  </w:style>
  <w:style w:type="paragraph" w:customStyle="1" w:styleId="xl27">
    <w:name w:val="xl27"/>
    <w:basedOn w:val="Normal"/>
    <w:rsid w:val="00E23729"/>
    <w:pPr>
      <w:pBdr>
        <w:left w:val="single" w:sz="4" w:space="0" w:color="auto"/>
        <w:bottom w:val="single" w:sz="4" w:space="0" w:color="auto"/>
      </w:pBdr>
      <w:spacing w:before="100" w:beforeAutospacing="1" w:after="100" w:afterAutospacing="1"/>
      <w:jc w:val="center"/>
    </w:pPr>
    <w:rPr>
      <w:rFonts w:eastAsia="Arial Unicode MS"/>
      <w:szCs w:val="20"/>
      <w:lang w:eastAsia="en-US"/>
    </w:rPr>
  </w:style>
  <w:style w:type="paragraph" w:customStyle="1" w:styleId="xl28">
    <w:name w:val="xl28"/>
    <w:basedOn w:val="Normal"/>
    <w:rsid w:val="00E23729"/>
    <w:pPr>
      <w:pBdr>
        <w:left w:val="single" w:sz="4" w:space="0" w:color="auto"/>
        <w:bottom w:val="single" w:sz="4" w:space="0" w:color="auto"/>
      </w:pBdr>
      <w:spacing w:before="100" w:beforeAutospacing="1" w:after="100" w:afterAutospacing="1"/>
      <w:jc w:val="center"/>
    </w:pPr>
    <w:rPr>
      <w:rFonts w:eastAsia="Arial Unicode MS"/>
      <w:szCs w:val="20"/>
      <w:lang w:eastAsia="en-US"/>
    </w:rPr>
  </w:style>
  <w:style w:type="paragraph" w:customStyle="1" w:styleId="xl29">
    <w:name w:val="xl29"/>
    <w:basedOn w:val="Normal"/>
    <w:rsid w:val="00E23729"/>
    <w:pPr>
      <w:pBdr>
        <w:bottom w:val="single" w:sz="4" w:space="0" w:color="auto"/>
      </w:pBdr>
      <w:spacing w:before="100" w:beforeAutospacing="1" w:after="100" w:afterAutospacing="1"/>
      <w:jc w:val="center"/>
    </w:pPr>
    <w:rPr>
      <w:rFonts w:eastAsia="Arial Unicode MS"/>
      <w:szCs w:val="20"/>
      <w:lang w:eastAsia="en-US"/>
    </w:rPr>
  </w:style>
  <w:style w:type="paragraph" w:customStyle="1" w:styleId="xl30">
    <w:name w:val="xl30"/>
    <w:basedOn w:val="Normal"/>
    <w:rsid w:val="00E23729"/>
    <w:pPr>
      <w:pBdr>
        <w:righ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31">
    <w:name w:val="xl31"/>
    <w:basedOn w:val="Normal"/>
    <w:rsid w:val="00E23729"/>
    <w:pPr>
      <w:pBdr>
        <w:bottom w:val="single" w:sz="4" w:space="0" w:color="auto"/>
        <w:righ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32">
    <w:name w:val="xl32"/>
    <w:basedOn w:val="Normal"/>
    <w:rsid w:val="00E23729"/>
    <w:pPr>
      <w:pBdr>
        <w:bottom w:val="single" w:sz="4" w:space="0" w:color="auto"/>
      </w:pBdr>
      <w:spacing w:before="100" w:beforeAutospacing="1" w:after="100" w:afterAutospacing="1"/>
      <w:jc w:val="center"/>
    </w:pPr>
    <w:rPr>
      <w:rFonts w:ascii="Arial" w:eastAsia="Arial Unicode MS" w:hAnsi="Arial"/>
      <w:b/>
      <w:szCs w:val="20"/>
      <w:lang w:eastAsia="en-US"/>
    </w:rPr>
  </w:style>
  <w:style w:type="paragraph" w:customStyle="1" w:styleId="xl33">
    <w:name w:val="xl33"/>
    <w:basedOn w:val="Normal"/>
    <w:rsid w:val="00E23729"/>
    <w:pPr>
      <w:spacing w:before="100" w:beforeAutospacing="1" w:after="100" w:afterAutospacing="1"/>
      <w:jc w:val="center"/>
    </w:pPr>
    <w:rPr>
      <w:rFonts w:ascii="Arial" w:eastAsia="Arial Unicode MS" w:hAnsi="Arial"/>
      <w:b/>
      <w:szCs w:val="20"/>
      <w:lang w:eastAsia="en-US"/>
    </w:rPr>
  </w:style>
  <w:style w:type="paragraph" w:customStyle="1" w:styleId="xl34">
    <w:name w:val="xl34"/>
    <w:basedOn w:val="Normal"/>
    <w:rsid w:val="00E23729"/>
    <w:pPr>
      <w:spacing w:before="100" w:beforeAutospacing="1" w:after="100" w:afterAutospacing="1"/>
      <w:jc w:val="center"/>
    </w:pPr>
    <w:rPr>
      <w:rFonts w:ascii="Arial Unicode MS" w:eastAsia="Arial Unicode MS" w:hAnsi="Arial Unicode MS"/>
      <w:szCs w:val="20"/>
      <w:lang w:eastAsia="en-US"/>
    </w:rPr>
  </w:style>
  <w:style w:type="paragraph" w:customStyle="1" w:styleId="xl35">
    <w:name w:val="xl35"/>
    <w:basedOn w:val="Normal"/>
    <w:rsid w:val="00E23729"/>
    <w:pPr>
      <w:pBdr>
        <w:bottom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36">
    <w:name w:val="xl36"/>
    <w:basedOn w:val="Normal"/>
    <w:rsid w:val="00E23729"/>
    <w:pPr>
      <w:spacing w:before="100" w:beforeAutospacing="1" w:after="100" w:afterAutospacing="1"/>
      <w:jc w:val="center"/>
    </w:pPr>
    <w:rPr>
      <w:rFonts w:ascii="Arial Unicode MS" w:eastAsia="Arial Unicode MS" w:hAnsi="Arial Unicode MS"/>
      <w:szCs w:val="20"/>
      <w:lang w:eastAsia="en-US"/>
    </w:rPr>
  </w:style>
  <w:style w:type="paragraph" w:customStyle="1" w:styleId="xl37">
    <w:name w:val="xl37"/>
    <w:basedOn w:val="Normal"/>
    <w:rsid w:val="00E23729"/>
    <w:pPr>
      <w:spacing w:before="100" w:beforeAutospacing="1" w:after="100" w:afterAutospacing="1"/>
    </w:pPr>
    <w:rPr>
      <w:rFonts w:ascii="Arial" w:eastAsia="Arial Unicode MS" w:hAnsi="Arial"/>
      <w:b/>
      <w:szCs w:val="20"/>
      <w:lang w:eastAsia="en-US"/>
    </w:rPr>
  </w:style>
  <w:style w:type="paragraph" w:customStyle="1" w:styleId="xl38">
    <w:name w:val="xl38"/>
    <w:basedOn w:val="Normal"/>
    <w:rsid w:val="00E23729"/>
    <w:pPr>
      <w:spacing w:before="100" w:beforeAutospacing="1" w:after="100" w:afterAutospacing="1"/>
    </w:pPr>
    <w:rPr>
      <w:rFonts w:ascii="Arial Unicode MS" w:eastAsia="Arial Unicode MS" w:hAnsi="Arial Unicode MS"/>
      <w:b/>
      <w:szCs w:val="20"/>
      <w:lang w:eastAsia="en-US"/>
    </w:rPr>
  </w:style>
  <w:style w:type="paragraph" w:customStyle="1" w:styleId="xl39">
    <w:name w:val="xl39"/>
    <w:basedOn w:val="Normal"/>
    <w:rsid w:val="00E23729"/>
    <w:pPr>
      <w:spacing w:before="100" w:beforeAutospacing="1" w:after="100" w:afterAutospacing="1"/>
      <w:jc w:val="center"/>
    </w:pPr>
    <w:rPr>
      <w:rFonts w:ascii="Arial Unicode MS" w:eastAsia="Arial Unicode MS" w:hAnsi="Arial Unicode MS"/>
      <w:b/>
      <w:szCs w:val="20"/>
      <w:lang w:eastAsia="en-US"/>
    </w:rPr>
  </w:style>
  <w:style w:type="paragraph" w:customStyle="1" w:styleId="xl40">
    <w:name w:val="xl40"/>
    <w:basedOn w:val="Normal"/>
    <w:rsid w:val="00E23729"/>
    <w:pPr>
      <w:pBdr>
        <w:lef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41">
    <w:name w:val="xl41"/>
    <w:basedOn w:val="Normal"/>
    <w:rsid w:val="00E23729"/>
    <w:pPr>
      <w:pBdr>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42">
    <w:name w:val="xl42"/>
    <w:basedOn w:val="Normal"/>
    <w:rsid w:val="00E23729"/>
    <w:pPr>
      <w:pBdr>
        <w:top w:val="single" w:sz="8" w:space="0" w:color="auto"/>
        <w:left w:val="single" w:sz="8" w:space="0" w:color="auto"/>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43">
    <w:name w:val="xl43"/>
    <w:basedOn w:val="Normal"/>
    <w:rsid w:val="00E23729"/>
    <w:pPr>
      <w:pBdr>
        <w:top w:val="single" w:sz="8" w:space="0" w:color="auto"/>
      </w:pBdr>
      <w:spacing w:before="100" w:beforeAutospacing="1" w:after="100" w:afterAutospacing="1"/>
      <w:jc w:val="center"/>
    </w:pPr>
    <w:rPr>
      <w:rFonts w:eastAsia="Arial Unicode MS"/>
      <w:b/>
      <w:szCs w:val="20"/>
      <w:lang w:eastAsia="en-US"/>
    </w:rPr>
  </w:style>
  <w:style w:type="paragraph" w:customStyle="1" w:styleId="xl44">
    <w:name w:val="xl44"/>
    <w:basedOn w:val="Normal"/>
    <w:rsid w:val="00E23729"/>
    <w:pPr>
      <w:pBdr>
        <w:top w:val="single" w:sz="8" w:space="0" w:color="auto"/>
      </w:pBdr>
      <w:spacing w:before="100" w:beforeAutospacing="1" w:after="100" w:afterAutospacing="1"/>
      <w:jc w:val="center"/>
    </w:pPr>
    <w:rPr>
      <w:rFonts w:ascii="Arial" w:eastAsia="Arial Unicode MS" w:hAnsi="Arial"/>
      <w:b/>
      <w:szCs w:val="20"/>
      <w:lang w:eastAsia="en-US"/>
    </w:rPr>
  </w:style>
  <w:style w:type="paragraph" w:customStyle="1" w:styleId="xl45">
    <w:name w:val="xl45"/>
    <w:basedOn w:val="Normal"/>
    <w:rsid w:val="00E23729"/>
    <w:pPr>
      <w:pBdr>
        <w:top w:val="single" w:sz="8"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46">
    <w:name w:val="xl46"/>
    <w:basedOn w:val="Normal"/>
    <w:rsid w:val="00E23729"/>
    <w:pPr>
      <w:pBdr>
        <w:top w:val="single" w:sz="8" w:space="0" w:color="auto"/>
        <w:left w:val="single" w:sz="4" w:space="0" w:color="auto"/>
      </w:pBdr>
      <w:spacing w:before="100" w:beforeAutospacing="1" w:after="100" w:afterAutospacing="1"/>
      <w:jc w:val="center"/>
    </w:pPr>
    <w:rPr>
      <w:rFonts w:eastAsia="Arial Unicode MS"/>
      <w:b/>
      <w:szCs w:val="20"/>
      <w:lang w:eastAsia="en-US"/>
    </w:rPr>
  </w:style>
  <w:style w:type="paragraph" w:customStyle="1" w:styleId="xl47">
    <w:name w:val="xl47"/>
    <w:basedOn w:val="Normal"/>
    <w:rsid w:val="00E23729"/>
    <w:pPr>
      <w:pBdr>
        <w:top w:val="single" w:sz="8" w:space="0" w:color="auto"/>
        <w:righ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48">
    <w:name w:val="xl48"/>
    <w:basedOn w:val="Normal"/>
    <w:rsid w:val="00E23729"/>
    <w:pPr>
      <w:pBdr>
        <w:top w:val="single" w:sz="8" w:space="0" w:color="auto"/>
        <w:lef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49">
    <w:name w:val="xl49"/>
    <w:basedOn w:val="Normal"/>
    <w:rsid w:val="00E23729"/>
    <w:pPr>
      <w:pBdr>
        <w:top w:val="single" w:sz="8" w:space="0" w:color="auto"/>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50">
    <w:name w:val="xl50"/>
    <w:basedOn w:val="Normal"/>
    <w:rsid w:val="00E23729"/>
    <w:pPr>
      <w:pBdr>
        <w:top w:val="single" w:sz="8" w:space="0" w:color="auto"/>
        <w:right w:val="single" w:sz="8"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51">
    <w:name w:val="xl51"/>
    <w:basedOn w:val="Normal"/>
    <w:rsid w:val="00E23729"/>
    <w:pPr>
      <w:pBdr>
        <w:left w:val="single" w:sz="8" w:space="0" w:color="auto"/>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52">
    <w:name w:val="xl52"/>
    <w:basedOn w:val="Normal"/>
    <w:rsid w:val="00E23729"/>
    <w:pPr>
      <w:pBdr>
        <w:right w:val="single" w:sz="8"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53">
    <w:name w:val="xl53"/>
    <w:basedOn w:val="Normal"/>
    <w:rsid w:val="00E23729"/>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54">
    <w:name w:val="xl54"/>
    <w:basedOn w:val="Normal"/>
    <w:rsid w:val="00E23729"/>
    <w:pPr>
      <w:pBdr>
        <w:right w:val="single" w:sz="8" w:space="0" w:color="auto"/>
      </w:pBdr>
      <w:spacing w:before="100" w:beforeAutospacing="1" w:after="100" w:afterAutospacing="1"/>
    </w:pPr>
    <w:rPr>
      <w:rFonts w:ascii="Arial Unicode MS" w:eastAsia="Arial Unicode MS" w:hAnsi="Arial Unicode MS"/>
      <w:szCs w:val="20"/>
      <w:lang w:eastAsia="en-US"/>
    </w:rPr>
  </w:style>
  <w:style w:type="paragraph" w:customStyle="1" w:styleId="xl55">
    <w:name w:val="xl55"/>
    <w:basedOn w:val="Normal"/>
    <w:rsid w:val="00E23729"/>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56">
    <w:name w:val="xl56"/>
    <w:basedOn w:val="Normal"/>
    <w:rsid w:val="00E23729"/>
    <w:pPr>
      <w:pBdr>
        <w:bottom w:val="single" w:sz="8" w:space="0" w:color="auto"/>
      </w:pBdr>
      <w:spacing w:before="100" w:beforeAutospacing="1" w:after="100" w:afterAutospacing="1"/>
    </w:pPr>
    <w:rPr>
      <w:rFonts w:ascii="Arial" w:eastAsia="Arial Unicode MS" w:hAnsi="Arial"/>
      <w:b/>
      <w:szCs w:val="20"/>
      <w:lang w:eastAsia="en-US"/>
    </w:rPr>
  </w:style>
  <w:style w:type="paragraph" w:customStyle="1" w:styleId="xl57">
    <w:name w:val="xl57"/>
    <w:basedOn w:val="Normal"/>
    <w:rsid w:val="00E23729"/>
    <w:pPr>
      <w:pBdr>
        <w:bottom w:val="single" w:sz="8" w:space="0" w:color="auto"/>
      </w:pBdr>
      <w:spacing w:before="100" w:beforeAutospacing="1" w:after="100" w:afterAutospacing="1"/>
    </w:pPr>
    <w:rPr>
      <w:rFonts w:ascii="Arial Unicode MS" w:eastAsia="Arial Unicode MS" w:hAnsi="Arial Unicode MS"/>
      <w:szCs w:val="20"/>
      <w:lang w:eastAsia="en-US"/>
    </w:rPr>
  </w:style>
  <w:style w:type="paragraph" w:customStyle="1" w:styleId="xl58">
    <w:name w:val="xl58"/>
    <w:basedOn w:val="Normal"/>
    <w:rsid w:val="00E23729"/>
    <w:pPr>
      <w:pBdr>
        <w:left w:val="single" w:sz="4" w:space="0" w:color="auto"/>
        <w:bottom w:val="single" w:sz="8" w:space="0" w:color="auto"/>
      </w:pBdr>
      <w:spacing w:before="100" w:beforeAutospacing="1" w:after="100" w:afterAutospacing="1"/>
    </w:pPr>
    <w:rPr>
      <w:rFonts w:ascii="Arial Unicode MS" w:eastAsia="Arial Unicode MS" w:hAnsi="Arial Unicode MS"/>
      <w:szCs w:val="20"/>
      <w:lang w:eastAsia="en-US"/>
    </w:rPr>
  </w:style>
  <w:style w:type="paragraph" w:customStyle="1" w:styleId="xl59">
    <w:name w:val="xl59"/>
    <w:basedOn w:val="Normal"/>
    <w:rsid w:val="00E23729"/>
    <w:pPr>
      <w:pBdr>
        <w:bottom w:val="single" w:sz="8" w:space="0" w:color="auto"/>
        <w:right w:val="single" w:sz="8" w:space="0" w:color="auto"/>
      </w:pBdr>
      <w:spacing w:before="100" w:beforeAutospacing="1" w:after="100" w:afterAutospacing="1"/>
    </w:pPr>
    <w:rPr>
      <w:rFonts w:ascii="Arial Unicode MS" w:eastAsia="Arial Unicode MS" w:hAnsi="Arial Unicode MS"/>
      <w:szCs w:val="20"/>
      <w:lang w:eastAsia="en-US"/>
    </w:rPr>
  </w:style>
  <w:style w:type="paragraph" w:customStyle="1" w:styleId="xl60">
    <w:name w:val="xl60"/>
    <w:basedOn w:val="Normal"/>
    <w:rsid w:val="00E23729"/>
    <w:pPr>
      <w:pBdr>
        <w:top w:val="single" w:sz="8" w:space="0" w:color="auto"/>
      </w:pBdr>
      <w:spacing w:before="100" w:beforeAutospacing="1" w:after="100" w:afterAutospacing="1"/>
    </w:pPr>
    <w:rPr>
      <w:rFonts w:ascii="Arial Unicode MS" w:eastAsia="Arial Unicode MS" w:hAnsi="Arial Unicode MS"/>
      <w:szCs w:val="20"/>
      <w:lang w:eastAsia="en-US"/>
    </w:rPr>
  </w:style>
  <w:style w:type="paragraph" w:customStyle="1" w:styleId="xl61">
    <w:name w:val="xl61"/>
    <w:basedOn w:val="Normal"/>
    <w:rsid w:val="00E23729"/>
    <w:pPr>
      <w:pBdr>
        <w:top w:val="single" w:sz="8" w:space="0" w:color="auto"/>
        <w:lef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62">
    <w:name w:val="xl62"/>
    <w:basedOn w:val="Normal"/>
    <w:rsid w:val="00E23729"/>
    <w:pPr>
      <w:pBdr>
        <w:bottom w:val="single" w:sz="8" w:space="0" w:color="auto"/>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63">
    <w:name w:val="xl63"/>
    <w:basedOn w:val="Normal"/>
    <w:rsid w:val="00E23729"/>
    <w:pPr>
      <w:pBdr>
        <w:bottom w:val="single" w:sz="8" w:space="0" w:color="auto"/>
      </w:pBdr>
      <w:spacing w:before="100" w:beforeAutospacing="1" w:after="100" w:afterAutospacing="1"/>
    </w:pPr>
    <w:rPr>
      <w:rFonts w:ascii="Arial Unicode MS" w:eastAsia="Arial Unicode MS" w:hAnsi="Arial Unicode MS"/>
      <w:b/>
      <w:szCs w:val="20"/>
      <w:lang w:eastAsia="en-US"/>
    </w:rPr>
  </w:style>
  <w:style w:type="paragraph" w:customStyle="1" w:styleId="xl64">
    <w:name w:val="xl64"/>
    <w:basedOn w:val="Normal"/>
    <w:rsid w:val="00E23729"/>
    <w:pPr>
      <w:pBdr>
        <w:bottom w:val="single" w:sz="4" w:space="0" w:color="auto"/>
        <w:right w:val="single" w:sz="8"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65">
    <w:name w:val="xl65"/>
    <w:basedOn w:val="Normal"/>
    <w:rsid w:val="00E23729"/>
    <w:pPr>
      <w:spacing w:before="100" w:beforeAutospacing="1" w:after="100" w:afterAutospacing="1"/>
      <w:jc w:val="center"/>
    </w:pPr>
    <w:rPr>
      <w:rFonts w:ascii="Arial Unicode MS" w:eastAsia="Arial Unicode MS" w:hAnsi="Arial Unicode MS"/>
      <w:szCs w:val="20"/>
      <w:lang w:eastAsia="en-US"/>
    </w:rPr>
  </w:style>
  <w:style w:type="paragraph" w:customStyle="1" w:styleId="xl66">
    <w:name w:val="xl66"/>
    <w:basedOn w:val="Normal"/>
    <w:rsid w:val="00E23729"/>
    <w:pPr>
      <w:spacing w:before="100" w:beforeAutospacing="1" w:after="100" w:afterAutospacing="1"/>
      <w:jc w:val="center"/>
    </w:pPr>
    <w:rPr>
      <w:rFonts w:ascii="Arial" w:eastAsia="Arial Unicode MS" w:hAnsi="Arial"/>
      <w:b/>
      <w:szCs w:val="20"/>
      <w:lang w:eastAsia="en-US"/>
    </w:rPr>
  </w:style>
  <w:style w:type="paragraph" w:customStyle="1" w:styleId="xl67">
    <w:name w:val="xl67"/>
    <w:basedOn w:val="Normal"/>
    <w:rsid w:val="00E23729"/>
    <w:pPr>
      <w:pBdr>
        <w:lef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68">
    <w:name w:val="xl68"/>
    <w:basedOn w:val="Normal"/>
    <w:rsid w:val="00E23729"/>
    <w:pPr>
      <w:pBdr>
        <w:righ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69">
    <w:name w:val="xl69"/>
    <w:basedOn w:val="Normal"/>
    <w:rsid w:val="00E23729"/>
    <w:pPr>
      <w:spacing w:before="100" w:beforeAutospacing="1" w:after="100" w:afterAutospacing="1"/>
      <w:jc w:val="center"/>
    </w:pPr>
    <w:rPr>
      <w:rFonts w:ascii="Arial Unicode MS" w:eastAsia="Arial Unicode MS" w:hAnsi="Arial Unicode MS"/>
      <w:b/>
      <w:szCs w:val="20"/>
      <w:lang w:eastAsia="en-US"/>
    </w:rPr>
  </w:style>
  <w:style w:type="paragraph" w:customStyle="1" w:styleId="xl70">
    <w:name w:val="xl70"/>
    <w:basedOn w:val="Normal"/>
    <w:rsid w:val="00E23729"/>
    <w:pPr>
      <w:pBdr>
        <w:right w:val="single" w:sz="8"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71">
    <w:name w:val="xl71"/>
    <w:basedOn w:val="Normal"/>
    <w:rsid w:val="00E23729"/>
    <w:pPr>
      <w:spacing w:before="100" w:beforeAutospacing="1" w:after="100" w:afterAutospacing="1"/>
      <w:jc w:val="center"/>
    </w:pPr>
    <w:rPr>
      <w:rFonts w:ascii="Arial" w:eastAsia="Arial Unicode MS" w:hAnsi="Arial"/>
      <w:b/>
      <w:szCs w:val="20"/>
      <w:lang w:eastAsia="en-US"/>
    </w:rPr>
  </w:style>
  <w:style w:type="paragraph" w:customStyle="1" w:styleId="xl72">
    <w:name w:val="xl72"/>
    <w:basedOn w:val="Normal"/>
    <w:rsid w:val="00E23729"/>
    <w:pPr>
      <w:pBdr>
        <w:lef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73">
    <w:name w:val="xl73"/>
    <w:basedOn w:val="Normal"/>
    <w:rsid w:val="00E23729"/>
    <w:pPr>
      <w:pBdr>
        <w:righ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74">
    <w:name w:val="xl74"/>
    <w:basedOn w:val="Normal"/>
    <w:rsid w:val="00E23729"/>
    <w:pPr>
      <w:spacing w:before="100" w:beforeAutospacing="1" w:after="100" w:afterAutospacing="1"/>
      <w:jc w:val="center"/>
    </w:pPr>
    <w:rPr>
      <w:rFonts w:ascii="Arial Unicode MS" w:eastAsia="Arial Unicode MS" w:hAnsi="Arial Unicode MS"/>
      <w:b/>
      <w:szCs w:val="20"/>
      <w:lang w:eastAsia="en-US"/>
    </w:rPr>
  </w:style>
  <w:style w:type="paragraph" w:customStyle="1" w:styleId="xl75">
    <w:name w:val="xl75"/>
    <w:basedOn w:val="Normal"/>
    <w:rsid w:val="00E23729"/>
    <w:pPr>
      <w:pBdr>
        <w:right w:val="single" w:sz="8"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76">
    <w:name w:val="xl76"/>
    <w:basedOn w:val="Normal"/>
    <w:rsid w:val="00E23729"/>
    <w:pPr>
      <w:pBdr>
        <w:right w:val="single" w:sz="4" w:space="0" w:color="auto"/>
      </w:pBdr>
      <w:spacing w:before="100" w:beforeAutospacing="1" w:after="100" w:afterAutospacing="1"/>
      <w:jc w:val="center"/>
    </w:pPr>
    <w:rPr>
      <w:rFonts w:ascii="Arial" w:eastAsia="Arial Unicode MS" w:hAnsi="Arial"/>
      <w:b/>
      <w:szCs w:val="20"/>
      <w:lang w:eastAsia="en-US"/>
    </w:rPr>
  </w:style>
  <w:style w:type="paragraph" w:customStyle="1" w:styleId="xl77">
    <w:name w:val="xl77"/>
    <w:basedOn w:val="Normal"/>
    <w:rsid w:val="00E23729"/>
    <w:pPr>
      <w:pBdr>
        <w:right w:val="single" w:sz="4" w:space="0" w:color="auto"/>
      </w:pBdr>
      <w:spacing w:before="100" w:beforeAutospacing="1" w:after="100" w:afterAutospacing="1"/>
      <w:jc w:val="center"/>
    </w:pPr>
    <w:rPr>
      <w:rFonts w:ascii="Arial Unicode MS" w:eastAsia="Arial Unicode MS" w:hAnsi="Arial Unicode MS"/>
      <w:b/>
      <w:szCs w:val="20"/>
      <w:lang w:eastAsia="en-US"/>
    </w:rPr>
  </w:style>
  <w:style w:type="paragraph" w:customStyle="1" w:styleId="xl78">
    <w:name w:val="xl78"/>
    <w:basedOn w:val="Normal"/>
    <w:rsid w:val="00E23729"/>
    <w:pPr>
      <w:pBdr>
        <w:right w:val="single" w:sz="4" w:space="0" w:color="auto"/>
      </w:pBdr>
      <w:spacing w:before="100" w:beforeAutospacing="1" w:after="100" w:afterAutospacing="1"/>
      <w:jc w:val="center"/>
    </w:pPr>
    <w:rPr>
      <w:rFonts w:ascii="Arial" w:eastAsia="Arial Unicode MS" w:hAnsi="Arial"/>
      <w:b/>
      <w:szCs w:val="20"/>
      <w:lang w:eastAsia="en-US"/>
    </w:rPr>
  </w:style>
  <w:style w:type="paragraph" w:customStyle="1" w:styleId="xl80">
    <w:name w:val="xl80"/>
    <w:basedOn w:val="Normal"/>
    <w:rsid w:val="00E23729"/>
    <w:pPr>
      <w:spacing w:before="100" w:beforeAutospacing="1" w:after="100" w:afterAutospacing="1"/>
    </w:pPr>
    <w:rPr>
      <w:rFonts w:ascii="Arial" w:eastAsia="Arial Unicode MS" w:hAnsi="Arial"/>
      <w:b/>
      <w:szCs w:val="20"/>
      <w:lang w:eastAsia="en-US"/>
    </w:rPr>
  </w:style>
  <w:style w:type="paragraph" w:styleId="BodyTextIndent">
    <w:name w:val="Body Text Indent"/>
    <w:basedOn w:val="Normal"/>
    <w:rsid w:val="00E23729"/>
    <w:pPr>
      <w:spacing w:before="120" w:line="360" w:lineRule="auto"/>
      <w:ind w:left="357"/>
    </w:pPr>
    <w:rPr>
      <w:rFonts w:ascii="Times" w:eastAsia="Times" w:hAnsi="Times"/>
      <w:szCs w:val="20"/>
      <w:lang w:eastAsia="en-US"/>
    </w:rPr>
  </w:style>
  <w:style w:type="paragraph" w:styleId="BodyText3">
    <w:name w:val="Body Text 3"/>
    <w:basedOn w:val="Normal"/>
    <w:rsid w:val="00E2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pPr>
    <w:rPr>
      <w:color w:val="000000"/>
      <w:szCs w:val="20"/>
      <w:u w:color="000000"/>
      <w:lang w:val="en-US" w:eastAsia="en-US"/>
    </w:rPr>
  </w:style>
  <w:style w:type="paragraph" w:styleId="Header">
    <w:name w:val="header"/>
    <w:basedOn w:val="Normal"/>
    <w:link w:val="HeaderChar"/>
    <w:rsid w:val="00D07677"/>
    <w:pPr>
      <w:tabs>
        <w:tab w:val="center" w:pos="4320"/>
        <w:tab w:val="right" w:pos="8640"/>
      </w:tabs>
    </w:pPr>
    <w:rPr>
      <w:lang w:eastAsia="en-US"/>
    </w:rPr>
  </w:style>
  <w:style w:type="character" w:customStyle="1" w:styleId="HeaderChar">
    <w:name w:val="Header Char"/>
    <w:basedOn w:val="DefaultParagraphFont"/>
    <w:link w:val="Header"/>
    <w:rsid w:val="00D07677"/>
    <w:rPr>
      <w:sz w:val="24"/>
      <w:szCs w:val="24"/>
      <w:lang w:val="en-GB"/>
    </w:rPr>
  </w:style>
  <w:style w:type="character" w:styleId="Hyperlink">
    <w:name w:val="Hyperlink"/>
    <w:basedOn w:val="DefaultParagraphFont"/>
    <w:uiPriority w:val="99"/>
    <w:rsid w:val="00D07677"/>
    <w:rPr>
      <w:color w:val="0000FF"/>
      <w:u w:val="single"/>
    </w:rPr>
  </w:style>
  <w:style w:type="numbering" w:styleId="111111">
    <w:name w:val="Outline List 2"/>
    <w:basedOn w:val="NoList"/>
    <w:rsid w:val="00D07677"/>
    <w:pPr>
      <w:numPr>
        <w:numId w:val="18"/>
      </w:numPr>
    </w:pPr>
  </w:style>
  <w:style w:type="paragraph" w:styleId="Revision">
    <w:name w:val="Revision"/>
    <w:hidden/>
    <w:uiPriority w:val="99"/>
    <w:semiHidden/>
    <w:rsid w:val="00765736"/>
  </w:style>
  <w:style w:type="paragraph" w:styleId="PlainText">
    <w:name w:val="Plain Text"/>
    <w:basedOn w:val="Normal"/>
    <w:link w:val="PlainTextChar"/>
    <w:rsid w:val="007451E8"/>
    <w:rPr>
      <w:rFonts w:ascii="Courier" w:hAnsi="Courier"/>
      <w:lang w:eastAsia="en-US"/>
    </w:rPr>
  </w:style>
  <w:style w:type="character" w:customStyle="1" w:styleId="PlainTextChar">
    <w:name w:val="Plain Text Char"/>
    <w:basedOn w:val="DefaultParagraphFont"/>
    <w:link w:val="PlainText"/>
    <w:rsid w:val="007451E8"/>
    <w:rPr>
      <w:rFonts w:ascii="Courier" w:hAnsi="Courier"/>
      <w:sz w:val="24"/>
      <w:szCs w:val="24"/>
      <w:lang w:val="en-GB"/>
    </w:rPr>
  </w:style>
  <w:style w:type="paragraph" w:styleId="ListParagraph">
    <w:name w:val="List Paragraph"/>
    <w:basedOn w:val="Normal"/>
    <w:uiPriority w:val="34"/>
    <w:qFormat/>
    <w:rsid w:val="005D6A60"/>
    <w:pPr>
      <w:ind w:left="720"/>
      <w:contextualSpacing/>
    </w:pPr>
    <w:rPr>
      <w:lang w:val="en-US" w:eastAsia="en-US"/>
    </w:rPr>
  </w:style>
  <w:style w:type="character" w:styleId="CommentReference">
    <w:name w:val="annotation reference"/>
    <w:basedOn w:val="DefaultParagraphFont"/>
    <w:rsid w:val="00194029"/>
    <w:rPr>
      <w:sz w:val="16"/>
      <w:szCs w:val="16"/>
    </w:rPr>
  </w:style>
  <w:style w:type="paragraph" w:styleId="CommentText">
    <w:name w:val="annotation text"/>
    <w:basedOn w:val="Normal"/>
    <w:link w:val="CommentTextChar"/>
    <w:uiPriority w:val="99"/>
    <w:rsid w:val="00194029"/>
    <w:rPr>
      <w:sz w:val="20"/>
      <w:szCs w:val="20"/>
      <w:lang w:val="en-US" w:eastAsia="en-US"/>
    </w:rPr>
  </w:style>
  <w:style w:type="character" w:customStyle="1" w:styleId="CommentTextChar">
    <w:name w:val="Comment Text Char"/>
    <w:basedOn w:val="DefaultParagraphFont"/>
    <w:link w:val="CommentText"/>
    <w:uiPriority w:val="99"/>
    <w:rsid w:val="00194029"/>
  </w:style>
  <w:style w:type="paragraph" w:styleId="CommentSubject">
    <w:name w:val="annotation subject"/>
    <w:basedOn w:val="CommentText"/>
    <w:next w:val="CommentText"/>
    <w:link w:val="CommentSubjectChar"/>
    <w:rsid w:val="00194029"/>
    <w:rPr>
      <w:b/>
      <w:bCs/>
    </w:rPr>
  </w:style>
  <w:style w:type="character" w:customStyle="1" w:styleId="CommentSubjectChar">
    <w:name w:val="Comment Subject Char"/>
    <w:basedOn w:val="CommentTextChar"/>
    <w:link w:val="CommentSubject"/>
    <w:rsid w:val="00194029"/>
    <w:rPr>
      <w:b/>
      <w:bCs/>
    </w:rPr>
  </w:style>
  <w:style w:type="character" w:customStyle="1" w:styleId="apple-converted-space">
    <w:name w:val="apple-converted-space"/>
    <w:basedOn w:val="DefaultParagraphFont"/>
    <w:rsid w:val="007F2613"/>
  </w:style>
  <w:style w:type="paragraph" w:styleId="NormalWeb">
    <w:name w:val="Normal (Web)"/>
    <w:basedOn w:val="Normal"/>
    <w:uiPriority w:val="99"/>
    <w:semiHidden/>
    <w:unhideWhenUsed/>
    <w:rsid w:val="00D42313"/>
    <w:pPr>
      <w:spacing w:before="100" w:beforeAutospacing="1" w:after="100" w:afterAutospacing="1"/>
    </w:pPr>
    <w:rPr>
      <w:rFonts w:ascii="Times" w:hAnsi="Times"/>
      <w:sz w:val="20"/>
      <w:szCs w:val="20"/>
      <w:lang w:eastAsia="en-US"/>
    </w:rPr>
  </w:style>
  <w:style w:type="character" w:customStyle="1" w:styleId="Heading8Char">
    <w:name w:val="Heading 8 Char"/>
    <w:basedOn w:val="DefaultParagraphFont"/>
    <w:link w:val="Heading8"/>
    <w:uiPriority w:val="9"/>
    <w:rsid w:val="00722E5C"/>
    <w:rPr>
      <w:rFonts w:ascii="Calibri" w:hAnsi="Calibri"/>
      <w:i/>
      <w:iCs/>
      <w:sz w:val="24"/>
      <w:szCs w:val="24"/>
      <w:lang w:val="en-GB" w:eastAsia="en-GB"/>
    </w:rPr>
  </w:style>
  <w:style w:type="paragraph" w:customStyle="1" w:styleId="pshead">
    <w:name w:val="ps head"/>
    <w:basedOn w:val="Normal"/>
    <w:link w:val="psheadChar"/>
    <w:qFormat/>
    <w:rsid w:val="00722E5C"/>
    <w:pPr>
      <w:spacing w:line="880" w:lineRule="atLeast"/>
      <w:ind w:left="851"/>
    </w:pPr>
    <w:rPr>
      <w:rFonts w:ascii="Calibri" w:hAnsi="Calibri"/>
      <w:noProof/>
      <w:sz w:val="76"/>
    </w:rPr>
  </w:style>
  <w:style w:type="character" w:customStyle="1" w:styleId="psheadChar">
    <w:name w:val="ps head Char"/>
    <w:basedOn w:val="DefaultParagraphFont"/>
    <w:link w:val="pshead"/>
    <w:rsid w:val="00722E5C"/>
    <w:rPr>
      <w:rFonts w:ascii="Calibri" w:hAnsi="Calibri"/>
      <w:noProof/>
      <w:sz w:val="76"/>
      <w:szCs w:val="24"/>
      <w:lang w:val="en-GB" w:eastAsia="en-GB"/>
    </w:rPr>
  </w:style>
  <w:style w:type="paragraph" w:customStyle="1" w:styleId="body">
    <w:name w:val="body"/>
    <w:basedOn w:val="Normal"/>
    <w:link w:val="bodyChar"/>
    <w:qFormat/>
    <w:rsid w:val="00722E5C"/>
    <w:pPr>
      <w:spacing w:after="60"/>
    </w:pPr>
    <w:rPr>
      <w:rFonts w:ascii="Calibri" w:hAnsi="Calibri" w:cs="Arial"/>
      <w:sz w:val="20"/>
      <w:szCs w:val="20"/>
    </w:rPr>
  </w:style>
  <w:style w:type="character" w:customStyle="1" w:styleId="bodyChar">
    <w:name w:val="body Char"/>
    <w:basedOn w:val="DefaultParagraphFont"/>
    <w:link w:val="body"/>
    <w:rsid w:val="00722E5C"/>
    <w:rPr>
      <w:rFonts w:ascii="Calibri" w:hAnsi="Calibri" w:cs="Arial"/>
      <w:lang w:val="en-GB" w:eastAsia="en-GB"/>
    </w:rPr>
  </w:style>
  <w:style w:type="paragraph" w:customStyle="1" w:styleId="bold">
    <w:name w:val="bold"/>
    <w:basedOn w:val="Normal"/>
    <w:link w:val="boldChar"/>
    <w:qFormat/>
    <w:rsid w:val="00722E5C"/>
    <w:pPr>
      <w:numPr>
        <w:numId w:val="34"/>
      </w:numPr>
      <w:spacing w:before="120"/>
    </w:pPr>
    <w:rPr>
      <w:rFonts w:ascii="Calibri" w:hAnsi="Calibri"/>
      <w:b/>
      <w:sz w:val="22"/>
      <w:szCs w:val="22"/>
    </w:rPr>
  </w:style>
  <w:style w:type="character" w:customStyle="1" w:styleId="boldChar">
    <w:name w:val="bold Char"/>
    <w:basedOn w:val="DefaultParagraphFont"/>
    <w:link w:val="bold"/>
    <w:rsid w:val="00722E5C"/>
    <w:rPr>
      <w:rFonts w:ascii="Calibri" w:hAnsi="Calibri"/>
      <w:b/>
      <w:sz w:val="22"/>
      <w:szCs w:val="22"/>
      <w:lang w:val="en-GB" w:eastAsia="en-GB"/>
    </w:rPr>
  </w:style>
  <w:style w:type="paragraph" w:customStyle="1" w:styleId="bullet">
    <w:name w:val="bullet"/>
    <w:basedOn w:val="body"/>
    <w:link w:val="bulletChar"/>
    <w:qFormat/>
    <w:rsid w:val="00722E5C"/>
    <w:pPr>
      <w:spacing w:after="0"/>
      <w:ind w:left="720" w:hanging="360"/>
    </w:pPr>
  </w:style>
  <w:style w:type="character" w:customStyle="1" w:styleId="bulletChar">
    <w:name w:val="bullet Char"/>
    <w:basedOn w:val="bodyChar"/>
    <w:link w:val="bullet"/>
    <w:rsid w:val="00722E5C"/>
    <w:rPr>
      <w:rFonts w:ascii="Calibri" w:hAnsi="Calibri" w:cs="Arial"/>
      <w:lang w:val="en-GB" w:eastAsia="en-GB"/>
    </w:rPr>
  </w:style>
  <w:style w:type="paragraph" w:customStyle="1" w:styleId="bib">
    <w:name w:val="bib"/>
    <w:basedOn w:val="body"/>
    <w:link w:val="bibChar"/>
    <w:qFormat/>
    <w:rsid w:val="00722E5C"/>
    <w:pPr>
      <w:ind w:left="123" w:hanging="123"/>
    </w:pPr>
  </w:style>
  <w:style w:type="character" w:customStyle="1" w:styleId="bibChar">
    <w:name w:val="bib Char"/>
    <w:basedOn w:val="bodyChar"/>
    <w:link w:val="bib"/>
    <w:rsid w:val="00722E5C"/>
    <w:rPr>
      <w:rFonts w:ascii="Calibri" w:hAnsi="Calibri" w:cs="Arial"/>
      <w:lang w:val="en-GB" w:eastAsia="en-GB"/>
    </w:rPr>
  </w:style>
  <w:style w:type="character" w:customStyle="1" w:styleId="Heading1Char">
    <w:name w:val="Heading 1 Char"/>
    <w:basedOn w:val="DefaultParagraphFont"/>
    <w:link w:val="Heading1"/>
    <w:rsid w:val="00722E5C"/>
    <w:rPr>
      <w:rFonts w:ascii="Times" w:eastAsia="Times" w:hAnsi="Times"/>
      <w:i/>
      <w:sz w:val="24"/>
      <w:lang w:val="en-GB"/>
    </w:rPr>
  </w:style>
  <w:style w:type="character" w:customStyle="1" w:styleId="Heading2Char">
    <w:name w:val="Heading 2 Char"/>
    <w:basedOn w:val="DefaultParagraphFont"/>
    <w:link w:val="Heading2"/>
    <w:rsid w:val="00722E5C"/>
    <w:rPr>
      <w:color w:val="000000"/>
      <w:sz w:val="24"/>
      <w:u w:val="single" w:color="000000"/>
    </w:rPr>
  </w:style>
  <w:style w:type="character" w:customStyle="1" w:styleId="Heading3Char">
    <w:name w:val="Heading 3 Char"/>
    <w:basedOn w:val="DefaultParagraphFont"/>
    <w:link w:val="Heading3"/>
    <w:rsid w:val="00722E5C"/>
    <w:rPr>
      <w:color w:val="000000"/>
      <w:sz w:val="24"/>
      <w:u w:val="single" w:color="000000"/>
    </w:rPr>
  </w:style>
  <w:style w:type="character" w:customStyle="1" w:styleId="Heading5Char">
    <w:name w:val="Heading 5 Char"/>
    <w:basedOn w:val="DefaultParagraphFont"/>
    <w:link w:val="Heading5"/>
    <w:rsid w:val="00722E5C"/>
    <w:rPr>
      <w:b/>
      <w:color w:val="000000"/>
      <w:u w:color="000000"/>
    </w:rPr>
  </w:style>
  <w:style w:type="character" w:customStyle="1" w:styleId="Heading6Char">
    <w:name w:val="Heading 6 Char"/>
    <w:basedOn w:val="DefaultParagraphFont"/>
    <w:link w:val="Heading6"/>
    <w:uiPriority w:val="9"/>
    <w:rsid w:val="00722E5C"/>
    <w:rPr>
      <w:b/>
      <w:sz w:val="22"/>
      <w:szCs w:val="22"/>
    </w:rPr>
  </w:style>
  <w:style w:type="character" w:customStyle="1" w:styleId="Heading7Char">
    <w:name w:val="Heading 7 Char"/>
    <w:basedOn w:val="DefaultParagraphFont"/>
    <w:link w:val="Heading7"/>
    <w:uiPriority w:val="9"/>
    <w:rsid w:val="00722E5C"/>
    <w:rPr>
      <w:b/>
      <w:color w:val="000000"/>
      <w:sz w:val="24"/>
      <w:u w:color="000000"/>
    </w:rPr>
  </w:style>
  <w:style w:type="character" w:styleId="Strong">
    <w:name w:val="Strong"/>
    <w:basedOn w:val="DefaultParagraphFont"/>
    <w:uiPriority w:val="22"/>
    <w:qFormat/>
    <w:rsid w:val="00722E5C"/>
    <w:rPr>
      <w:b/>
      <w:bCs/>
    </w:rPr>
  </w:style>
  <w:style w:type="character" w:styleId="Emphasis">
    <w:name w:val="Emphasis"/>
    <w:basedOn w:val="DefaultParagraphFont"/>
    <w:uiPriority w:val="20"/>
    <w:qFormat/>
    <w:rsid w:val="00722E5C"/>
    <w:rPr>
      <w:b/>
      <w:i/>
      <w:iCs/>
      <w:sz w:val="24"/>
      <w:szCs w:val="24"/>
    </w:rPr>
  </w:style>
  <w:style w:type="paragraph" w:styleId="NoSpacing">
    <w:name w:val="No Spacing"/>
    <w:link w:val="NoSpacingChar"/>
    <w:uiPriority w:val="1"/>
    <w:qFormat/>
    <w:rsid w:val="00722E5C"/>
    <w:rPr>
      <w:rFonts w:asciiTheme="minorHAnsi" w:eastAsiaTheme="minorEastAsia" w:hAnsiTheme="minorHAnsi" w:cstheme="minorBidi"/>
      <w:sz w:val="22"/>
      <w:szCs w:val="22"/>
      <w:lang w:val="en-GB" w:eastAsia="ja-JP"/>
    </w:rPr>
  </w:style>
  <w:style w:type="character" w:customStyle="1" w:styleId="NoSpacingChar">
    <w:name w:val="No Spacing Char"/>
    <w:basedOn w:val="DefaultParagraphFont"/>
    <w:link w:val="NoSpacing"/>
    <w:uiPriority w:val="1"/>
    <w:rsid w:val="00722E5C"/>
    <w:rPr>
      <w:rFonts w:asciiTheme="minorHAnsi" w:eastAsiaTheme="minorEastAsia" w:hAnsiTheme="minorHAnsi" w:cstheme="minorBidi"/>
      <w:sz w:val="22"/>
      <w:szCs w:val="22"/>
      <w:lang w:val="en-GB" w:eastAsia="ja-JP"/>
    </w:rPr>
  </w:style>
  <w:style w:type="paragraph" w:styleId="TOCHeading">
    <w:name w:val="TOC Heading"/>
    <w:basedOn w:val="Heading1"/>
    <w:next w:val="Normal"/>
    <w:uiPriority w:val="39"/>
    <w:semiHidden/>
    <w:unhideWhenUsed/>
    <w:qFormat/>
    <w:rsid w:val="00722E5C"/>
    <w:pPr>
      <w:keepLines/>
      <w:spacing w:before="480" w:line="276" w:lineRule="auto"/>
      <w:jc w:val="left"/>
      <w:outlineLvl w:val="9"/>
    </w:pPr>
    <w:rPr>
      <w:rFonts w:asciiTheme="majorHAnsi" w:eastAsiaTheme="majorEastAsia" w:hAnsiTheme="majorHAnsi" w:cstheme="majorBidi"/>
      <w:b/>
      <w:bCs/>
      <w:i w:val="0"/>
      <w:color w:val="2E74B5" w:themeColor="accent1" w:themeShade="BF"/>
      <w:sz w:val="28"/>
      <w:szCs w:val="28"/>
      <w:lang w:val="en-US" w:eastAsia="ja-JP"/>
    </w:rPr>
  </w:style>
  <w:style w:type="character" w:customStyle="1" w:styleId="BalloonTextChar">
    <w:name w:val="Balloon Text Char"/>
    <w:basedOn w:val="DefaultParagraphFont"/>
    <w:link w:val="BalloonText"/>
    <w:uiPriority w:val="99"/>
    <w:semiHidden/>
    <w:rsid w:val="00722E5C"/>
    <w:rPr>
      <w:rFonts w:ascii="Lucida Grande" w:hAnsi="Lucida Grande"/>
      <w:sz w:val="18"/>
      <w:szCs w:val="18"/>
    </w:rPr>
  </w:style>
  <w:style w:type="character" w:customStyle="1" w:styleId="rddata">
    <w:name w:val="rddata"/>
    <w:basedOn w:val="DefaultParagraphFont"/>
    <w:rsid w:val="001E11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uiPriority="9" w:qFormat="1"/>
    <w:lsdException w:name="heading 7" w:uiPriority="9" w:qFormat="1"/>
    <w:lsdException w:name="heading 8" w:uiPriority="9" w:qFormat="1"/>
    <w:lsdException w:name="heading 9" w:qFormat="1"/>
    <w:lsdException w:name="annotation text"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Note Level 8" w:unhideWhenUsed="0"/>
    <w:lsdException w:name="Note Level 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F2"/>
    <w:rPr>
      <w:lang w:val="en-GB" w:eastAsia="en-GB"/>
    </w:rPr>
  </w:style>
  <w:style w:type="paragraph" w:styleId="Heading1">
    <w:name w:val="heading 1"/>
    <w:basedOn w:val="Normal"/>
    <w:next w:val="Normal"/>
    <w:link w:val="Heading1Char"/>
    <w:qFormat/>
    <w:rsid w:val="00E23729"/>
    <w:pPr>
      <w:keepNext/>
      <w:spacing w:before="120" w:line="360" w:lineRule="auto"/>
      <w:jc w:val="center"/>
      <w:outlineLvl w:val="0"/>
    </w:pPr>
    <w:rPr>
      <w:rFonts w:ascii="Times" w:eastAsia="Times" w:hAnsi="Times"/>
      <w:i/>
      <w:szCs w:val="20"/>
      <w:lang w:eastAsia="en-US"/>
    </w:rPr>
  </w:style>
  <w:style w:type="paragraph" w:styleId="Heading2">
    <w:name w:val="heading 2"/>
    <w:basedOn w:val="Normal"/>
    <w:next w:val="Normal"/>
    <w:link w:val="Heading2Char"/>
    <w:qFormat/>
    <w:rsid w:val="00E2372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outlineLvl w:val="1"/>
    </w:pPr>
    <w:rPr>
      <w:color w:val="000000"/>
      <w:szCs w:val="20"/>
      <w:u w:val="single" w:color="000000"/>
      <w:lang w:val="en-US" w:eastAsia="en-US"/>
    </w:rPr>
  </w:style>
  <w:style w:type="paragraph" w:styleId="Heading3">
    <w:name w:val="heading 3"/>
    <w:basedOn w:val="Normal"/>
    <w:next w:val="Normal"/>
    <w:link w:val="Heading3Char"/>
    <w:qFormat/>
    <w:rsid w:val="00E2372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outlineLvl w:val="2"/>
    </w:pPr>
    <w:rPr>
      <w:color w:val="000000"/>
      <w:szCs w:val="20"/>
      <w:u w:val="single" w:color="000000"/>
      <w:lang w:val="en-US" w:eastAsia="en-US"/>
    </w:rPr>
  </w:style>
  <w:style w:type="paragraph" w:styleId="Heading4">
    <w:name w:val="heading 4"/>
    <w:aliases w:val="Text"/>
    <w:basedOn w:val="Normal"/>
    <w:qFormat/>
    <w:rsid w:val="00C40478"/>
    <w:pPr>
      <w:spacing w:after="240" w:line="360" w:lineRule="auto"/>
      <w:outlineLvl w:val="3"/>
    </w:pPr>
    <w:rPr>
      <w:rFonts w:ascii="AppleGaramond Lt" w:hAnsi="AppleGaramond Lt"/>
      <w:szCs w:val="20"/>
      <w:lang w:val="en-AU" w:eastAsia="en-US"/>
    </w:rPr>
  </w:style>
  <w:style w:type="paragraph" w:styleId="Heading5">
    <w:name w:val="heading 5"/>
    <w:basedOn w:val="Normal"/>
    <w:next w:val="Normal"/>
    <w:link w:val="Heading5Char"/>
    <w:qFormat/>
    <w:rsid w:val="00E2372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4"/>
    </w:pPr>
    <w:rPr>
      <w:b/>
      <w:color w:val="000000"/>
      <w:sz w:val="20"/>
      <w:szCs w:val="20"/>
      <w:u w:color="000000"/>
      <w:lang w:val="en-US" w:eastAsia="en-US"/>
    </w:rPr>
  </w:style>
  <w:style w:type="paragraph" w:styleId="Heading6">
    <w:name w:val="heading 6"/>
    <w:basedOn w:val="Normal"/>
    <w:next w:val="Normal"/>
    <w:link w:val="Heading6Char"/>
    <w:uiPriority w:val="9"/>
    <w:qFormat/>
    <w:rsid w:val="00E23729"/>
    <w:pPr>
      <w:spacing w:before="240" w:after="60"/>
      <w:outlineLvl w:val="5"/>
    </w:pPr>
    <w:rPr>
      <w:b/>
      <w:sz w:val="22"/>
      <w:szCs w:val="22"/>
      <w:lang w:val="en-US" w:eastAsia="en-US"/>
    </w:rPr>
  </w:style>
  <w:style w:type="paragraph" w:styleId="Heading7">
    <w:name w:val="heading 7"/>
    <w:basedOn w:val="Normal"/>
    <w:next w:val="Normal"/>
    <w:link w:val="Heading7Char"/>
    <w:uiPriority w:val="9"/>
    <w:qFormat/>
    <w:rsid w:val="00E23729"/>
    <w:pPr>
      <w:keepNext/>
      <w:spacing w:before="120" w:line="360" w:lineRule="auto"/>
      <w:outlineLvl w:val="6"/>
    </w:pPr>
    <w:rPr>
      <w:b/>
      <w:color w:val="000000"/>
      <w:szCs w:val="20"/>
      <w:u w:color="000000"/>
      <w:lang w:val="en-US" w:eastAsia="en-US"/>
    </w:rPr>
  </w:style>
  <w:style w:type="paragraph" w:styleId="Heading8">
    <w:name w:val="heading 8"/>
    <w:basedOn w:val="Normal"/>
    <w:next w:val="Normal"/>
    <w:link w:val="Heading8Char"/>
    <w:uiPriority w:val="9"/>
    <w:qFormat/>
    <w:rsid w:val="00722E5C"/>
    <w:pPr>
      <w:spacing w:before="240" w:after="60" w:line="276" w:lineRule="auto"/>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2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82CEC"/>
    <w:pPr>
      <w:spacing w:before="120" w:line="360" w:lineRule="auto"/>
      <w:jc w:val="both"/>
    </w:pPr>
    <w:rPr>
      <w:rFonts w:ascii="Times" w:eastAsia="Times" w:hAnsi="Times"/>
      <w:szCs w:val="20"/>
      <w:lang w:eastAsia="en-US"/>
    </w:rPr>
  </w:style>
  <w:style w:type="paragraph" w:styleId="Footer">
    <w:name w:val="footer"/>
    <w:basedOn w:val="Normal"/>
    <w:semiHidden/>
    <w:rsid w:val="00871DDE"/>
    <w:pPr>
      <w:tabs>
        <w:tab w:val="center" w:pos="4320"/>
        <w:tab w:val="right" w:pos="8640"/>
      </w:tabs>
    </w:pPr>
    <w:rPr>
      <w:lang w:val="en-US" w:eastAsia="en-US"/>
    </w:rPr>
  </w:style>
  <w:style w:type="character" w:styleId="PageNumber">
    <w:name w:val="page number"/>
    <w:basedOn w:val="DefaultParagraphFont"/>
    <w:rsid w:val="00871DDE"/>
  </w:style>
  <w:style w:type="paragraph" w:styleId="BalloonText">
    <w:name w:val="Balloon Text"/>
    <w:basedOn w:val="Normal"/>
    <w:link w:val="BalloonTextChar"/>
    <w:uiPriority w:val="99"/>
    <w:semiHidden/>
    <w:rsid w:val="00BA1A7A"/>
    <w:rPr>
      <w:rFonts w:ascii="Lucida Grande" w:hAnsi="Lucida Grande"/>
      <w:sz w:val="18"/>
      <w:szCs w:val="18"/>
    </w:rPr>
  </w:style>
  <w:style w:type="paragraph" w:styleId="BodyTextIndent2">
    <w:name w:val="Body Text Indent 2"/>
    <w:basedOn w:val="Normal"/>
    <w:rsid w:val="00E23729"/>
    <w:pPr>
      <w:spacing w:after="120" w:line="480" w:lineRule="auto"/>
      <w:ind w:left="283"/>
    </w:pPr>
    <w:rPr>
      <w:lang w:val="en-US" w:eastAsia="en-US"/>
    </w:rPr>
  </w:style>
  <w:style w:type="paragraph" w:styleId="Title">
    <w:name w:val="Title"/>
    <w:basedOn w:val="Normal"/>
    <w:qFormat/>
    <w:rsid w:val="00E23729"/>
    <w:pPr>
      <w:spacing w:before="120" w:line="360" w:lineRule="auto"/>
      <w:jc w:val="center"/>
    </w:pPr>
    <w:rPr>
      <w:rFonts w:ascii="Times" w:eastAsia="Times" w:hAnsi="Times"/>
      <w:b/>
      <w:szCs w:val="20"/>
      <w:u w:val="single"/>
      <w:lang w:eastAsia="en-US"/>
    </w:rPr>
  </w:style>
  <w:style w:type="paragraph" w:styleId="Subtitle">
    <w:name w:val="Subtitle"/>
    <w:basedOn w:val="Normal"/>
    <w:qFormat/>
    <w:rsid w:val="00E23729"/>
    <w:pPr>
      <w:spacing w:before="120" w:line="360" w:lineRule="auto"/>
      <w:jc w:val="center"/>
    </w:pPr>
    <w:rPr>
      <w:rFonts w:ascii="Times" w:eastAsia="Times" w:hAnsi="Times"/>
      <w:b/>
      <w:szCs w:val="20"/>
      <w:lang w:eastAsia="en-US"/>
    </w:rPr>
  </w:style>
  <w:style w:type="paragraph" w:styleId="BodyText">
    <w:name w:val="Body Text"/>
    <w:basedOn w:val="Normal"/>
    <w:rsid w:val="00E2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pPr>
    <w:rPr>
      <w:color w:val="000000"/>
      <w:szCs w:val="20"/>
      <w:u w:color="000000"/>
      <w:lang w:val="en-US" w:eastAsia="en-US"/>
    </w:rPr>
  </w:style>
  <w:style w:type="paragraph" w:customStyle="1" w:styleId="xl24">
    <w:name w:val="xl24"/>
    <w:basedOn w:val="Normal"/>
    <w:rsid w:val="00E23729"/>
    <w:pPr>
      <w:spacing w:before="100" w:beforeAutospacing="1" w:after="100" w:afterAutospacing="1"/>
      <w:jc w:val="center"/>
    </w:pPr>
    <w:rPr>
      <w:rFonts w:eastAsia="Arial Unicode MS"/>
      <w:b/>
      <w:szCs w:val="20"/>
      <w:lang w:eastAsia="en-US"/>
    </w:rPr>
  </w:style>
  <w:style w:type="paragraph" w:customStyle="1" w:styleId="xl25">
    <w:name w:val="xl25"/>
    <w:basedOn w:val="Normal"/>
    <w:rsid w:val="00E23729"/>
    <w:pPr>
      <w:pBdr>
        <w:left w:val="single" w:sz="4" w:space="0" w:color="auto"/>
      </w:pBdr>
      <w:spacing w:before="100" w:beforeAutospacing="1" w:after="100" w:afterAutospacing="1"/>
      <w:jc w:val="center"/>
    </w:pPr>
    <w:rPr>
      <w:rFonts w:eastAsia="Arial Unicode MS"/>
      <w:b/>
      <w:szCs w:val="20"/>
      <w:lang w:eastAsia="en-US"/>
    </w:rPr>
  </w:style>
  <w:style w:type="paragraph" w:customStyle="1" w:styleId="xl26">
    <w:name w:val="xl26"/>
    <w:basedOn w:val="Normal"/>
    <w:rsid w:val="00E23729"/>
    <w:pPr>
      <w:pBdr>
        <w:left w:val="single" w:sz="4" w:space="0" w:color="auto"/>
      </w:pBdr>
      <w:spacing w:before="100" w:beforeAutospacing="1" w:after="100" w:afterAutospacing="1"/>
      <w:jc w:val="center"/>
    </w:pPr>
    <w:rPr>
      <w:rFonts w:eastAsia="Arial Unicode MS"/>
      <w:b/>
      <w:szCs w:val="20"/>
      <w:lang w:eastAsia="en-US"/>
    </w:rPr>
  </w:style>
  <w:style w:type="paragraph" w:customStyle="1" w:styleId="xl27">
    <w:name w:val="xl27"/>
    <w:basedOn w:val="Normal"/>
    <w:rsid w:val="00E23729"/>
    <w:pPr>
      <w:pBdr>
        <w:left w:val="single" w:sz="4" w:space="0" w:color="auto"/>
        <w:bottom w:val="single" w:sz="4" w:space="0" w:color="auto"/>
      </w:pBdr>
      <w:spacing w:before="100" w:beforeAutospacing="1" w:after="100" w:afterAutospacing="1"/>
      <w:jc w:val="center"/>
    </w:pPr>
    <w:rPr>
      <w:rFonts w:eastAsia="Arial Unicode MS"/>
      <w:szCs w:val="20"/>
      <w:lang w:eastAsia="en-US"/>
    </w:rPr>
  </w:style>
  <w:style w:type="paragraph" w:customStyle="1" w:styleId="xl28">
    <w:name w:val="xl28"/>
    <w:basedOn w:val="Normal"/>
    <w:rsid w:val="00E23729"/>
    <w:pPr>
      <w:pBdr>
        <w:left w:val="single" w:sz="4" w:space="0" w:color="auto"/>
        <w:bottom w:val="single" w:sz="4" w:space="0" w:color="auto"/>
      </w:pBdr>
      <w:spacing w:before="100" w:beforeAutospacing="1" w:after="100" w:afterAutospacing="1"/>
      <w:jc w:val="center"/>
    </w:pPr>
    <w:rPr>
      <w:rFonts w:eastAsia="Arial Unicode MS"/>
      <w:szCs w:val="20"/>
      <w:lang w:eastAsia="en-US"/>
    </w:rPr>
  </w:style>
  <w:style w:type="paragraph" w:customStyle="1" w:styleId="xl29">
    <w:name w:val="xl29"/>
    <w:basedOn w:val="Normal"/>
    <w:rsid w:val="00E23729"/>
    <w:pPr>
      <w:pBdr>
        <w:bottom w:val="single" w:sz="4" w:space="0" w:color="auto"/>
      </w:pBdr>
      <w:spacing w:before="100" w:beforeAutospacing="1" w:after="100" w:afterAutospacing="1"/>
      <w:jc w:val="center"/>
    </w:pPr>
    <w:rPr>
      <w:rFonts w:eastAsia="Arial Unicode MS"/>
      <w:szCs w:val="20"/>
      <w:lang w:eastAsia="en-US"/>
    </w:rPr>
  </w:style>
  <w:style w:type="paragraph" w:customStyle="1" w:styleId="xl30">
    <w:name w:val="xl30"/>
    <w:basedOn w:val="Normal"/>
    <w:rsid w:val="00E23729"/>
    <w:pPr>
      <w:pBdr>
        <w:righ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31">
    <w:name w:val="xl31"/>
    <w:basedOn w:val="Normal"/>
    <w:rsid w:val="00E23729"/>
    <w:pPr>
      <w:pBdr>
        <w:bottom w:val="single" w:sz="4" w:space="0" w:color="auto"/>
        <w:righ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32">
    <w:name w:val="xl32"/>
    <w:basedOn w:val="Normal"/>
    <w:rsid w:val="00E23729"/>
    <w:pPr>
      <w:pBdr>
        <w:bottom w:val="single" w:sz="4" w:space="0" w:color="auto"/>
      </w:pBdr>
      <w:spacing w:before="100" w:beforeAutospacing="1" w:after="100" w:afterAutospacing="1"/>
      <w:jc w:val="center"/>
    </w:pPr>
    <w:rPr>
      <w:rFonts w:ascii="Arial" w:eastAsia="Arial Unicode MS" w:hAnsi="Arial"/>
      <w:b/>
      <w:szCs w:val="20"/>
      <w:lang w:eastAsia="en-US"/>
    </w:rPr>
  </w:style>
  <w:style w:type="paragraph" w:customStyle="1" w:styleId="xl33">
    <w:name w:val="xl33"/>
    <w:basedOn w:val="Normal"/>
    <w:rsid w:val="00E23729"/>
    <w:pPr>
      <w:spacing w:before="100" w:beforeAutospacing="1" w:after="100" w:afterAutospacing="1"/>
      <w:jc w:val="center"/>
    </w:pPr>
    <w:rPr>
      <w:rFonts w:ascii="Arial" w:eastAsia="Arial Unicode MS" w:hAnsi="Arial"/>
      <w:b/>
      <w:szCs w:val="20"/>
      <w:lang w:eastAsia="en-US"/>
    </w:rPr>
  </w:style>
  <w:style w:type="paragraph" w:customStyle="1" w:styleId="xl34">
    <w:name w:val="xl34"/>
    <w:basedOn w:val="Normal"/>
    <w:rsid w:val="00E23729"/>
    <w:pPr>
      <w:spacing w:before="100" w:beforeAutospacing="1" w:after="100" w:afterAutospacing="1"/>
      <w:jc w:val="center"/>
    </w:pPr>
    <w:rPr>
      <w:rFonts w:ascii="Arial Unicode MS" w:eastAsia="Arial Unicode MS" w:hAnsi="Arial Unicode MS"/>
      <w:szCs w:val="20"/>
      <w:lang w:eastAsia="en-US"/>
    </w:rPr>
  </w:style>
  <w:style w:type="paragraph" w:customStyle="1" w:styleId="xl35">
    <w:name w:val="xl35"/>
    <w:basedOn w:val="Normal"/>
    <w:rsid w:val="00E23729"/>
    <w:pPr>
      <w:pBdr>
        <w:bottom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36">
    <w:name w:val="xl36"/>
    <w:basedOn w:val="Normal"/>
    <w:rsid w:val="00E23729"/>
    <w:pPr>
      <w:spacing w:before="100" w:beforeAutospacing="1" w:after="100" w:afterAutospacing="1"/>
      <w:jc w:val="center"/>
    </w:pPr>
    <w:rPr>
      <w:rFonts w:ascii="Arial Unicode MS" w:eastAsia="Arial Unicode MS" w:hAnsi="Arial Unicode MS"/>
      <w:szCs w:val="20"/>
      <w:lang w:eastAsia="en-US"/>
    </w:rPr>
  </w:style>
  <w:style w:type="paragraph" w:customStyle="1" w:styleId="xl37">
    <w:name w:val="xl37"/>
    <w:basedOn w:val="Normal"/>
    <w:rsid w:val="00E23729"/>
    <w:pPr>
      <w:spacing w:before="100" w:beforeAutospacing="1" w:after="100" w:afterAutospacing="1"/>
    </w:pPr>
    <w:rPr>
      <w:rFonts w:ascii="Arial" w:eastAsia="Arial Unicode MS" w:hAnsi="Arial"/>
      <w:b/>
      <w:szCs w:val="20"/>
      <w:lang w:eastAsia="en-US"/>
    </w:rPr>
  </w:style>
  <w:style w:type="paragraph" w:customStyle="1" w:styleId="xl38">
    <w:name w:val="xl38"/>
    <w:basedOn w:val="Normal"/>
    <w:rsid w:val="00E23729"/>
    <w:pPr>
      <w:spacing w:before="100" w:beforeAutospacing="1" w:after="100" w:afterAutospacing="1"/>
    </w:pPr>
    <w:rPr>
      <w:rFonts w:ascii="Arial Unicode MS" w:eastAsia="Arial Unicode MS" w:hAnsi="Arial Unicode MS"/>
      <w:b/>
      <w:szCs w:val="20"/>
      <w:lang w:eastAsia="en-US"/>
    </w:rPr>
  </w:style>
  <w:style w:type="paragraph" w:customStyle="1" w:styleId="xl39">
    <w:name w:val="xl39"/>
    <w:basedOn w:val="Normal"/>
    <w:rsid w:val="00E23729"/>
    <w:pPr>
      <w:spacing w:before="100" w:beforeAutospacing="1" w:after="100" w:afterAutospacing="1"/>
      <w:jc w:val="center"/>
    </w:pPr>
    <w:rPr>
      <w:rFonts w:ascii="Arial Unicode MS" w:eastAsia="Arial Unicode MS" w:hAnsi="Arial Unicode MS"/>
      <w:b/>
      <w:szCs w:val="20"/>
      <w:lang w:eastAsia="en-US"/>
    </w:rPr>
  </w:style>
  <w:style w:type="paragraph" w:customStyle="1" w:styleId="xl40">
    <w:name w:val="xl40"/>
    <w:basedOn w:val="Normal"/>
    <w:rsid w:val="00E23729"/>
    <w:pPr>
      <w:pBdr>
        <w:lef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41">
    <w:name w:val="xl41"/>
    <w:basedOn w:val="Normal"/>
    <w:rsid w:val="00E23729"/>
    <w:pPr>
      <w:pBdr>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42">
    <w:name w:val="xl42"/>
    <w:basedOn w:val="Normal"/>
    <w:rsid w:val="00E23729"/>
    <w:pPr>
      <w:pBdr>
        <w:top w:val="single" w:sz="8" w:space="0" w:color="auto"/>
        <w:left w:val="single" w:sz="8" w:space="0" w:color="auto"/>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43">
    <w:name w:val="xl43"/>
    <w:basedOn w:val="Normal"/>
    <w:rsid w:val="00E23729"/>
    <w:pPr>
      <w:pBdr>
        <w:top w:val="single" w:sz="8" w:space="0" w:color="auto"/>
      </w:pBdr>
      <w:spacing w:before="100" w:beforeAutospacing="1" w:after="100" w:afterAutospacing="1"/>
      <w:jc w:val="center"/>
    </w:pPr>
    <w:rPr>
      <w:rFonts w:eastAsia="Arial Unicode MS"/>
      <w:b/>
      <w:szCs w:val="20"/>
      <w:lang w:eastAsia="en-US"/>
    </w:rPr>
  </w:style>
  <w:style w:type="paragraph" w:customStyle="1" w:styleId="xl44">
    <w:name w:val="xl44"/>
    <w:basedOn w:val="Normal"/>
    <w:rsid w:val="00E23729"/>
    <w:pPr>
      <w:pBdr>
        <w:top w:val="single" w:sz="8" w:space="0" w:color="auto"/>
      </w:pBdr>
      <w:spacing w:before="100" w:beforeAutospacing="1" w:after="100" w:afterAutospacing="1"/>
      <w:jc w:val="center"/>
    </w:pPr>
    <w:rPr>
      <w:rFonts w:ascii="Arial" w:eastAsia="Arial Unicode MS" w:hAnsi="Arial"/>
      <w:b/>
      <w:szCs w:val="20"/>
      <w:lang w:eastAsia="en-US"/>
    </w:rPr>
  </w:style>
  <w:style w:type="paragraph" w:customStyle="1" w:styleId="xl45">
    <w:name w:val="xl45"/>
    <w:basedOn w:val="Normal"/>
    <w:rsid w:val="00E23729"/>
    <w:pPr>
      <w:pBdr>
        <w:top w:val="single" w:sz="8"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46">
    <w:name w:val="xl46"/>
    <w:basedOn w:val="Normal"/>
    <w:rsid w:val="00E23729"/>
    <w:pPr>
      <w:pBdr>
        <w:top w:val="single" w:sz="8" w:space="0" w:color="auto"/>
        <w:left w:val="single" w:sz="4" w:space="0" w:color="auto"/>
      </w:pBdr>
      <w:spacing w:before="100" w:beforeAutospacing="1" w:after="100" w:afterAutospacing="1"/>
      <w:jc w:val="center"/>
    </w:pPr>
    <w:rPr>
      <w:rFonts w:eastAsia="Arial Unicode MS"/>
      <w:b/>
      <w:szCs w:val="20"/>
      <w:lang w:eastAsia="en-US"/>
    </w:rPr>
  </w:style>
  <w:style w:type="paragraph" w:customStyle="1" w:styleId="xl47">
    <w:name w:val="xl47"/>
    <w:basedOn w:val="Normal"/>
    <w:rsid w:val="00E23729"/>
    <w:pPr>
      <w:pBdr>
        <w:top w:val="single" w:sz="8" w:space="0" w:color="auto"/>
        <w:righ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48">
    <w:name w:val="xl48"/>
    <w:basedOn w:val="Normal"/>
    <w:rsid w:val="00E23729"/>
    <w:pPr>
      <w:pBdr>
        <w:top w:val="single" w:sz="8" w:space="0" w:color="auto"/>
        <w:lef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49">
    <w:name w:val="xl49"/>
    <w:basedOn w:val="Normal"/>
    <w:rsid w:val="00E23729"/>
    <w:pPr>
      <w:pBdr>
        <w:top w:val="single" w:sz="8" w:space="0" w:color="auto"/>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50">
    <w:name w:val="xl50"/>
    <w:basedOn w:val="Normal"/>
    <w:rsid w:val="00E23729"/>
    <w:pPr>
      <w:pBdr>
        <w:top w:val="single" w:sz="8" w:space="0" w:color="auto"/>
        <w:right w:val="single" w:sz="8"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51">
    <w:name w:val="xl51"/>
    <w:basedOn w:val="Normal"/>
    <w:rsid w:val="00E23729"/>
    <w:pPr>
      <w:pBdr>
        <w:left w:val="single" w:sz="8" w:space="0" w:color="auto"/>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52">
    <w:name w:val="xl52"/>
    <w:basedOn w:val="Normal"/>
    <w:rsid w:val="00E23729"/>
    <w:pPr>
      <w:pBdr>
        <w:right w:val="single" w:sz="8"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53">
    <w:name w:val="xl53"/>
    <w:basedOn w:val="Normal"/>
    <w:rsid w:val="00E23729"/>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54">
    <w:name w:val="xl54"/>
    <w:basedOn w:val="Normal"/>
    <w:rsid w:val="00E23729"/>
    <w:pPr>
      <w:pBdr>
        <w:right w:val="single" w:sz="8" w:space="0" w:color="auto"/>
      </w:pBdr>
      <w:spacing w:before="100" w:beforeAutospacing="1" w:after="100" w:afterAutospacing="1"/>
    </w:pPr>
    <w:rPr>
      <w:rFonts w:ascii="Arial Unicode MS" w:eastAsia="Arial Unicode MS" w:hAnsi="Arial Unicode MS"/>
      <w:szCs w:val="20"/>
      <w:lang w:eastAsia="en-US"/>
    </w:rPr>
  </w:style>
  <w:style w:type="paragraph" w:customStyle="1" w:styleId="xl55">
    <w:name w:val="xl55"/>
    <w:basedOn w:val="Normal"/>
    <w:rsid w:val="00E23729"/>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56">
    <w:name w:val="xl56"/>
    <w:basedOn w:val="Normal"/>
    <w:rsid w:val="00E23729"/>
    <w:pPr>
      <w:pBdr>
        <w:bottom w:val="single" w:sz="8" w:space="0" w:color="auto"/>
      </w:pBdr>
      <w:spacing w:before="100" w:beforeAutospacing="1" w:after="100" w:afterAutospacing="1"/>
    </w:pPr>
    <w:rPr>
      <w:rFonts w:ascii="Arial" w:eastAsia="Arial Unicode MS" w:hAnsi="Arial"/>
      <w:b/>
      <w:szCs w:val="20"/>
      <w:lang w:eastAsia="en-US"/>
    </w:rPr>
  </w:style>
  <w:style w:type="paragraph" w:customStyle="1" w:styleId="xl57">
    <w:name w:val="xl57"/>
    <w:basedOn w:val="Normal"/>
    <w:rsid w:val="00E23729"/>
    <w:pPr>
      <w:pBdr>
        <w:bottom w:val="single" w:sz="8" w:space="0" w:color="auto"/>
      </w:pBdr>
      <w:spacing w:before="100" w:beforeAutospacing="1" w:after="100" w:afterAutospacing="1"/>
    </w:pPr>
    <w:rPr>
      <w:rFonts w:ascii="Arial Unicode MS" w:eastAsia="Arial Unicode MS" w:hAnsi="Arial Unicode MS"/>
      <w:szCs w:val="20"/>
      <w:lang w:eastAsia="en-US"/>
    </w:rPr>
  </w:style>
  <w:style w:type="paragraph" w:customStyle="1" w:styleId="xl58">
    <w:name w:val="xl58"/>
    <w:basedOn w:val="Normal"/>
    <w:rsid w:val="00E23729"/>
    <w:pPr>
      <w:pBdr>
        <w:left w:val="single" w:sz="4" w:space="0" w:color="auto"/>
        <w:bottom w:val="single" w:sz="8" w:space="0" w:color="auto"/>
      </w:pBdr>
      <w:spacing w:before="100" w:beforeAutospacing="1" w:after="100" w:afterAutospacing="1"/>
    </w:pPr>
    <w:rPr>
      <w:rFonts w:ascii="Arial Unicode MS" w:eastAsia="Arial Unicode MS" w:hAnsi="Arial Unicode MS"/>
      <w:szCs w:val="20"/>
      <w:lang w:eastAsia="en-US"/>
    </w:rPr>
  </w:style>
  <w:style w:type="paragraph" w:customStyle="1" w:styleId="xl59">
    <w:name w:val="xl59"/>
    <w:basedOn w:val="Normal"/>
    <w:rsid w:val="00E23729"/>
    <w:pPr>
      <w:pBdr>
        <w:bottom w:val="single" w:sz="8" w:space="0" w:color="auto"/>
        <w:right w:val="single" w:sz="8" w:space="0" w:color="auto"/>
      </w:pBdr>
      <w:spacing w:before="100" w:beforeAutospacing="1" w:after="100" w:afterAutospacing="1"/>
    </w:pPr>
    <w:rPr>
      <w:rFonts w:ascii="Arial Unicode MS" w:eastAsia="Arial Unicode MS" w:hAnsi="Arial Unicode MS"/>
      <w:szCs w:val="20"/>
      <w:lang w:eastAsia="en-US"/>
    </w:rPr>
  </w:style>
  <w:style w:type="paragraph" w:customStyle="1" w:styleId="xl60">
    <w:name w:val="xl60"/>
    <w:basedOn w:val="Normal"/>
    <w:rsid w:val="00E23729"/>
    <w:pPr>
      <w:pBdr>
        <w:top w:val="single" w:sz="8" w:space="0" w:color="auto"/>
      </w:pBdr>
      <w:spacing w:before="100" w:beforeAutospacing="1" w:after="100" w:afterAutospacing="1"/>
    </w:pPr>
    <w:rPr>
      <w:rFonts w:ascii="Arial Unicode MS" w:eastAsia="Arial Unicode MS" w:hAnsi="Arial Unicode MS"/>
      <w:szCs w:val="20"/>
      <w:lang w:eastAsia="en-US"/>
    </w:rPr>
  </w:style>
  <w:style w:type="paragraph" w:customStyle="1" w:styleId="xl61">
    <w:name w:val="xl61"/>
    <w:basedOn w:val="Normal"/>
    <w:rsid w:val="00E23729"/>
    <w:pPr>
      <w:pBdr>
        <w:top w:val="single" w:sz="8" w:space="0" w:color="auto"/>
        <w:lef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62">
    <w:name w:val="xl62"/>
    <w:basedOn w:val="Normal"/>
    <w:rsid w:val="00E23729"/>
    <w:pPr>
      <w:pBdr>
        <w:bottom w:val="single" w:sz="8" w:space="0" w:color="auto"/>
        <w:right w:val="single" w:sz="4" w:space="0" w:color="auto"/>
      </w:pBdr>
      <w:spacing w:before="100" w:beforeAutospacing="1" w:after="100" w:afterAutospacing="1"/>
    </w:pPr>
    <w:rPr>
      <w:rFonts w:ascii="Arial Unicode MS" w:eastAsia="Arial Unicode MS" w:hAnsi="Arial Unicode MS"/>
      <w:szCs w:val="20"/>
      <w:lang w:eastAsia="en-US"/>
    </w:rPr>
  </w:style>
  <w:style w:type="paragraph" w:customStyle="1" w:styleId="xl63">
    <w:name w:val="xl63"/>
    <w:basedOn w:val="Normal"/>
    <w:rsid w:val="00E23729"/>
    <w:pPr>
      <w:pBdr>
        <w:bottom w:val="single" w:sz="8" w:space="0" w:color="auto"/>
      </w:pBdr>
      <w:spacing w:before="100" w:beforeAutospacing="1" w:after="100" w:afterAutospacing="1"/>
    </w:pPr>
    <w:rPr>
      <w:rFonts w:ascii="Arial Unicode MS" w:eastAsia="Arial Unicode MS" w:hAnsi="Arial Unicode MS"/>
      <w:b/>
      <w:szCs w:val="20"/>
      <w:lang w:eastAsia="en-US"/>
    </w:rPr>
  </w:style>
  <w:style w:type="paragraph" w:customStyle="1" w:styleId="xl64">
    <w:name w:val="xl64"/>
    <w:basedOn w:val="Normal"/>
    <w:rsid w:val="00E23729"/>
    <w:pPr>
      <w:pBdr>
        <w:bottom w:val="single" w:sz="4" w:space="0" w:color="auto"/>
        <w:right w:val="single" w:sz="8"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65">
    <w:name w:val="xl65"/>
    <w:basedOn w:val="Normal"/>
    <w:rsid w:val="00E23729"/>
    <w:pPr>
      <w:spacing w:before="100" w:beforeAutospacing="1" w:after="100" w:afterAutospacing="1"/>
      <w:jc w:val="center"/>
    </w:pPr>
    <w:rPr>
      <w:rFonts w:ascii="Arial Unicode MS" w:eastAsia="Arial Unicode MS" w:hAnsi="Arial Unicode MS"/>
      <w:szCs w:val="20"/>
      <w:lang w:eastAsia="en-US"/>
    </w:rPr>
  </w:style>
  <w:style w:type="paragraph" w:customStyle="1" w:styleId="xl66">
    <w:name w:val="xl66"/>
    <w:basedOn w:val="Normal"/>
    <w:rsid w:val="00E23729"/>
    <w:pPr>
      <w:spacing w:before="100" w:beforeAutospacing="1" w:after="100" w:afterAutospacing="1"/>
      <w:jc w:val="center"/>
    </w:pPr>
    <w:rPr>
      <w:rFonts w:ascii="Arial" w:eastAsia="Arial Unicode MS" w:hAnsi="Arial"/>
      <w:b/>
      <w:szCs w:val="20"/>
      <w:lang w:eastAsia="en-US"/>
    </w:rPr>
  </w:style>
  <w:style w:type="paragraph" w:customStyle="1" w:styleId="xl67">
    <w:name w:val="xl67"/>
    <w:basedOn w:val="Normal"/>
    <w:rsid w:val="00E23729"/>
    <w:pPr>
      <w:pBdr>
        <w:lef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68">
    <w:name w:val="xl68"/>
    <w:basedOn w:val="Normal"/>
    <w:rsid w:val="00E23729"/>
    <w:pPr>
      <w:pBdr>
        <w:righ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69">
    <w:name w:val="xl69"/>
    <w:basedOn w:val="Normal"/>
    <w:rsid w:val="00E23729"/>
    <w:pPr>
      <w:spacing w:before="100" w:beforeAutospacing="1" w:after="100" w:afterAutospacing="1"/>
      <w:jc w:val="center"/>
    </w:pPr>
    <w:rPr>
      <w:rFonts w:ascii="Arial Unicode MS" w:eastAsia="Arial Unicode MS" w:hAnsi="Arial Unicode MS"/>
      <w:b/>
      <w:szCs w:val="20"/>
      <w:lang w:eastAsia="en-US"/>
    </w:rPr>
  </w:style>
  <w:style w:type="paragraph" w:customStyle="1" w:styleId="xl70">
    <w:name w:val="xl70"/>
    <w:basedOn w:val="Normal"/>
    <w:rsid w:val="00E23729"/>
    <w:pPr>
      <w:pBdr>
        <w:right w:val="single" w:sz="8"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71">
    <w:name w:val="xl71"/>
    <w:basedOn w:val="Normal"/>
    <w:rsid w:val="00E23729"/>
    <w:pPr>
      <w:spacing w:before="100" w:beforeAutospacing="1" w:after="100" w:afterAutospacing="1"/>
      <w:jc w:val="center"/>
    </w:pPr>
    <w:rPr>
      <w:rFonts w:ascii="Arial" w:eastAsia="Arial Unicode MS" w:hAnsi="Arial"/>
      <w:b/>
      <w:szCs w:val="20"/>
      <w:lang w:eastAsia="en-US"/>
    </w:rPr>
  </w:style>
  <w:style w:type="paragraph" w:customStyle="1" w:styleId="xl72">
    <w:name w:val="xl72"/>
    <w:basedOn w:val="Normal"/>
    <w:rsid w:val="00E23729"/>
    <w:pPr>
      <w:pBdr>
        <w:lef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73">
    <w:name w:val="xl73"/>
    <w:basedOn w:val="Normal"/>
    <w:rsid w:val="00E23729"/>
    <w:pPr>
      <w:pBdr>
        <w:right w:val="single" w:sz="4"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74">
    <w:name w:val="xl74"/>
    <w:basedOn w:val="Normal"/>
    <w:rsid w:val="00E23729"/>
    <w:pPr>
      <w:spacing w:before="100" w:beforeAutospacing="1" w:after="100" w:afterAutospacing="1"/>
      <w:jc w:val="center"/>
    </w:pPr>
    <w:rPr>
      <w:rFonts w:ascii="Arial Unicode MS" w:eastAsia="Arial Unicode MS" w:hAnsi="Arial Unicode MS"/>
      <w:b/>
      <w:szCs w:val="20"/>
      <w:lang w:eastAsia="en-US"/>
    </w:rPr>
  </w:style>
  <w:style w:type="paragraph" w:customStyle="1" w:styleId="xl75">
    <w:name w:val="xl75"/>
    <w:basedOn w:val="Normal"/>
    <w:rsid w:val="00E23729"/>
    <w:pPr>
      <w:pBdr>
        <w:right w:val="single" w:sz="8" w:space="0" w:color="auto"/>
      </w:pBdr>
      <w:spacing w:before="100" w:beforeAutospacing="1" w:after="100" w:afterAutospacing="1"/>
      <w:jc w:val="center"/>
    </w:pPr>
    <w:rPr>
      <w:rFonts w:ascii="Arial Unicode MS" w:eastAsia="Arial Unicode MS" w:hAnsi="Arial Unicode MS"/>
      <w:szCs w:val="20"/>
      <w:lang w:eastAsia="en-US"/>
    </w:rPr>
  </w:style>
  <w:style w:type="paragraph" w:customStyle="1" w:styleId="xl76">
    <w:name w:val="xl76"/>
    <w:basedOn w:val="Normal"/>
    <w:rsid w:val="00E23729"/>
    <w:pPr>
      <w:pBdr>
        <w:right w:val="single" w:sz="4" w:space="0" w:color="auto"/>
      </w:pBdr>
      <w:spacing w:before="100" w:beforeAutospacing="1" w:after="100" w:afterAutospacing="1"/>
      <w:jc w:val="center"/>
    </w:pPr>
    <w:rPr>
      <w:rFonts w:ascii="Arial" w:eastAsia="Arial Unicode MS" w:hAnsi="Arial"/>
      <w:b/>
      <w:szCs w:val="20"/>
      <w:lang w:eastAsia="en-US"/>
    </w:rPr>
  </w:style>
  <w:style w:type="paragraph" w:customStyle="1" w:styleId="xl77">
    <w:name w:val="xl77"/>
    <w:basedOn w:val="Normal"/>
    <w:rsid w:val="00E23729"/>
    <w:pPr>
      <w:pBdr>
        <w:right w:val="single" w:sz="4" w:space="0" w:color="auto"/>
      </w:pBdr>
      <w:spacing w:before="100" w:beforeAutospacing="1" w:after="100" w:afterAutospacing="1"/>
      <w:jc w:val="center"/>
    </w:pPr>
    <w:rPr>
      <w:rFonts w:ascii="Arial Unicode MS" w:eastAsia="Arial Unicode MS" w:hAnsi="Arial Unicode MS"/>
      <w:b/>
      <w:szCs w:val="20"/>
      <w:lang w:eastAsia="en-US"/>
    </w:rPr>
  </w:style>
  <w:style w:type="paragraph" w:customStyle="1" w:styleId="xl78">
    <w:name w:val="xl78"/>
    <w:basedOn w:val="Normal"/>
    <w:rsid w:val="00E23729"/>
    <w:pPr>
      <w:pBdr>
        <w:right w:val="single" w:sz="4" w:space="0" w:color="auto"/>
      </w:pBdr>
      <w:spacing w:before="100" w:beforeAutospacing="1" w:after="100" w:afterAutospacing="1"/>
      <w:jc w:val="center"/>
    </w:pPr>
    <w:rPr>
      <w:rFonts w:ascii="Arial" w:eastAsia="Arial Unicode MS" w:hAnsi="Arial"/>
      <w:b/>
      <w:szCs w:val="20"/>
      <w:lang w:eastAsia="en-US"/>
    </w:rPr>
  </w:style>
  <w:style w:type="paragraph" w:customStyle="1" w:styleId="xl80">
    <w:name w:val="xl80"/>
    <w:basedOn w:val="Normal"/>
    <w:rsid w:val="00E23729"/>
    <w:pPr>
      <w:spacing w:before="100" w:beforeAutospacing="1" w:after="100" w:afterAutospacing="1"/>
    </w:pPr>
    <w:rPr>
      <w:rFonts w:ascii="Arial" w:eastAsia="Arial Unicode MS" w:hAnsi="Arial"/>
      <w:b/>
      <w:szCs w:val="20"/>
      <w:lang w:eastAsia="en-US"/>
    </w:rPr>
  </w:style>
  <w:style w:type="paragraph" w:styleId="BodyTextIndent">
    <w:name w:val="Body Text Indent"/>
    <w:basedOn w:val="Normal"/>
    <w:rsid w:val="00E23729"/>
    <w:pPr>
      <w:spacing w:before="120" w:line="360" w:lineRule="auto"/>
      <w:ind w:left="357"/>
    </w:pPr>
    <w:rPr>
      <w:rFonts w:ascii="Times" w:eastAsia="Times" w:hAnsi="Times"/>
      <w:szCs w:val="20"/>
      <w:lang w:eastAsia="en-US"/>
    </w:rPr>
  </w:style>
  <w:style w:type="paragraph" w:styleId="BodyText3">
    <w:name w:val="Body Text 3"/>
    <w:basedOn w:val="Normal"/>
    <w:rsid w:val="00E2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pPr>
    <w:rPr>
      <w:color w:val="000000"/>
      <w:szCs w:val="20"/>
      <w:u w:color="000000"/>
      <w:lang w:val="en-US" w:eastAsia="en-US"/>
    </w:rPr>
  </w:style>
  <w:style w:type="paragraph" w:styleId="Header">
    <w:name w:val="header"/>
    <w:basedOn w:val="Normal"/>
    <w:link w:val="HeaderChar"/>
    <w:rsid w:val="00D07677"/>
    <w:pPr>
      <w:tabs>
        <w:tab w:val="center" w:pos="4320"/>
        <w:tab w:val="right" w:pos="8640"/>
      </w:tabs>
    </w:pPr>
    <w:rPr>
      <w:lang w:eastAsia="en-US"/>
    </w:rPr>
  </w:style>
  <w:style w:type="character" w:customStyle="1" w:styleId="HeaderChar">
    <w:name w:val="Header Char"/>
    <w:basedOn w:val="DefaultParagraphFont"/>
    <w:link w:val="Header"/>
    <w:rsid w:val="00D07677"/>
    <w:rPr>
      <w:sz w:val="24"/>
      <w:szCs w:val="24"/>
      <w:lang w:val="en-GB"/>
    </w:rPr>
  </w:style>
  <w:style w:type="character" w:styleId="Hyperlink">
    <w:name w:val="Hyperlink"/>
    <w:basedOn w:val="DefaultParagraphFont"/>
    <w:uiPriority w:val="99"/>
    <w:rsid w:val="00D07677"/>
    <w:rPr>
      <w:color w:val="0000FF"/>
      <w:u w:val="single"/>
    </w:rPr>
  </w:style>
  <w:style w:type="numbering" w:styleId="111111">
    <w:name w:val="Outline List 2"/>
    <w:basedOn w:val="NoList"/>
    <w:rsid w:val="00D07677"/>
    <w:pPr>
      <w:numPr>
        <w:numId w:val="18"/>
      </w:numPr>
    </w:pPr>
  </w:style>
  <w:style w:type="paragraph" w:styleId="Revision">
    <w:name w:val="Revision"/>
    <w:hidden/>
    <w:uiPriority w:val="99"/>
    <w:semiHidden/>
    <w:rsid w:val="00765736"/>
  </w:style>
  <w:style w:type="paragraph" w:styleId="PlainText">
    <w:name w:val="Plain Text"/>
    <w:basedOn w:val="Normal"/>
    <w:link w:val="PlainTextChar"/>
    <w:rsid w:val="007451E8"/>
    <w:rPr>
      <w:rFonts w:ascii="Courier" w:hAnsi="Courier"/>
      <w:lang w:eastAsia="en-US"/>
    </w:rPr>
  </w:style>
  <w:style w:type="character" w:customStyle="1" w:styleId="PlainTextChar">
    <w:name w:val="Plain Text Char"/>
    <w:basedOn w:val="DefaultParagraphFont"/>
    <w:link w:val="PlainText"/>
    <w:rsid w:val="007451E8"/>
    <w:rPr>
      <w:rFonts w:ascii="Courier" w:hAnsi="Courier"/>
      <w:sz w:val="24"/>
      <w:szCs w:val="24"/>
      <w:lang w:val="en-GB"/>
    </w:rPr>
  </w:style>
  <w:style w:type="paragraph" w:styleId="ListParagraph">
    <w:name w:val="List Paragraph"/>
    <w:basedOn w:val="Normal"/>
    <w:uiPriority w:val="34"/>
    <w:qFormat/>
    <w:rsid w:val="005D6A60"/>
    <w:pPr>
      <w:ind w:left="720"/>
      <w:contextualSpacing/>
    </w:pPr>
    <w:rPr>
      <w:lang w:val="en-US" w:eastAsia="en-US"/>
    </w:rPr>
  </w:style>
  <w:style w:type="character" w:styleId="CommentReference">
    <w:name w:val="annotation reference"/>
    <w:basedOn w:val="DefaultParagraphFont"/>
    <w:rsid w:val="00194029"/>
    <w:rPr>
      <w:sz w:val="16"/>
      <w:szCs w:val="16"/>
    </w:rPr>
  </w:style>
  <w:style w:type="paragraph" w:styleId="CommentText">
    <w:name w:val="annotation text"/>
    <w:basedOn w:val="Normal"/>
    <w:link w:val="CommentTextChar"/>
    <w:uiPriority w:val="99"/>
    <w:rsid w:val="00194029"/>
    <w:rPr>
      <w:sz w:val="20"/>
      <w:szCs w:val="20"/>
      <w:lang w:val="en-US" w:eastAsia="en-US"/>
    </w:rPr>
  </w:style>
  <w:style w:type="character" w:customStyle="1" w:styleId="CommentTextChar">
    <w:name w:val="Comment Text Char"/>
    <w:basedOn w:val="DefaultParagraphFont"/>
    <w:link w:val="CommentText"/>
    <w:uiPriority w:val="99"/>
    <w:rsid w:val="00194029"/>
  </w:style>
  <w:style w:type="paragraph" w:styleId="CommentSubject">
    <w:name w:val="annotation subject"/>
    <w:basedOn w:val="CommentText"/>
    <w:next w:val="CommentText"/>
    <w:link w:val="CommentSubjectChar"/>
    <w:rsid w:val="00194029"/>
    <w:rPr>
      <w:b/>
      <w:bCs/>
    </w:rPr>
  </w:style>
  <w:style w:type="character" w:customStyle="1" w:styleId="CommentSubjectChar">
    <w:name w:val="Comment Subject Char"/>
    <w:basedOn w:val="CommentTextChar"/>
    <w:link w:val="CommentSubject"/>
    <w:rsid w:val="00194029"/>
    <w:rPr>
      <w:b/>
      <w:bCs/>
    </w:rPr>
  </w:style>
  <w:style w:type="character" w:customStyle="1" w:styleId="apple-converted-space">
    <w:name w:val="apple-converted-space"/>
    <w:basedOn w:val="DefaultParagraphFont"/>
    <w:rsid w:val="007F2613"/>
  </w:style>
  <w:style w:type="paragraph" w:styleId="NormalWeb">
    <w:name w:val="Normal (Web)"/>
    <w:basedOn w:val="Normal"/>
    <w:uiPriority w:val="99"/>
    <w:semiHidden/>
    <w:unhideWhenUsed/>
    <w:rsid w:val="00D42313"/>
    <w:pPr>
      <w:spacing w:before="100" w:beforeAutospacing="1" w:after="100" w:afterAutospacing="1"/>
    </w:pPr>
    <w:rPr>
      <w:rFonts w:ascii="Times" w:hAnsi="Times"/>
      <w:sz w:val="20"/>
      <w:szCs w:val="20"/>
      <w:lang w:eastAsia="en-US"/>
    </w:rPr>
  </w:style>
  <w:style w:type="character" w:customStyle="1" w:styleId="Heading8Char">
    <w:name w:val="Heading 8 Char"/>
    <w:basedOn w:val="DefaultParagraphFont"/>
    <w:link w:val="Heading8"/>
    <w:uiPriority w:val="9"/>
    <w:rsid w:val="00722E5C"/>
    <w:rPr>
      <w:rFonts w:ascii="Calibri" w:hAnsi="Calibri"/>
      <w:i/>
      <w:iCs/>
      <w:sz w:val="24"/>
      <w:szCs w:val="24"/>
      <w:lang w:val="en-GB" w:eastAsia="en-GB"/>
    </w:rPr>
  </w:style>
  <w:style w:type="paragraph" w:customStyle="1" w:styleId="pshead">
    <w:name w:val="ps head"/>
    <w:basedOn w:val="Normal"/>
    <w:link w:val="psheadChar"/>
    <w:qFormat/>
    <w:rsid w:val="00722E5C"/>
    <w:pPr>
      <w:spacing w:line="880" w:lineRule="atLeast"/>
      <w:ind w:left="851"/>
    </w:pPr>
    <w:rPr>
      <w:rFonts w:ascii="Calibri" w:hAnsi="Calibri"/>
      <w:noProof/>
      <w:sz w:val="76"/>
    </w:rPr>
  </w:style>
  <w:style w:type="character" w:customStyle="1" w:styleId="psheadChar">
    <w:name w:val="ps head Char"/>
    <w:basedOn w:val="DefaultParagraphFont"/>
    <w:link w:val="pshead"/>
    <w:rsid w:val="00722E5C"/>
    <w:rPr>
      <w:rFonts w:ascii="Calibri" w:hAnsi="Calibri"/>
      <w:noProof/>
      <w:sz w:val="76"/>
      <w:szCs w:val="24"/>
      <w:lang w:val="en-GB" w:eastAsia="en-GB"/>
    </w:rPr>
  </w:style>
  <w:style w:type="paragraph" w:customStyle="1" w:styleId="body">
    <w:name w:val="body"/>
    <w:basedOn w:val="Normal"/>
    <w:link w:val="bodyChar"/>
    <w:qFormat/>
    <w:rsid w:val="00722E5C"/>
    <w:pPr>
      <w:spacing w:after="60"/>
    </w:pPr>
    <w:rPr>
      <w:rFonts w:ascii="Calibri" w:hAnsi="Calibri" w:cs="Arial"/>
      <w:sz w:val="20"/>
      <w:szCs w:val="20"/>
    </w:rPr>
  </w:style>
  <w:style w:type="character" w:customStyle="1" w:styleId="bodyChar">
    <w:name w:val="body Char"/>
    <w:basedOn w:val="DefaultParagraphFont"/>
    <w:link w:val="body"/>
    <w:rsid w:val="00722E5C"/>
    <w:rPr>
      <w:rFonts w:ascii="Calibri" w:hAnsi="Calibri" w:cs="Arial"/>
      <w:lang w:val="en-GB" w:eastAsia="en-GB"/>
    </w:rPr>
  </w:style>
  <w:style w:type="paragraph" w:customStyle="1" w:styleId="bold">
    <w:name w:val="bold"/>
    <w:basedOn w:val="Normal"/>
    <w:link w:val="boldChar"/>
    <w:qFormat/>
    <w:rsid w:val="00722E5C"/>
    <w:pPr>
      <w:numPr>
        <w:numId w:val="34"/>
      </w:numPr>
      <w:spacing w:before="120"/>
    </w:pPr>
    <w:rPr>
      <w:rFonts w:ascii="Calibri" w:hAnsi="Calibri"/>
      <w:b/>
      <w:sz w:val="22"/>
      <w:szCs w:val="22"/>
    </w:rPr>
  </w:style>
  <w:style w:type="character" w:customStyle="1" w:styleId="boldChar">
    <w:name w:val="bold Char"/>
    <w:basedOn w:val="DefaultParagraphFont"/>
    <w:link w:val="bold"/>
    <w:rsid w:val="00722E5C"/>
    <w:rPr>
      <w:rFonts w:ascii="Calibri" w:hAnsi="Calibri"/>
      <w:b/>
      <w:sz w:val="22"/>
      <w:szCs w:val="22"/>
      <w:lang w:val="en-GB" w:eastAsia="en-GB"/>
    </w:rPr>
  </w:style>
  <w:style w:type="paragraph" w:customStyle="1" w:styleId="bullet">
    <w:name w:val="bullet"/>
    <w:basedOn w:val="body"/>
    <w:link w:val="bulletChar"/>
    <w:qFormat/>
    <w:rsid w:val="00722E5C"/>
    <w:pPr>
      <w:spacing w:after="0"/>
      <w:ind w:left="720" w:hanging="360"/>
    </w:pPr>
  </w:style>
  <w:style w:type="character" w:customStyle="1" w:styleId="bulletChar">
    <w:name w:val="bullet Char"/>
    <w:basedOn w:val="bodyChar"/>
    <w:link w:val="bullet"/>
    <w:rsid w:val="00722E5C"/>
    <w:rPr>
      <w:rFonts w:ascii="Calibri" w:hAnsi="Calibri" w:cs="Arial"/>
      <w:lang w:val="en-GB" w:eastAsia="en-GB"/>
    </w:rPr>
  </w:style>
  <w:style w:type="paragraph" w:customStyle="1" w:styleId="bib">
    <w:name w:val="bib"/>
    <w:basedOn w:val="body"/>
    <w:link w:val="bibChar"/>
    <w:qFormat/>
    <w:rsid w:val="00722E5C"/>
    <w:pPr>
      <w:ind w:left="123" w:hanging="123"/>
    </w:pPr>
  </w:style>
  <w:style w:type="character" w:customStyle="1" w:styleId="bibChar">
    <w:name w:val="bib Char"/>
    <w:basedOn w:val="bodyChar"/>
    <w:link w:val="bib"/>
    <w:rsid w:val="00722E5C"/>
    <w:rPr>
      <w:rFonts w:ascii="Calibri" w:hAnsi="Calibri" w:cs="Arial"/>
      <w:lang w:val="en-GB" w:eastAsia="en-GB"/>
    </w:rPr>
  </w:style>
  <w:style w:type="character" w:customStyle="1" w:styleId="Heading1Char">
    <w:name w:val="Heading 1 Char"/>
    <w:basedOn w:val="DefaultParagraphFont"/>
    <w:link w:val="Heading1"/>
    <w:rsid w:val="00722E5C"/>
    <w:rPr>
      <w:rFonts w:ascii="Times" w:eastAsia="Times" w:hAnsi="Times"/>
      <w:i/>
      <w:sz w:val="24"/>
      <w:lang w:val="en-GB"/>
    </w:rPr>
  </w:style>
  <w:style w:type="character" w:customStyle="1" w:styleId="Heading2Char">
    <w:name w:val="Heading 2 Char"/>
    <w:basedOn w:val="DefaultParagraphFont"/>
    <w:link w:val="Heading2"/>
    <w:rsid w:val="00722E5C"/>
    <w:rPr>
      <w:color w:val="000000"/>
      <w:sz w:val="24"/>
      <w:u w:val="single" w:color="000000"/>
    </w:rPr>
  </w:style>
  <w:style w:type="character" w:customStyle="1" w:styleId="Heading3Char">
    <w:name w:val="Heading 3 Char"/>
    <w:basedOn w:val="DefaultParagraphFont"/>
    <w:link w:val="Heading3"/>
    <w:rsid w:val="00722E5C"/>
    <w:rPr>
      <w:color w:val="000000"/>
      <w:sz w:val="24"/>
      <w:u w:val="single" w:color="000000"/>
    </w:rPr>
  </w:style>
  <w:style w:type="character" w:customStyle="1" w:styleId="Heading5Char">
    <w:name w:val="Heading 5 Char"/>
    <w:basedOn w:val="DefaultParagraphFont"/>
    <w:link w:val="Heading5"/>
    <w:rsid w:val="00722E5C"/>
    <w:rPr>
      <w:b/>
      <w:color w:val="000000"/>
      <w:u w:color="000000"/>
    </w:rPr>
  </w:style>
  <w:style w:type="character" w:customStyle="1" w:styleId="Heading6Char">
    <w:name w:val="Heading 6 Char"/>
    <w:basedOn w:val="DefaultParagraphFont"/>
    <w:link w:val="Heading6"/>
    <w:uiPriority w:val="9"/>
    <w:rsid w:val="00722E5C"/>
    <w:rPr>
      <w:b/>
      <w:sz w:val="22"/>
      <w:szCs w:val="22"/>
    </w:rPr>
  </w:style>
  <w:style w:type="character" w:customStyle="1" w:styleId="Heading7Char">
    <w:name w:val="Heading 7 Char"/>
    <w:basedOn w:val="DefaultParagraphFont"/>
    <w:link w:val="Heading7"/>
    <w:uiPriority w:val="9"/>
    <w:rsid w:val="00722E5C"/>
    <w:rPr>
      <w:b/>
      <w:color w:val="000000"/>
      <w:sz w:val="24"/>
      <w:u w:color="000000"/>
    </w:rPr>
  </w:style>
  <w:style w:type="character" w:styleId="Strong">
    <w:name w:val="Strong"/>
    <w:basedOn w:val="DefaultParagraphFont"/>
    <w:uiPriority w:val="22"/>
    <w:qFormat/>
    <w:rsid w:val="00722E5C"/>
    <w:rPr>
      <w:b/>
      <w:bCs/>
    </w:rPr>
  </w:style>
  <w:style w:type="character" w:styleId="Emphasis">
    <w:name w:val="Emphasis"/>
    <w:basedOn w:val="DefaultParagraphFont"/>
    <w:uiPriority w:val="20"/>
    <w:qFormat/>
    <w:rsid w:val="00722E5C"/>
    <w:rPr>
      <w:b/>
      <w:i/>
      <w:iCs/>
      <w:sz w:val="24"/>
      <w:szCs w:val="24"/>
    </w:rPr>
  </w:style>
  <w:style w:type="paragraph" w:styleId="NoSpacing">
    <w:name w:val="No Spacing"/>
    <w:link w:val="NoSpacingChar"/>
    <w:uiPriority w:val="1"/>
    <w:qFormat/>
    <w:rsid w:val="00722E5C"/>
    <w:rPr>
      <w:rFonts w:asciiTheme="minorHAnsi" w:eastAsiaTheme="minorEastAsia" w:hAnsiTheme="minorHAnsi" w:cstheme="minorBidi"/>
      <w:sz w:val="22"/>
      <w:szCs w:val="22"/>
      <w:lang w:val="en-GB" w:eastAsia="ja-JP"/>
    </w:rPr>
  </w:style>
  <w:style w:type="character" w:customStyle="1" w:styleId="NoSpacingChar">
    <w:name w:val="No Spacing Char"/>
    <w:basedOn w:val="DefaultParagraphFont"/>
    <w:link w:val="NoSpacing"/>
    <w:uiPriority w:val="1"/>
    <w:rsid w:val="00722E5C"/>
    <w:rPr>
      <w:rFonts w:asciiTheme="minorHAnsi" w:eastAsiaTheme="minorEastAsia" w:hAnsiTheme="minorHAnsi" w:cstheme="minorBidi"/>
      <w:sz w:val="22"/>
      <w:szCs w:val="22"/>
      <w:lang w:val="en-GB" w:eastAsia="ja-JP"/>
    </w:rPr>
  </w:style>
  <w:style w:type="paragraph" w:styleId="TOCHeading">
    <w:name w:val="TOC Heading"/>
    <w:basedOn w:val="Heading1"/>
    <w:next w:val="Normal"/>
    <w:uiPriority w:val="39"/>
    <w:semiHidden/>
    <w:unhideWhenUsed/>
    <w:qFormat/>
    <w:rsid w:val="00722E5C"/>
    <w:pPr>
      <w:keepLines/>
      <w:spacing w:before="480" w:line="276" w:lineRule="auto"/>
      <w:jc w:val="left"/>
      <w:outlineLvl w:val="9"/>
    </w:pPr>
    <w:rPr>
      <w:rFonts w:asciiTheme="majorHAnsi" w:eastAsiaTheme="majorEastAsia" w:hAnsiTheme="majorHAnsi" w:cstheme="majorBidi"/>
      <w:b/>
      <w:bCs/>
      <w:i w:val="0"/>
      <w:color w:val="2E74B5" w:themeColor="accent1" w:themeShade="BF"/>
      <w:sz w:val="28"/>
      <w:szCs w:val="28"/>
      <w:lang w:val="en-US" w:eastAsia="ja-JP"/>
    </w:rPr>
  </w:style>
  <w:style w:type="character" w:customStyle="1" w:styleId="BalloonTextChar">
    <w:name w:val="Balloon Text Char"/>
    <w:basedOn w:val="DefaultParagraphFont"/>
    <w:link w:val="BalloonText"/>
    <w:uiPriority w:val="99"/>
    <w:semiHidden/>
    <w:rsid w:val="00722E5C"/>
    <w:rPr>
      <w:rFonts w:ascii="Lucida Grande" w:hAnsi="Lucida Grande"/>
      <w:sz w:val="18"/>
      <w:szCs w:val="18"/>
    </w:rPr>
  </w:style>
  <w:style w:type="character" w:customStyle="1" w:styleId="rddata">
    <w:name w:val="rddata"/>
    <w:basedOn w:val="DefaultParagraphFont"/>
    <w:rsid w:val="001E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4852">
      <w:bodyDiv w:val="1"/>
      <w:marLeft w:val="0"/>
      <w:marRight w:val="0"/>
      <w:marTop w:val="0"/>
      <w:marBottom w:val="0"/>
      <w:divBdr>
        <w:top w:val="none" w:sz="0" w:space="0" w:color="auto"/>
        <w:left w:val="none" w:sz="0" w:space="0" w:color="auto"/>
        <w:bottom w:val="none" w:sz="0" w:space="0" w:color="auto"/>
        <w:right w:val="none" w:sz="0" w:space="0" w:color="auto"/>
      </w:divBdr>
    </w:div>
    <w:div w:id="119343190">
      <w:bodyDiv w:val="1"/>
      <w:marLeft w:val="0"/>
      <w:marRight w:val="0"/>
      <w:marTop w:val="0"/>
      <w:marBottom w:val="0"/>
      <w:divBdr>
        <w:top w:val="none" w:sz="0" w:space="0" w:color="auto"/>
        <w:left w:val="none" w:sz="0" w:space="0" w:color="auto"/>
        <w:bottom w:val="none" w:sz="0" w:space="0" w:color="auto"/>
        <w:right w:val="none" w:sz="0" w:space="0" w:color="auto"/>
      </w:divBdr>
    </w:div>
    <w:div w:id="150341290">
      <w:bodyDiv w:val="1"/>
      <w:marLeft w:val="0"/>
      <w:marRight w:val="0"/>
      <w:marTop w:val="0"/>
      <w:marBottom w:val="0"/>
      <w:divBdr>
        <w:top w:val="none" w:sz="0" w:space="0" w:color="auto"/>
        <w:left w:val="none" w:sz="0" w:space="0" w:color="auto"/>
        <w:bottom w:val="none" w:sz="0" w:space="0" w:color="auto"/>
        <w:right w:val="none" w:sz="0" w:space="0" w:color="auto"/>
      </w:divBdr>
    </w:div>
    <w:div w:id="164172326">
      <w:bodyDiv w:val="1"/>
      <w:marLeft w:val="0"/>
      <w:marRight w:val="0"/>
      <w:marTop w:val="0"/>
      <w:marBottom w:val="0"/>
      <w:divBdr>
        <w:top w:val="none" w:sz="0" w:space="0" w:color="auto"/>
        <w:left w:val="none" w:sz="0" w:space="0" w:color="auto"/>
        <w:bottom w:val="none" w:sz="0" w:space="0" w:color="auto"/>
        <w:right w:val="none" w:sz="0" w:space="0" w:color="auto"/>
      </w:divBdr>
    </w:div>
    <w:div w:id="283849923">
      <w:bodyDiv w:val="1"/>
      <w:marLeft w:val="0"/>
      <w:marRight w:val="0"/>
      <w:marTop w:val="0"/>
      <w:marBottom w:val="0"/>
      <w:divBdr>
        <w:top w:val="none" w:sz="0" w:space="0" w:color="auto"/>
        <w:left w:val="none" w:sz="0" w:space="0" w:color="auto"/>
        <w:bottom w:val="none" w:sz="0" w:space="0" w:color="auto"/>
        <w:right w:val="none" w:sz="0" w:space="0" w:color="auto"/>
      </w:divBdr>
    </w:div>
    <w:div w:id="325935949">
      <w:bodyDiv w:val="1"/>
      <w:marLeft w:val="0"/>
      <w:marRight w:val="0"/>
      <w:marTop w:val="0"/>
      <w:marBottom w:val="0"/>
      <w:divBdr>
        <w:top w:val="none" w:sz="0" w:space="0" w:color="auto"/>
        <w:left w:val="none" w:sz="0" w:space="0" w:color="auto"/>
        <w:bottom w:val="none" w:sz="0" w:space="0" w:color="auto"/>
        <w:right w:val="none" w:sz="0" w:space="0" w:color="auto"/>
      </w:divBdr>
    </w:div>
    <w:div w:id="334965951">
      <w:bodyDiv w:val="1"/>
      <w:marLeft w:val="0"/>
      <w:marRight w:val="0"/>
      <w:marTop w:val="0"/>
      <w:marBottom w:val="0"/>
      <w:divBdr>
        <w:top w:val="none" w:sz="0" w:space="0" w:color="auto"/>
        <w:left w:val="none" w:sz="0" w:space="0" w:color="auto"/>
        <w:bottom w:val="none" w:sz="0" w:space="0" w:color="auto"/>
        <w:right w:val="none" w:sz="0" w:space="0" w:color="auto"/>
      </w:divBdr>
    </w:div>
    <w:div w:id="344669754">
      <w:bodyDiv w:val="1"/>
      <w:marLeft w:val="0"/>
      <w:marRight w:val="0"/>
      <w:marTop w:val="0"/>
      <w:marBottom w:val="0"/>
      <w:divBdr>
        <w:top w:val="none" w:sz="0" w:space="0" w:color="auto"/>
        <w:left w:val="none" w:sz="0" w:space="0" w:color="auto"/>
        <w:bottom w:val="none" w:sz="0" w:space="0" w:color="auto"/>
        <w:right w:val="none" w:sz="0" w:space="0" w:color="auto"/>
      </w:divBdr>
    </w:div>
    <w:div w:id="349113067">
      <w:bodyDiv w:val="1"/>
      <w:marLeft w:val="0"/>
      <w:marRight w:val="0"/>
      <w:marTop w:val="0"/>
      <w:marBottom w:val="0"/>
      <w:divBdr>
        <w:top w:val="none" w:sz="0" w:space="0" w:color="auto"/>
        <w:left w:val="none" w:sz="0" w:space="0" w:color="auto"/>
        <w:bottom w:val="none" w:sz="0" w:space="0" w:color="auto"/>
        <w:right w:val="none" w:sz="0" w:space="0" w:color="auto"/>
      </w:divBdr>
    </w:div>
    <w:div w:id="466435582">
      <w:bodyDiv w:val="1"/>
      <w:marLeft w:val="0"/>
      <w:marRight w:val="0"/>
      <w:marTop w:val="0"/>
      <w:marBottom w:val="0"/>
      <w:divBdr>
        <w:top w:val="none" w:sz="0" w:space="0" w:color="auto"/>
        <w:left w:val="none" w:sz="0" w:space="0" w:color="auto"/>
        <w:bottom w:val="none" w:sz="0" w:space="0" w:color="auto"/>
        <w:right w:val="none" w:sz="0" w:space="0" w:color="auto"/>
      </w:divBdr>
    </w:div>
    <w:div w:id="586618074">
      <w:bodyDiv w:val="1"/>
      <w:marLeft w:val="0"/>
      <w:marRight w:val="0"/>
      <w:marTop w:val="0"/>
      <w:marBottom w:val="0"/>
      <w:divBdr>
        <w:top w:val="none" w:sz="0" w:space="0" w:color="auto"/>
        <w:left w:val="none" w:sz="0" w:space="0" w:color="auto"/>
        <w:bottom w:val="none" w:sz="0" w:space="0" w:color="auto"/>
        <w:right w:val="none" w:sz="0" w:space="0" w:color="auto"/>
      </w:divBdr>
      <w:divsChild>
        <w:div w:id="2046365684">
          <w:marLeft w:val="0"/>
          <w:marRight w:val="0"/>
          <w:marTop w:val="0"/>
          <w:marBottom w:val="0"/>
          <w:divBdr>
            <w:top w:val="none" w:sz="0" w:space="0" w:color="auto"/>
            <w:left w:val="none" w:sz="0" w:space="0" w:color="auto"/>
            <w:bottom w:val="none" w:sz="0" w:space="0" w:color="auto"/>
            <w:right w:val="none" w:sz="0" w:space="0" w:color="auto"/>
          </w:divBdr>
          <w:divsChild>
            <w:div w:id="394547359">
              <w:marLeft w:val="0"/>
              <w:marRight w:val="0"/>
              <w:marTop w:val="0"/>
              <w:marBottom w:val="0"/>
              <w:divBdr>
                <w:top w:val="none" w:sz="0" w:space="0" w:color="auto"/>
                <w:left w:val="none" w:sz="0" w:space="0" w:color="auto"/>
                <w:bottom w:val="none" w:sz="0" w:space="0" w:color="auto"/>
                <w:right w:val="none" w:sz="0" w:space="0" w:color="auto"/>
              </w:divBdr>
              <w:divsChild>
                <w:div w:id="7958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9417">
      <w:bodyDiv w:val="1"/>
      <w:marLeft w:val="0"/>
      <w:marRight w:val="0"/>
      <w:marTop w:val="0"/>
      <w:marBottom w:val="0"/>
      <w:divBdr>
        <w:top w:val="none" w:sz="0" w:space="0" w:color="auto"/>
        <w:left w:val="none" w:sz="0" w:space="0" w:color="auto"/>
        <w:bottom w:val="none" w:sz="0" w:space="0" w:color="auto"/>
        <w:right w:val="none" w:sz="0" w:space="0" w:color="auto"/>
      </w:divBdr>
      <w:divsChild>
        <w:div w:id="1677264694">
          <w:marLeft w:val="0"/>
          <w:marRight w:val="0"/>
          <w:marTop w:val="0"/>
          <w:marBottom w:val="0"/>
          <w:divBdr>
            <w:top w:val="none" w:sz="0" w:space="0" w:color="auto"/>
            <w:left w:val="none" w:sz="0" w:space="0" w:color="auto"/>
            <w:bottom w:val="none" w:sz="0" w:space="0" w:color="auto"/>
            <w:right w:val="none" w:sz="0" w:space="0" w:color="auto"/>
          </w:divBdr>
          <w:divsChild>
            <w:div w:id="2138177558">
              <w:marLeft w:val="0"/>
              <w:marRight w:val="0"/>
              <w:marTop w:val="0"/>
              <w:marBottom w:val="0"/>
              <w:divBdr>
                <w:top w:val="none" w:sz="0" w:space="0" w:color="auto"/>
                <w:left w:val="none" w:sz="0" w:space="0" w:color="auto"/>
                <w:bottom w:val="none" w:sz="0" w:space="0" w:color="auto"/>
                <w:right w:val="none" w:sz="0" w:space="0" w:color="auto"/>
              </w:divBdr>
              <w:divsChild>
                <w:div w:id="5021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4380">
      <w:bodyDiv w:val="1"/>
      <w:marLeft w:val="0"/>
      <w:marRight w:val="0"/>
      <w:marTop w:val="0"/>
      <w:marBottom w:val="0"/>
      <w:divBdr>
        <w:top w:val="none" w:sz="0" w:space="0" w:color="auto"/>
        <w:left w:val="none" w:sz="0" w:space="0" w:color="auto"/>
        <w:bottom w:val="none" w:sz="0" w:space="0" w:color="auto"/>
        <w:right w:val="none" w:sz="0" w:space="0" w:color="auto"/>
      </w:divBdr>
    </w:div>
    <w:div w:id="683557766">
      <w:bodyDiv w:val="1"/>
      <w:marLeft w:val="0"/>
      <w:marRight w:val="0"/>
      <w:marTop w:val="0"/>
      <w:marBottom w:val="0"/>
      <w:divBdr>
        <w:top w:val="none" w:sz="0" w:space="0" w:color="auto"/>
        <w:left w:val="none" w:sz="0" w:space="0" w:color="auto"/>
        <w:bottom w:val="none" w:sz="0" w:space="0" w:color="auto"/>
        <w:right w:val="none" w:sz="0" w:space="0" w:color="auto"/>
      </w:divBdr>
    </w:div>
    <w:div w:id="688680171">
      <w:bodyDiv w:val="1"/>
      <w:marLeft w:val="0"/>
      <w:marRight w:val="0"/>
      <w:marTop w:val="0"/>
      <w:marBottom w:val="0"/>
      <w:divBdr>
        <w:top w:val="none" w:sz="0" w:space="0" w:color="auto"/>
        <w:left w:val="none" w:sz="0" w:space="0" w:color="auto"/>
        <w:bottom w:val="none" w:sz="0" w:space="0" w:color="auto"/>
        <w:right w:val="none" w:sz="0" w:space="0" w:color="auto"/>
      </w:divBdr>
    </w:div>
    <w:div w:id="714505249">
      <w:bodyDiv w:val="1"/>
      <w:marLeft w:val="0"/>
      <w:marRight w:val="0"/>
      <w:marTop w:val="0"/>
      <w:marBottom w:val="0"/>
      <w:divBdr>
        <w:top w:val="none" w:sz="0" w:space="0" w:color="auto"/>
        <w:left w:val="none" w:sz="0" w:space="0" w:color="auto"/>
        <w:bottom w:val="none" w:sz="0" w:space="0" w:color="auto"/>
        <w:right w:val="none" w:sz="0" w:space="0" w:color="auto"/>
      </w:divBdr>
    </w:div>
    <w:div w:id="721640216">
      <w:bodyDiv w:val="1"/>
      <w:marLeft w:val="0"/>
      <w:marRight w:val="0"/>
      <w:marTop w:val="0"/>
      <w:marBottom w:val="0"/>
      <w:divBdr>
        <w:top w:val="none" w:sz="0" w:space="0" w:color="auto"/>
        <w:left w:val="none" w:sz="0" w:space="0" w:color="auto"/>
        <w:bottom w:val="none" w:sz="0" w:space="0" w:color="auto"/>
        <w:right w:val="none" w:sz="0" w:space="0" w:color="auto"/>
      </w:divBdr>
    </w:div>
    <w:div w:id="771362641">
      <w:bodyDiv w:val="1"/>
      <w:marLeft w:val="0"/>
      <w:marRight w:val="0"/>
      <w:marTop w:val="0"/>
      <w:marBottom w:val="0"/>
      <w:divBdr>
        <w:top w:val="none" w:sz="0" w:space="0" w:color="auto"/>
        <w:left w:val="none" w:sz="0" w:space="0" w:color="auto"/>
        <w:bottom w:val="none" w:sz="0" w:space="0" w:color="auto"/>
        <w:right w:val="none" w:sz="0" w:space="0" w:color="auto"/>
      </w:divBdr>
    </w:div>
    <w:div w:id="796525977">
      <w:bodyDiv w:val="1"/>
      <w:marLeft w:val="0"/>
      <w:marRight w:val="0"/>
      <w:marTop w:val="0"/>
      <w:marBottom w:val="0"/>
      <w:divBdr>
        <w:top w:val="none" w:sz="0" w:space="0" w:color="auto"/>
        <w:left w:val="none" w:sz="0" w:space="0" w:color="auto"/>
        <w:bottom w:val="none" w:sz="0" w:space="0" w:color="auto"/>
        <w:right w:val="none" w:sz="0" w:space="0" w:color="auto"/>
      </w:divBdr>
    </w:div>
    <w:div w:id="799879138">
      <w:bodyDiv w:val="1"/>
      <w:marLeft w:val="0"/>
      <w:marRight w:val="0"/>
      <w:marTop w:val="0"/>
      <w:marBottom w:val="0"/>
      <w:divBdr>
        <w:top w:val="none" w:sz="0" w:space="0" w:color="auto"/>
        <w:left w:val="none" w:sz="0" w:space="0" w:color="auto"/>
        <w:bottom w:val="none" w:sz="0" w:space="0" w:color="auto"/>
        <w:right w:val="none" w:sz="0" w:space="0" w:color="auto"/>
      </w:divBdr>
    </w:div>
    <w:div w:id="816262749">
      <w:bodyDiv w:val="1"/>
      <w:marLeft w:val="0"/>
      <w:marRight w:val="0"/>
      <w:marTop w:val="0"/>
      <w:marBottom w:val="0"/>
      <w:divBdr>
        <w:top w:val="none" w:sz="0" w:space="0" w:color="auto"/>
        <w:left w:val="none" w:sz="0" w:space="0" w:color="auto"/>
        <w:bottom w:val="none" w:sz="0" w:space="0" w:color="auto"/>
        <w:right w:val="none" w:sz="0" w:space="0" w:color="auto"/>
      </w:divBdr>
      <w:divsChild>
        <w:div w:id="1919946537">
          <w:marLeft w:val="0"/>
          <w:marRight w:val="0"/>
          <w:marTop w:val="0"/>
          <w:marBottom w:val="0"/>
          <w:divBdr>
            <w:top w:val="none" w:sz="0" w:space="0" w:color="auto"/>
            <w:left w:val="none" w:sz="0" w:space="0" w:color="auto"/>
            <w:bottom w:val="none" w:sz="0" w:space="0" w:color="auto"/>
            <w:right w:val="none" w:sz="0" w:space="0" w:color="auto"/>
          </w:divBdr>
          <w:divsChild>
            <w:div w:id="1638756259">
              <w:marLeft w:val="0"/>
              <w:marRight w:val="0"/>
              <w:marTop w:val="0"/>
              <w:marBottom w:val="0"/>
              <w:divBdr>
                <w:top w:val="none" w:sz="0" w:space="0" w:color="auto"/>
                <w:left w:val="none" w:sz="0" w:space="0" w:color="auto"/>
                <w:bottom w:val="none" w:sz="0" w:space="0" w:color="auto"/>
                <w:right w:val="none" w:sz="0" w:space="0" w:color="auto"/>
              </w:divBdr>
              <w:divsChild>
                <w:div w:id="17635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7354">
      <w:bodyDiv w:val="1"/>
      <w:marLeft w:val="0"/>
      <w:marRight w:val="0"/>
      <w:marTop w:val="0"/>
      <w:marBottom w:val="0"/>
      <w:divBdr>
        <w:top w:val="none" w:sz="0" w:space="0" w:color="auto"/>
        <w:left w:val="none" w:sz="0" w:space="0" w:color="auto"/>
        <w:bottom w:val="none" w:sz="0" w:space="0" w:color="auto"/>
        <w:right w:val="none" w:sz="0" w:space="0" w:color="auto"/>
      </w:divBdr>
    </w:div>
    <w:div w:id="850947848">
      <w:bodyDiv w:val="1"/>
      <w:marLeft w:val="0"/>
      <w:marRight w:val="0"/>
      <w:marTop w:val="0"/>
      <w:marBottom w:val="0"/>
      <w:divBdr>
        <w:top w:val="none" w:sz="0" w:space="0" w:color="auto"/>
        <w:left w:val="none" w:sz="0" w:space="0" w:color="auto"/>
        <w:bottom w:val="none" w:sz="0" w:space="0" w:color="auto"/>
        <w:right w:val="none" w:sz="0" w:space="0" w:color="auto"/>
      </w:divBdr>
      <w:divsChild>
        <w:div w:id="2107000511">
          <w:marLeft w:val="0"/>
          <w:marRight w:val="0"/>
          <w:marTop w:val="0"/>
          <w:marBottom w:val="0"/>
          <w:divBdr>
            <w:top w:val="none" w:sz="0" w:space="0" w:color="auto"/>
            <w:left w:val="none" w:sz="0" w:space="0" w:color="auto"/>
            <w:bottom w:val="none" w:sz="0" w:space="0" w:color="auto"/>
            <w:right w:val="none" w:sz="0" w:space="0" w:color="auto"/>
          </w:divBdr>
          <w:divsChild>
            <w:div w:id="1713653091">
              <w:marLeft w:val="0"/>
              <w:marRight w:val="0"/>
              <w:marTop w:val="0"/>
              <w:marBottom w:val="0"/>
              <w:divBdr>
                <w:top w:val="none" w:sz="0" w:space="0" w:color="auto"/>
                <w:left w:val="none" w:sz="0" w:space="0" w:color="auto"/>
                <w:bottom w:val="none" w:sz="0" w:space="0" w:color="auto"/>
                <w:right w:val="none" w:sz="0" w:space="0" w:color="auto"/>
              </w:divBdr>
              <w:divsChild>
                <w:div w:id="17841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9498">
      <w:bodyDiv w:val="1"/>
      <w:marLeft w:val="0"/>
      <w:marRight w:val="0"/>
      <w:marTop w:val="0"/>
      <w:marBottom w:val="0"/>
      <w:divBdr>
        <w:top w:val="none" w:sz="0" w:space="0" w:color="auto"/>
        <w:left w:val="none" w:sz="0" w:space="0" w:color="auto"/>
        <w:bottom w:val="none" w:sz="0" w:space="0" w:color="auto"/>
        <w:right w:val="none" w:sz="0" w:space="0" w:color="auto"/>
      </w:divBdr>
    </w:div>
    <w:div w:id="869103999">
      <w:bodyDiv w:val="1"/>
      <w:marLeft w:val="0"/>
      <w:marRight w:val="0"/>
      <w:marTop w:val="0"/>
      <w:marBottom w:val="0"/>
      <w:divBdr>
        <w:top w:val="none" w:sz="0" w:space="0" w:color="auto"/>
        <w:left w:val="none" w:sz="0" w:space="0" w:color="auto"/>
        <w:bottom w:val="none" w:sz="0" w:space="0" w:color="auto"/>
        <w:right w:val="none" w:sz="0" w:space="0" w:color="auto"/>
      </w:divBdr>
    </w:div>
    <w:div w:id="908617818">
      <w:bodyDiv w:val="1"/>
      <w:marLeft w:val="0"/>
      <w:marRight w:val="0"/>
      <w:marTop w:val="0"/>
      <w:marBottom w:val="0"/>
      <w:divBdr>
        <w:top w:val="none" w:sz="0" w:space="0" w:color="auto"/>
        <w:left w:val="none" w:sz="0" w:space="0" w:color="auto"/>
        <w:bottom w:val="none" w:sz="0" w:space="0" w:color="auto"/>
        <w:right w:val="none" w:sz="0" w:space="0" w:color="auto"/>
      </w:divBdr>
    </w:div>
    <w:div w:id="909920924">
      <w:bodyDiv w:val="1"/>
      <w:marLeft w:val="0"/>
      <w:marRight w:val="0"/>
      <w:marTop w:val="0"/>
      <w:marBottom w:val="0"/>
      <w:divBdr>
        <w:top w:val="none" w:sz="0" w:space="0" w:color="auto"/>
        <w:left w:val="none" w:sz="0" w:space="0" w:color="auto"/>
        <w:bottom w:val="none" w:sz="0" w:space="0" w:color="auto"/>
        <w:right w:val="none" w:sz="0" w:space="0" w:color="auto"/>
      </w:divBdr>
    </w:div>
    <w:div w:id="1170364666">
      <w:bodyDiv w:val="1"/>
      <w:marLeft w:val="0"/>
      <w:marRight w:val="0"/>
      <w:marTop w:val="0"/>
      <w:marBottom w:val="0"/>
      <w:divBdr>
        <w:top w:val="none" w:sz="0" w:space="0" w:color="auto"/>
        <w:left w:val="none" w:sz="0" w:space="0" w:color="auto"/>
        <w:bottom w:val="none" w:sz="0" w:space="0" w:color="auto"/>
        <w:right w:val="none" w:sz="0" w:space="0" w:color="auto"/>
      </w:divBdr>
    </w:div>
    <w:div w:id="1235242603">
      <w:bodyDiv w:val="1"/>
      <w:marLeft w:val="0"/>
      <w:marRight w:val="0"/>
      <w:marTop w:val="0"/>
      <w:marBottom w:val="0"/>
      <w:divBdr>
        <w:top w:val="none" w:sz="0" w:space="0" w:color="auto"/>
        <w:left w:val="none" w:sz="0" w:space="0" w:color="auto"/>
        <w:bottom w:val="none" w:sz="0" w:space="0" w:color="auto"/>
        <w:right w:val="none" w:sz="0" w:space="0" w:color="auto"/>
      </w:divBdr>
    </w:div>
    <w:div w:id="1260210796">
      <w:bodyDiv w:val="1"/>
      <w:marLeft w:val="0"/>
      <w:marRight w:val="0"/>
      <w:marTop w:val="0"/>
      <w:marBottom w:val="0"/>
      <w:divBdr>
        <w:top w:val="none" w:sz="0" w:space="0" w:color="auto"/>
        <w:left w:val="none" w:sz="0" w:space="0" w:color="auto"/>
        <w:bottom w:val="none" w:sz="0" w:space="0" w:color="auto"/>
        <w:right w:val="none" w:sz="0" w:space="0" w:color="auto"/>
      </w:divBdr>
    </w:div>
    <w:div w:id="1412655667">
      <w:bodyDiv w:val="1"/>
      <w:marLeft w:val="0"/>
      <w:marRight w:val="0"/>
      <w:marTop w:val="0"/>
      <w:marBottom w:val="0"/>
      <w:divBdr>
        <w:top w:val="none" w:sz="0" w:space="0" w:color="auto"/>
        <w:left w:val="none" w:sz="0" w:space="0" w:color="auto"/>
        <w:bottom w:val="none" w:sz="0" w:space="0" w:color="auto"/>
        <w:right w:val="none" w:sz="0" w:space="0" w:color="auto"/>
      </w:divBdr>
    </w:div>
    <w:div w:id="1438595804">
      <w:bodyDiv w:val="1"/>
      <w:marLeft w:val="0"/>
      <w:marRight w:val="0"/>
      <w:marTop w:val="0"/>
      <w:marBottom w:val="0"/>
      <w:divBdr>
        <w:top w:val="none" w:sz="0" w:space="0" w:color="auto"/>
        <w:left w:val="none" w:sz="0" w:space="0" w:color="auto"/>
        <w:bottom w:val="none" w:sz="0" w:space="0" w:color="auto"/>
        <w:right w:val="none" w:sz="0" w:space="0" w:color="auto"/>
      </w:divBdr>
    </w:div>
    <w:div w:id="1488595169">
      <w:bodyDiv w:val="1"/>
      <w:marLeft w:val="0"/>
      <w:marRight w:val="0"/>
      <w:marTop w:val="0"/>
      <w:marBottom w:val="0"/>
      <w:divBdr>
        <w:top w:val="none" w:sz="0" w:space="0" w:color="auto"/>
        <w:left w:val="none" w:sz="0" w:space="0" w:color="auto"/>
        <w:bottom w:val="none" w:sz="0" w:space="0" w:color="auto"/>
        <w:right w:val="none" w:sz="0" w:space="0" w:color="auto"/>
      </w:divBdr>
    </w:div>
    <w:div w:id="1502892551">
      <w:bodyDiv w:val="1"/>
      <w:marLeft w:val="0"/>
      <w:marRight w:val="0"/>
      <w:marTop w:val="0"/>
      <w:marBottom w:val="0"/>
      <w:divBdr>
        <w:top w:val="none" w:sz="0" w:space="0" w:color="auto"/>
        <w:left w:val="none" w:sz="0" w:space="0" w:color="auto"/>
        <w:bottom w:val="none" w:sz="0" w:space="0" w:color="auto"/>
        <w:right w:val="none" w:sz="0" w:space="0" w:color="auto"/>
      </w:divBdr>
    </w:div>
    <w:div w:id="1615790950">
      <w:bodyDiv w:val="1"/>
      <w:marLeft w:val="0"/>
      <w:marRight w:val="0"/>
      <w:marTop w:val="0"/>
      <w:marBottom w:val="0"/>
      <w:divBdr>
        <w:top w:val="none" w:sz="0" w:space="0" w:color="auto"/>
        <w:left w:val="none" w:sz="0" w:space="0" w:color="auto"/>
        <w:bottom w:val="none" w:sz="0" w:space="0" w:color="auto"/>
        <w:right w:val="none" w:sz="0" w:space="0" w:color="auto"/>
      </w:divBdr>
    </w:div>
    <w:div w:id="1635406817">
      <w:bodyDiv w:val="1"/>
      <w:marLeft w:val="0"/>
      <w:marRight w:val="0"/>
      <w:marTop w:val="0"/>
      <w:marBottom w:val="0"/>
      <w:divBdr>
        <w:top w:val="none" w:sz="0" w:space="0" w:color="auto"/>
        <w:left w:val="none" w:sz="0" w:space="0" w:color="auto"/>
        <w:bottom w:val="none" w:sz="0" w:space="0" w:color="auto"/>
        <w:right w:val="none" w:sz="0" w:space="0" w:color="auto"/>
      </w:divBdr>
      <w:divsChild>
        <w:div w:id="376272717">
          <w:marLeft w:val="0"/>
          <w:marRight w:val="0"/>
          <w:marTop w:val="0"/>
          <w:marBottom w:val="0"/>
          <w:divBdr>
            <w:top w:val="none" w:sz="0" w:space="0" w:color="auto"/>
            <w:left w:val="none" w:sz="0" w:space="0" w:color="auto"/>
            <w:bottom w:val="none" w:sz="0" w:space="0" w:color="auto"/>
            <w:right w:val="none" w:sz="0" w:space="0" w:color="auto"/>
          </w:divBdr>
          <w:divsChild>
            <w:div w:id="1793547521">
              <w:marLeft w:val="0"/>
              <w:marRight w:val="0"/>
              <w:marTop w:val="0"/>
              <w:marBottom w:val="0"/>
              <w:divBdr>
                <w:top w:val="none" w:sz="0" w:space="0" w:color="auto"/>
                <w:left w:val="none" w:sz="0" w:space="0" w:color="auto"/>
                <w:bottom w:val="none" w:sz="0" w:space="0" w:color="auto"/>
                <w:right w:val="none" w:sz="0" w:space="0" w:color="auto"/>
              </w:divBdr>
              <w:divsChild>
                <w:div w:id="8784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0091">
      <w:bodyDiv w:val="1"/>
      <w:marLeft w:val="0"/>
      <w:marRight w:val="0"/>
      <w:marTop w:val="0"/>
      <w:marBottom w:val="0"/>
      <w:divBdr>
        <w:top w:val="none" w:sz="0" w:space="0" w:color="auto"/>
        <w:left w:val="none" w:sz="0" w:space="0" w:color="auto"/>
        <w:bottom w:val="none" w:sz="0" w:space="0" w:color="auto"/>
        <w:right w:val="none" w:sz="0" w:space="0" w:color="auto"/>
      </w:divBdr>
      <w:divsChild>
        <w:div w:id="1776288507">
          <w:marLeft w:val="0"/>
          <w:marRight w:val="0"/>
          <w:marTop w:val="0"/>
          <w:marBottom w:val="0"/>
          <w:divBdr>
            <w:top w:val="none" w:sz="0" w:space="0" w:color="auto"/>
            <w:left w:val="none" w:sz="0" w:space="0" w:color="auto"/>
            <w:bottom w:val="none" w:sz="0" w:space="0" w:color="auto"/>
            <w:right w:val="none" w:sz="0" w:space="0" w:color="auto"/>
          </w:divBdr>
          <w:divsChild>
            <w:div w:id="1117213324">
              <w:marLeft w:val="0"/>
              <w:marRight w:val="0"/>
              <w:marTop w:val="0"/>
              <w:marBottom w:val="0"/>
              <w:divBdr>
                <w:top w:val="none" w:sz="0" w:space="0" w:color="auto"/>
                <w:left w:val="none" w:sz="0" w:space="0" w:color="auto"/>
                <w:bottom w:val="none" w:sz="0" w:space="0" w:color="auto"/>
                <w:right w:val="none" w:sz="0" w:space="0" w:color="auto"/>
              </w:divBdr>
              <w:divsChild>
                <w:div w:id="13210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8719">
      <w:bodyDiv w:val="1"/>
      <w:marLeft w:val="0"/>
      <w:marRight w:val="0"/>
      <w:marTop w:val="0"/>
      <w:marBottom w:val="0"/>
      <w:divBdr>
        <w:top w:val="none" w:sz="0" w:space="0" w:color="auto"/>
        <w:left w:val="none" w:sz="0" w:space="0" w:color="auto"/>
        <w:bottom w:val="none" w:sz="0" w:space="0" w:color="auto"/>
        <w:right w:val="none" w:sz="0" w:space="0" w:color="auto"/>
      </w:divBdr>
      <w:divsChild>
        <w:div w:id="1492257041">
          <w:marLeft w:val="0"/>
          <w:marRight w:val="0"/>
          <w:marTop w:val="0"/>
          <w:marBottom w:val="0"/>
          <w:divBdr>
            <w:top w:val="none" w:sz="0" w:space="0" w:color="auto"/>
            <w:left w:val="none" w:sz="0" w:space="0" w:color="auto"/>
            <w:bottom w:val="none" w:sz="0" w:space="0" w:color="auto"/>
            <w:right w:val="none" w:sz="0" w:space="0" w:color="auto"/>
          </w:divBdr>
          <w:divsChild>
            <w:div w:id="1692340301">
              <w:marLeft w:val="0"/>
              <w:marRight w:val="0"/>
              <w:marTop w:val="0"/>
              <w:marBottom w:val="0"/>
              <w:divBdr>
                <w:top w:val="none" w:sz="0" w:space="0" w:color="auto"/>
                <w:left w:val="none" w:sz="0" w:space="0" w:color="auto"/>
                <w:bottom w:val="none" w:sz="0" w:space="0" w:color="auto"/>
                <w:right w:val="none" w:sz="0" w:space="0" w:color="auto"/>
              </w:divBdr>
              <w:divsChild>
                <w:div w:id="8694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30157">
      <w:bodyDiv w:val="1"/>
      <w:marLeft w:val="0"/>
      <w:marRight w:val="0"/>
      <w:marTop w:val="0"/>
      <w:marBottom w:val="0"/>
      <w:divBdr>
        <w:top w:val="none" w:sz="0" w:space="0" w:color="auto"/>
        <w:left w:val="none" w:sz="0" w:space="0" w:color="auto"/>
        <w:bottom w:val="none" w:sz="0" w:space="0" w:color="auto"/>
        <w:right w:val="none" w:sz="0" w:space="0" w:color="auto"/>
      </w:divBdr>
    </w:div>
    <w:div w:id="1707565595">
      <w:bodyDiv w:val="1"/>
      <w:marLeft w:val="0"/>
      <w:marRight w:val="0"/>
      <w:marTop w:val="0"/>
      <w:marBottom w:val="0"/>
      <w:divBdr>
        <w:top w:val="none" w:sz="0" w:space="0" w:color="auto"/>
        <w:left w:val="none" w:sz="0" w:space="0" w:color="auto"/>
        <w:bottom w:val="none" w:sz="0" w:space="0" w:color="auto"/>
        <w:right w:val="none" w:sz="0" w:space="0" w:color="auto"/>
      </w:divBdr>
    </w:div>
    <w:div w:id="1708750884">
      <w:bodyDiv w:val="1"/>
      <w:marLeft w:val="0"/>
      <w:marRight w:val="0"/>
      <w:marTop w:val="0"/>
      <w:marBottom w:val="0"/>
      <w:divBdr>
        <w:top w:val="none" w:sz="0" w:space="0" w:color="auto"/>
        <w:left w:val="none" w:sz="0" w:space="0" w:color="auto"/>
        <w:bottom w:val="none" w:sz="0" w:space="0" w:color="auto"/>
        <w:right w:val="none" w:sz="0" w:space="0" w:color="auto"/>
      </w:divBdr>
    </w:div>
    <w:div w:id="1854611253">
      <w:bodyDiv w:val="1"/>
      <w:marLeft w:val="0"/>
      <w:marRight w:val="0"/>
      <w:marTop w:val="0"/>
      <w:marBottom w:val="0"/>
      <w:divBdr>
        <w:top w:val="none" w:sz="0" w:space="0" w:color="auto"/>
        <w:left w:val="none" w:sz="0" w:space="0" w:color="auto"/>
        <w:bottom w:val="none" w:sz="0" w:space="0" w:color="auto"/>
        <w:right w:val="none" w:sz="0" w:space="0" w:color="auto"/>
      </w:divBdr>
    </w:div>
    <w:div w:id="1870534266">
      <w:bodyDiv w:val="1"/>
      <w:marLeft w:val="0"/>
      <w:marRight w:val="0"/>
      <w:marTop w:val="0"/>
      <w:marBottom w:val="0"/>
      <w:divBdr>
        <w:top w:val="none" w:sz="0" w:space="0" w:color="auto"/>
        <w:left w:val="none" w:sz="0" w:space="0" w:color="auto"/>
        <w:bottom w:val="none" w:sz="0" w:space="0" w:color="auto"/>
        <w:right w:val="none" w:sz="0" w:space="0" w:color="auto"/>
      </w:divBdr>
    </w:div>
    <w:div w:id="1936593556">
      <w:bodyDiv w:val="1"/>
      <w:marLeft w:val="0"/>
      <w:marRight w:val="0"/>
      <w:marTop w:val="0"/>
      <w:marBottom w:val="0"/>
      <w:divBdr>
        <w:top w:val="none" w:sz="0" w:space="0" w:color="auto"/>
        <w:left w:val="none" w:sz="0" w:space="0" w:color="auto"/>
        <w:bottom w:val="none" w:sz="0" w:space="0" w:color="auto"/>
        <w:right w:val="none" w:sz="0" w:space="0" w:color="auto"/>
      </w:divBdr>
    </w:div>
    <w:div w:id="1960213932">
      <w:bodyDiv w:val="1"/>
      <w:marLeft w:val="0"/>
      <w:marRight w:val="0"/>
      <w:marTop w:val="0"/>
      <w:marBottom w:val="0"/>
      <w:divBdr>
        <w:top w:val="none" w:sz="0" w:space="0" w:color="auto"/>
        <w:left w:val="none" w:sz="0" w:space="0" w:color="auto"/>
        <w:bottom w:val="none" w:sz="0" w:space="0" w:color="auto"/>
        <w:right w:val="none" w:sz="0" w:space="0" w:color="auto"/>
      </w:divBdr>
    </w:div>
    <w:div w:id="1988507606">
      <w:bodyDiv w:val="1"/>
      <w:marLeft w:val="0"/>
      <w:marRight w:val="0"/>
      <w:marTop w:val="0"/>
      <w:marBottom w:val="0"/>
      <w:divBdr>
        <w:top w:val="none" w:sz="0" w:space="0" w:color="auto"/>
        <w:left w:val="none" w:sz="0" w:space="0" w:color="auto"/>
        <w:bottom w:val="none" w:sz="0" w:space="0" w:color="auto"/>
        <w:right w:val="none" w:sz="0" w:space="0" w:color="auto"/>
      </w:divBdr>
    </w:div>
    <w:div w:id="1994411428">
      <w:bodyDiv w:val="1"/>
      <w:marLeft w:val="0"/>
      <w:marRight w:val="0"/>
      <w:marTop w:val="0"/>
      <w:marBottom w:val="0"/>
      <w:divBdr>
        <w:top w:val="none" w:sz="0" w:space="0" w:color="auto"/>
        <w:left w:val="none" w:sz="0" w:space="0" w:color="auto"/>
        <w:bottom w:val="none" w:sz="0" w:space="0" w:color="auto"/>
        <w:right w:val="none" w:sz="0" w:space="0" w:color="auto"/>
      </w:divBdr>
      <w:divsChild>
        <w:div w:id="259341646">
          <w:marLeft w:val="0"/>
          <w:marRight w:val="0"/>
          <w:marTop w:val="0"/>
          <w:marBottom w:val="0"/>
          <w:divBdr>
            <w:top w:val="none" w:sz="0" w:space="0" w:color="auto"/>
            <w:left w:val="none" w:sz="0" w:space="0" w:color="auto"/>
            <w:bottom w:val="none" w:sz="0" w:space="0" w:color="auto"/>
            <w:right w:val="none" w:sz="0" w:space="0" w:color="auto"/>
          </w:divBdr>
        </w:div>
        <w:div w:id="1984964768">
          <w:marLeft w:val="0"/>
          <w:marRight w:val="0"/>
          <w:marTop w:val="0"/>
          <w:marBottom w:val="0"/>
          <w:divBdr>
            <w:top w:val="none" w:sz="0" w:space="0" w:color="auto"/>
            <w:left w:val="none" w:sz="0" w:space="0" w:color="auto"/>
            <w:bottom w:val="none" w:sz="0" w:space="0" w:color="auto"/>
            <w:right w:val="none" w:sz="0" w:space="0" w:color="auto"/>
          </w:divBdr>
        </w:div>
        <w:div w:id="21238393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4.xml"/><Relationship Id="rId21" Type="http://schemas.openxmlformats.org/officeDocument/2006/relationships/chart" Target="charts/chart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s://scholar.google.com/citations?view_op=view_citation&amp;hl=en&amp;user=MIiLYVYAAAAJ&amp;citation_for_view=MIiLYVYAAAAJ:2osOgNQ5qMEC" TargetMode="External"/><Relationship Id="rId15" Type="http://schemas.openxmlformats.org/officeDocument/2006/relationships/hyperlink" Target="https://scholar.google.co.uk/scholar?oi=bibs&amp;cluster=17679526283503757706&amp;btnI=1&amp;hl=en" TargetMode="External"/><Relationship Id="rId16" Type="http://schemas.openxmlformats.org/officeDocument/2006/relationships/hyperlink" Target="https://econpapers.repec.org/article/eeejbrese/" TargetMode="External"/><Relationship Id="rId17" Type="http://schemas.openxmlformats.org/officeDocument/2006/relationships/hyperlink" Target="https://byronsharp.files.wordpress.com/2008/07/repsubscription.pdf" TargetMode="External"/><Relationship Id="rId18" Type="http://schemas.openxmlformats.org/officeDocument/2006/relationships/hyperlink" Target="javascript:void(0)" TargetMode="Externa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Users\JohnScriven%201\Documents\John%20Files\Work%20in%20progress\Dirichlet%20Deviations\Bound%20files\NEWDEVSWDOCS011009\62brandleaders0912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'62leadfingbr'!$AF$4:$AF$5</c:f>
              <c:strCache>
                <c:ptCount val="2"/>
                <c:pt idx="0">
                  <c:v>Penetration</c:v>
                </c:pt>
                <c:pt idx="1">
                  <c:v>%</c:v>
                </c:pt>
              </c:strCache>
            </c:strRef>
          </c:tx>
          <c:spPr>
            <a:ln w="31750" cap="rnd">
              <a:noFill/>
              <a:round/>
            </a:ln>
            <a:effectLst/>
          </c:spPr>
          <c:marker>
            <c:symbol val="circle"/>
            <c:size val="5"/>
            <c:spPr>
              <a:solidFill>
                <a:schemeClr val="accent1"/>
              </a:solidFill>
              <a:ln w="9525">
                <a:solidFill>
                  <a:schemeClr val="accent1"/>
                </a:solidFill>
              </a:ln>
              <a:effectLst/>
            </c:spPr>
          </c:marker>
          <c:xVal>
            <c:numRef>
              <c:f>'62leadfingbr'!$AE$6:$AE$70</c:f>
              <c:numCache>
                <c:formatCode>General</c:formatCode>
                <c:ptCount val="65"/>
                <c:pt idx="3" formatCode="0">
                  <c:v>23.9855925057703</c:v>
                </c:pt>
                <c:pt idx="4" formatCode="0">
                  <c:v>-2.576926505020067</c:v>
                </c:pt>
                <c:pt idx="5" formatCode="0">
                  <c:v>1.358737070494133</c:v>
                </c:pt>
                <c:pt idx="6" formatCode="0">
                  <c:v>14.31268866447852</c:v>
                </c:pt>
                <c:pt idx="7" formatCode="0">
                  <c:v>16.01968032251656</c:v>
                </c:pt>
                <c:pt idx="8" formatCode="0">
                  <c:v>28.01534423127555</c:v>
                </c:pt>
                <c:pt idx="9" formatCode="0">
                  <c:v>42.0255920604562</c:v>
                </c:pt>
                <c:pt idx="10" formatCode="0">
                  <c:v>14.37957456836126</c:v>
                </c:pt>
                <c:pt idx="11" formatCode="0">
                  <c:v>30.94330892691403</c:v>
                </c:pt>
                <c:pt idx="12" formatCode="0">
                  <c:v>5.079600202481593</c:v>
                </c:pt>
                <c:pt idx="13" formatCode="0">
                  <c:v>-0.0708485488233282</c:v>
                </c:pt>
                <c:pt idx="14" formatCode="0">
                  <c:v>23.75473355546022</c:v>
                </c:pt>
                <c:pt idx="15" formatCode="0">
                  <c:v>3.606033852376732</c:v>
                </c:pt>
                <c:pt idx="16" formatCode="0">
                  <c:v>-3.83655986674243</c:v>
                </c:pt>
                <c:pt idx="17" formatCode="0">
                  <c:v>-5.094096952752047</c:v>
                </c:pt>
                <c:pt idx="18" formatCode="0">
                  <c:v>-9.754271443832929</c:v>
                </c:pt>
                <c:pt idx="19" formatCode="0">
                  <c:v>16.93130751878009</c:v>
                </c:pt>
                <c:pt idx="20" formatCode="0">
                  <c:v>-9.298172670334308</c:v>
                </c:pt>
                <c:pt idx="21" formatCode="0">
                  <c:v>1.981839941604532</c:v>
                </c:pt>
                <c:pt idx="22" formatCode="0">
                  <c:v>18.08058855076708</c:v>
                </c:pt>
                <c:pt idx="23" formatCode="0">
                  <c:v>37.47937162709015</c:v>
                </c:pt>
                <c:pt idx="24" formatCode="0">
                  <c:v>-6.369632743279703</c:v>
                </c:pt>
                <c:pt idx="25" formatCode="0">
                  <c:v>-0.529207859053093</c:v>
                </c:pt>
                <c:pt idx="26" formatCode="0">
                  <c:v>-1.151398966634252</c:v>
                </c:pt>
                <c:pt idx="27" formatCode="0">
                  <c:v>5.023413848412765</c:v>
                </c:pt>
                <c:pt idx="28" formatCode="0">
                  <c:v>36.29709227032246</c:v>
                </c:pt>
                <c:pt idx="29" formatCode="0">
                  <c:v>1.100798660740837</c:v>
                </c:pt>
                <c:pt idx="30" formatCode="0">
                  <c:v>52.28453022085054</c:v>
                </c:pt>
                <c:pt idx="31" formatCode="0">
                  <c:v>-10.94668731528036</c:v>
                </c:pt>
                <c:pt idx="32" formatCode="0">
                  <c:v>24.90899705980533</c:v>
                </c:pt>
                <c:pt idx="33" formatCode="0">
                  <c:v>14.26134844284644</c:v>
                </c:pt>
                <c:pt idx="34" formatCode="0">
                  <c:v>-11.10295504687961</c:v>
                </c:pt>
                <c:pt idx="35" formatCode="0">
                  <c:v>11.51650862310472</c:v>
                </c:pt>
                <c:pt idx="36" formatCode="0">
                  <c:v>-6.259338648864193</c:v>
                </c:pt>
                <c:pt idx="37" formatCode="0">
                  <c:v>16.63921621810626</c:v>
                </c:pt>
                <c:pt idx="38" formatCode="0">
                  <c:v>5.15095930140333</c:v>
                </c:pt>
                <c:pt idx="39" formatCode="0">
                  <c:v>-3.087061206127746</c:v>
                </c:pt>
                <c:pt idx="40" formatCode="0">
                  <c:v>28.66469177129584</c:v>
                </c:pt>
                <c:pt idx="41" formatCode="0">
                  <c:v>-10.64015840439175</c:v>
                </c:pt>
                <c:pt idx="42" formatCode="0">
                  <c:v>-2.651638522782377</c:v>
                </c:pt>
                <c:pt idx="43" formatCode="0">
                  <c:v>32.2871089463711</c:v>
                </c:pt>
                <c:pt idx="44" formatCode="0">
                  <c:v>-1.597674830071815</c:v>
                </c:pt>
                <c:pt idx="45" formatCode="0">
                  <c:v>23.49940485894054</c:v>
                </c:pt>
                <c:pt idx="46" formatCode="0">
                  <c:v>8.055300797981786</c:v>
                </c:pt>
                <c:pt idx="47" formatCode="0">
                  <c:v>-1.895925765017764</c:v>
                </c:pt>
                <c:pt idx="48" formatCode="0">
                  <c:v>1.451699162553294</c:v>
                </c:pt>
                <c:pt idx="49" formatCode="0">
                  <c:v>2.44849004298752</c:v>
                </c:pt>
                <c:pt idx="50" formatCode="0">
                  <c:v>19.00552580282082</c:v>
                </c:pt>
                <c:pt idx="51" formatCode="0">
                  <c:v>22.32467260225238</c:v>
                </c:pt>
                <c:pt idx="52" formatCode="0">
                  <c:v>0.532828769193379</c:v>
                </c:pt>
                <c:pt idx="53" formatCode="0">
                  <c:v>50.0523962244334</c:v>
                </c:pt>
                <c:pt idx="54" formatCode="0">
                  <c:v>-8.232108467066961</c:v>
                </c:pt>
                <c:pt idx="55" formatCode="0">
                  <c:v>2.053423123950385</c:v>
                </c:pt>
                <c:pt idx="56" formatCode="0">
                  <c:v>32.92794863557175</c:v>
                </c:pt>
                <c:pt idx="57" formatCode="0">
                  <c:v>-0.00950547745428878</c:v>
                </c:pt>
                <c:pt idx="58" formatCode="0">
                  <c:v>5.63037195470233</c:v>
                </c:pt>
                <c:pt idx="59" formatCode="0">
                  <c:v>4.142646448439655</c:v>
                </c:pt>
                <c:pt idx="60" formatCode="0">
                  <c:v>71.4982413874175</c:v>
                </c:pt>
                <c:pt idx="61" formatCode="0">
                  <c:v>5.125481471180525</c:v>
                </c:pt>
                <c:pt idx="62" formatCode="0">
                  <c:v>74.44030984698565</c:v>
                </c:pt>
                <c:pt idx="63" formatCode="0">
                  <c:v>1.976044102143835</c:v>
                </c:pt>
                <c:pt idx="64" formatCode="0">
                  <c:v>18.82840042231901</c:v>
                </c:pt>
              </c:numCache>
            </c:numRef>
          </c:xVal>
          <c:yVal>
            <c:numRef>
              <c:f>'62leadfingbr'!$AF$6:$AF$70</c:f>
              <c:numCache>
                <c:formatCode>General</c:formatCode>
                <c:ptCount val="65"/>
                <c:pt idx="3" formatCode="0.0">
                  <c:v>18.5</c:v>
                </c:pt>
                <c:pt idx="4" formatCode="0.0">
                  <c:v>40.7</c:v>
                </c:pt>
                <c:pt idx="5" formatCode="0.0">
                  <c:v>29.8</c:v>
                </c:pt>
                <c:pt idx="6" formatCode="0.0">
                  <c:v>8.1</c:v>
                </c:pt>
                <c:pt idx="7" formatCode="0.0">
                  <c:v>10.8</c:v>
                </c:pt>
                <c:pt idx="8" formatCode="0.0">
                  <c:v>27.2</c:v>
                </c:pt>
                <c:pt idx="9" formatCode="0.0">
                  <c:v>2.8</c:v>
                </c:pt>
                <c:pt idx="10" formatCode="0.0">
                  <c:v>45.1</c:v>
                </c:pt>
                <c:pt idx="11" formatCode="0.0">
                  <c:v>15.8</c:v>
                </c:pt>
                <c:pt idx="12" formatCode="0.0">
                  <c:v>10.6</c:v>
                </c:pt>
                <c:pt idx="13" formatCode="0.0">
                  <c:v>40.2</c:v>
                </c:pt>
                <c:pt idx="14" formatCode="0.0">
                  <c:v>37.8</c:v>
                </c:pt>
                <c:pt idx="15" formatCode="0.0">
                  <c:v>13.2</c:v>
                </c:pt>
                <c:pt idx="16" formatCode="0.0">
                  <c:v>17.0</c:v>
                </c:pt>
                <c:pt idx="17" formatCode="0.0">
                  <c:v>9.6</c:v>
                </c:pt>
                <c:pt idx="18" formatCode="0.0">
                  <c:v>5.2</c:v>
                </c:pt>
                <c:pt idx="19" formatCode="0.0">
                  <c:v>6.1</c:v>
                </c:pt>
                <c:pt idx="20" formatCode="0.0">
                  <c:v>45.5</c:v>
                </c:pt>
                <c:pt idx="21" formatCode="0.0">
                  <c:v>67.1</c:v>
                </c:pt>
                <c:pt idx="22" formatCode="0.0">
                  <c:v>21.4</c:v>
                </c:pt>
                <c:pt idx="23" formatCode="0.0">
                  <c:v>12.4</c:v>
                </c:pt>
                <c:pt idx="24" formatCode="0.0">
                  <c:v>40.4</c:v>
                </c:pt>
                <c:pt idx="25" formatCode="0.0">
                  <c:v>47.4</c:v>
                </c:pt>
                <c:pt idx="26" formatCode="0.0">
                  <c:v>42.0</c:v>
                </c:pt>
                <c:pt idx="27" formatCode="0.0">
                  <c:v>3.7</c:v>
                </c:pt>
                <c:pt idx="28" formatCode="0.0">
                  <c:v>5.5</c:v>
                </c:pt>
                <c:pt idx="29" formatCode="0.0">
                  <c:v>3.4</c:v>
                </c:pt>
                <c:pt idx="30" formatCode="0.0">
                  <c:v>8.1</c:v>
                </c:pt>
                <c:pt idx="31" formatCode="0.0">
                  <c:v>5.6</c:v>
                </c:pt>
                <c:pt idx="32" formatCode="0.0">
                  <c:v>7.7</c:v>
                </c:pt>
                <c:pt idx="33" formatCode="0.0">
                  <c:v>26.2</c:v>
                </c:pt>
                <c:pt idx="34" formatCode="0.0">
                  <c:v>6.2</c:v>
                </c:pt>
                <c:pt idx="35" formatCode="0.0">
                  <c:v>6.5</c:v>
                </c:pt>
                <c:pt idx="36" formatCode="0.0">
                  <c:v>8.700000000000001</c:v>
                </c:pt>
                <c:pt idx="37" formatCode="0.0">
                  <c:v>14.5</c:v>
                </c:pt>
                <c:pt idx="38" formatCode="0.0">
                  <c:v>43.7</c:v>
                </c:pt>
                <c:pt idx="39" formatCode="0.0">
                  <c:v>14.5</c:v>
                </c:pt>
                <c:pt idx="40" formatCode="0.0">
                  <c:v>8.700000000000001</c:v>
                </c:pt>
                <c:pt idx="41" formatCode="0.0">
                  <c:v>5.6</c:v>
                </c:pt>
                <c:pt idx="42" formatCode="0.0">
                  <c:v>28.5</c:v>
                </c:pt>
                <c:pt idx="43" formatCode="0.0">
                  <c:v>39.4</c:v>
                </c:pt>
                <c:pt idx="44" formatCode="0.0">
                  <c:v>14.8</c:v>
                </c:pt>
                <c:pt idx="45" formatCode="0.0">
                  <c:v>1.8</c:v>
                </c:pt>
                <c:pt idx="46" formatCode="0.0">
                  <c:v>6.4</c:v>
                </c:pt>
                <c:pt idx="47" formatCode="0.0">
                  <c:v>20.6</c:v>
                </c:pt>
                <c:pt idx="48" formatCode="0.0">
                  <c:v>73.1</c:v>
                </c:pt>
                <c:pt idx="49" formatCode="0.0">
                  <c:v>49.7</c:v>
                </c:pt>
                <c:pt idx="50" formatCode="0.0">
                  <c:v>13.4</c:v>
                </c:pt>
                <c:pt idx="51" formatCode="0.0">
                  <c:v>16.8</c:v>
                </c:pt>
                <c:pt idx="52" formatCode="0.0">
                  <c:v>9.6</c:v>
                </c:pt>
                <c:pt idx="53" formatCode="0.0">
                  <c:v>35.3</c:v>
                </c:pt>
                <c:pt idx="54" formatCode="0.0">
                  <c:v>32.8</c:v>
                </c:pt>
                <c:pt idx="55" formatCode="0.0">
                  <c:v>28.8</c:v>
                </c:pt>
                <c:pt idx="56" formatCode="0.0">
                  <c:v>16.1</c:v>
                </c:pt>
                <c:pt idx="57" formatCode="0.0">
                  <c:v>49.7</c:v>
                </c:pt>
                <c:pt idx="58" formatCode="0.0">
                  <c:v>49.3</c:v>
                </c:pt>
                <c:pt idx="59" formatCode="0.0">
                  <c:v>8.700000000000001</c:v>
                </c:pt>
                <c:pt idx="60" formatCode="0.0">
                  <c:v>2.4</c:v>
                </c:pt>
                <c:pt idx="61" formatCode="0.0">
                  <c:v>55.5</c:v>
                </c:pt>
                <c:pt idx="62" formatCode="0.0">
                  <c:v>3.0</c:v>
                </c:pt>
                <c:pt idx="63" formatCode="0.0">
                  <c:v>65.7</c:v>
                </c:pt>
                <c:pt idx="64" formatCode="0.0">
                  <c:v>51.9</c:v>
                </c:pt>
              </c:numCache>
            </c:numRef>
          </c:yVal>
          <c:smooth val="0"/>
        </c:ser>
        <c:dLbls>
          <c:showLegendKey val="0"/>
          <c:showVal val="0"/>
          <c:showCatName val="0"/>
          <c:showSerName val="0"/>
          <c:showPercent val="0"/>
          <c:showBubbleSize val="0"/>
        </c:dLbls>
        <c:axId val="2128510520"/>
        <c:axId val="2125886600"/>
      </c:scatterChart>
      <c:valAx>
        <c:axId val="2128510520"/>
        <c:scaling>
          <c:orientation val="minMax"/>
        </c:scaling>
        <c:delete val="0"/>
        <c:axPos val="b"/>
        <c:title>
          <c:tx>
            <c:rich>
              <a:bodyPr rot="0" vert="horz"/>
              <a:lstStyle/>
              <a:p>
                <a:pPr>
                  <a:defRPr/>
                </a:pPr>
                <a:r>
                  <a:rPr lang="en-US"/>
                  <a:t>Observed Frequency % Deviation from Predicted</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125886600"/>
        <c:crosses val="autoZero"/>
        <c:crossBetween val="midCat"/>
      </c:valAx>
      <c:valAx>
        <c:axId val="2125886600"/>
        <c:scaling>
          <c:orientation val="minMax"/>
          <c:max val="80.0"/>
        </c:scaling>
        <c:delete val="0"/>
        <c:axPos val="l"/>
        <c:title>
          <c:tx>
            <c:rich>
              <a:bodyPr rot="-5400000" vert="horz"/>
              <a:lstStyle/>
              <a:p>
                <a:pPr>
                  <a:defRPr/>
                </a:pPr>
                <a:r>
                  <a:rPr lang="en-US"/>
                  <a:t>Penetration %</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128510520"/>
        <c:crosses val="autoZero"/>
        <c:crossBetween val="midCat"/>
        <c:majorUnit val="10.0"/>
        <c:min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ctr">
        <a:defRPr>
          <a:latin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5C44C4-DDB4-324D-A413-1B451AC54448}">
  <ds:schemaRefs>
    <ds:schemaRef ds:uri="http://schemas.openxmlformats.org/officeDocument/2006/bibliography"/>
  </ds:schemaRefs>
</ds:datastoreItem>
</file>

<file path=customXml/itemProps2.xml><?xml version="1.0" encoding="utf-8"?>
<ds:datastoreItem xmlns:ds="http://schemas.openxmlformats.org/officeDocument/2006/customXml" ds:itemID="{D2FB4495-2954-194A-AB4D-E9DEE50E7470}">
  <ds:schemaRefs>
    <ds:schemaRef ds:uri="http://schemas.openxmlformats.org/officeDocument/2006/bibliography"/>
  </ds:schemaRefs>
</ds:datastoreItem>
</file>

<file path=customXml/itemProps3.xml><?xml version="1.0" encoding="utf-8"?>
<ds:datastoreItem xmlns:ds="http://schemas.openxmlformats.org/officeDocument/2006/customXml" ds:itemID="{0AC98E30-3520-D84F-B0CC-D6A7D8E131F1}">
  <ds:schemaRefs>
    <ds:schemaRef ds:uri="http://schemas.openxmlformats.org/officeDocument/2006/bibliography"/>
  </ds:schemaRefs>
</ds:datastoreItem>
</file>

<file path=customXml/itemProps4.xml><?xml version="1.0" encoding="utf-8"?>
<ds:datastoreItem xmlns:ds="http://schemas.openxmlformats.org/officeDocument/2006/customXml" ds:itemID="{2CFDFC0C-1AE3-7940-A573-9BCBEC88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24</Pages>
  <Words>14677</Words>
  <Characters>76762</Characters>
  <Application>Microsoft Macintosh Word</Application>
  <DocSecurity>0</DocSecurity>
  <Lines>3198</Lines>
  <Paragraphs>2031</Paragraphs>
  <ScaleCrop>false</ScaleCrop>
  <HeadingPairs>
    <vt:vector size="2" baseType="variant">
      <vt:variant>
        <vt:lpstr>Title</vt:lpstr>
      </vt:variant>
      <vt:variant>
        <vt:i4>1</vt:i4>
      </vt:variant>
    </vt:vector>
  </HeadingPairs>
  <TitlesOfParts>
    <vt:vector size="1" baseType="lpstr">
      <vt:lpstr>Making Sense of Common Dirichlet Deviations</vt:lpstr>
    </vt:vector>
  </TitlesOfParts>
  <Manager/>
  <Company/>
  <LinksUpToDate>false</LinksUpToDate>
  <CharactersWithSpaces>89408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Sense of Common Dirichlet Deviations</dc:title>
  <dc:subject/>
  <dc:creator/>
  <cp:keywords/>
  <dc:description/>
  <cp:lastModifiedBy>Charles Graham</cp:lastModifiedBy>
  <cp:revision>23</cp:revision>
  <dcterms:created xsi:type="dcterms:W3CDTF">2017-10-05T17:53:00Z</dcterms:created>
  <dcterms:modified xsi:type="dcterms:W3CDTF">2017-10-07T17:01:00Z</dcterms:modified>
  <cp:category/>
</cp:coreProperties>
</file>