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7A7D4" w14:textId="77777777" w:rsidR="00A96C8A" w:rsidRDefault="00A96C8A" w:rsidP="00A96C8A">
      <w:pPr>
        <w:spacing w:line="240" w:lineRule="auto"/>
      </w:pPr>
    </w:p>
    <w:p w14:paraId="479E60A2" w14:textId="77777777" w:rsidR="00894E6F" w:rsidRDefault="00894E6F" w:rsidP="00894E6F">
      <w:pPr>
        <w:spacing w:line="480" w:lineRule="auto"/>
      </w:pPr>
      <w:r>
        <w:t xml:space="preserve">RUNNING HEAD: </w:t>
      </w:r>
      <w:r w:rsidR="00F8087D">
        <w:t>R</w:t>
      </w:r>
      <w:r>
        <w:t>esponsible drinking messages</w:t>
      </w:r>
    </w:p>
    <w:p w14:paraId="21EE00FE" w14:textId="77777777" w:rsidR="00894E6F" w:rsidRDefault="00894E6F" w:rsidP="00894E6F">
      <w:pPr>
        <w:spacing w:line="480" w:lineRule="auto"/>
        <w:jc w:val="center"/>
      </w:pPr>
    </w:p>
    <w:p w14:paraId="42A8D775" w14:textId="77777777" w:rsidR="00894E6F" w:rsidRDefault="00894E6F" w:rsidP="00894E6F">
      <w:pPr>
        <w:spacing w:line="480" w:lineRule="auto"/>
        <w:jc w:val="center"/>
      </w:pPr>
    </w:p>
    <w:p w14:paraId="625E6C68" w14:textId="77777777" w:rsidR="00DC2F86" w:rsidRDefault="00DC2F86" w:rsidP="00894E6F">
      <w:pPr>
        <w:spacing w:line="480" w:lineRule="auto"/>
        <w:jc w:val="center"/>
      </w:pPr>
    </w:p>
    <w:p w14:paraId="5B71C7DE" w14:textId="77777777" w:rsidR="00DC2F86" w:rsidRDefault="00DC2F86" w:rsidP="00894E6F">
      <w:pPr>
        <w:spacing w:line="480" w:lineRule="auto"/>
        <w:jc w:val="center"/>
      </w:pPr>
    </w:p>
    <w:p w14:paraId="370D73AE" w14:textId="77777777" w:rsidR="00894E6F" w:rsidRDefault="00064F69" w:rsidP="00894E6F">
      <w:pPr>
        <w:spacing w:line="480" w:lineRule="auto"/>
        <w:jc w:val="center"/>
      </w:pPr>
      <w:r>
        <w:t>The effects of responsible</w:t>
      </w:r>
      <w:r w:rsidR="00E30060">
        <w:t xml:space="preserve"> drinking messages on a</w:t>
      </w:r>
      <w:r>
        <w:t>ttentional allocation and drinking behaviour</w:t>
      </w:r>
    </w:p>
    <w:p w14:paraId="1A1BA07F" w14:textId="77777777" w:rsidR="00DC2F86" w:rsidRDefault="00DC2F86" w:rsidP="00894E6F">
      <w:pPr>
        <w:spacing w:line="480" w:lineRule="auto"/>
        <w:jc w:val="center"/>
      </w:pPr>
    </w:p>
    <w:p w14:paraId="30E8EA26" w14:textId="708BA330" w:rsidR="00DC2F86" w:rsidRDefault="00012367" w:rsidP="00894E6F">
      <w:pPr>
        <w:spacing w:line="480" w:lineRule="auto"/>
        <w:jc w:val="center"/>
      </w:pPr>
      <w:r>
        <w:t xml:space="preserve"> </w:t>
      </w:r>
    </w:p>
    <w:p w14:paraId="726B8E9D" w14:textId="77777777" w:rsidR="00894E6F" w:rsidRDefault="00894E6F" w:rsidP="00894E6F">
      <w:pPr>
        <w:spacing w:line="480" w:lineRule="auto"/>
        <w:jc w:val="center"/>
      </w:pPr>
    </w:p>
    <w:p w14:paraId="234B22EF" w14:textId="77777777" w:rsidR="00894E6F" w:rsidRDefault="00894E6F" w:rsidP="00894E6F">
      <w:pPr>
        <w:spacing w:line="480" w:lineRule="auto"/>
        <w:jc w:val="center"/>
      </w:pPr>
      <w:r>
        <w:t>Antony C. Moss</w:t>
      </w:r>
      <w:r>
        <w:rPr>
          <w:vertAlign w:val="superscript"/>
        </w:rPr>
        <w:t>1</w:t>
      </w:r>
      <w:r>
        <w:t>,</w:t>
      </w:r>
      <w:r w:rsidRPr="00F5576E">
        <w:t xml:space="preserve"> </w:t>
      </w:r>
      <w:r>
        <w:t>Ian P. Albery</w:t>
      </w:r>
      <w:r>
        <w:rPr>
          <w:vertAlign w:val="superscript"/>
        </w:rPr>
        <w:t>1</w:t>
      </w:r>
      <w:r>
        <w:t xml:space="preserve">, </w:t>
      </w:r>
      <w:r w:rsidR="00F8087D">
        <w:t>Kyle R. Dyer</w:t>
      </w:r>
      <w:r w:rsidR="00F8087D">
        <w:rPr>
          <w:vertAlign w:val="superscript"/>
        </w:rPr>
        <w:t>2</w:t>
      </w:r>
      <w:r w:rsidR="00F8087D">
        <w:t xml:space="preserve">, </w:t>
      </w:r>
      <w:r>
        <w:t>Daniel Frings</w:t>
      </w:r>
      <w:r>
        <w:rPr>
          <w:vertAlign w:val="superscript"/>
        </w:rPr>
        <w:t>1</w:t>
      </w:r>
      <w:r>
        <w:t>,</w:t>
      </w:r>
      <w:r w:rsidRPr="00D65D1B">
        <w:t xml:space="preserve"> </w:t>
      </w:r>
      <w:r w:rsidR="00530C1D">
        <w:t>Karis Humphreys</w:t>
      </w:r>
      <w:r w:rsidR="00530C1D">
        <w:rPr>
          <w:vertAlign w:val="superscript"/>
        </w:rPr>
        <w:t>1</w:t>
      </w:r>
      <w:r w:rsidR="00530C1D">
        <w:t xml:space="preserve">, </w:t>
      </w:r>
      <w:r>
        <w:t>Thomas Inkelaar</w:t>
      </w:r>
      <w:r>
        <w:rPr>
          <w:vertAlign w:val="superscript"/>
        </w:rPr>
        <w:t>1</w:t>
      </w:r>
      <w:r>
        <w:t>, Emily Harding</w:t>
      </w:r>
      <w:r>
        <w:rPr>
          <w:vertAlign w:val="superscript"/>
        </w:rPr>
        <w:t>1</w:t>
      </w:r>
      <w:r>
        <w:t>, Abbie Speller</w:t>
      </w:r>
      <w:r>
        <w:rPr>
          <w:vertAlign w:val="superscript"/>
        </w:rPr>
        <w:t>1</w:t>
      </w:r>
    </w:p>
    <w:p w14:paraId="1487F515" w14:textId="77777777" w:rsidR="00894E6F" w:rsidRDefault="00894E6F" w:rsidP="00894E6F">
      <w:pPr>
        <w:spacing w:line="480" w:lineRule="auto"/>
        <w:jc w:val="center"/>
      </w:pPr>
    </w:p>
    <w:p w14:paraId="3ED1DA54" w14:textId="77777777" w:rsidR="00894E6F" w:rsidRDefault="00894E6F" w:rsidP="00894E6F">
      <w:pPr>
        <w:spacing w:line="480" w:lineRule="auto"/>
        <w:jc w:val="center"/>
      </w:pPr>
      <w:r>
        <w:rPr>
          <w:vertAlign w:val="superscript"/>
        </w:rPr>
        <w:t>1</w:t>
      </w:r>
      <w:r>
        <w:t xml:space="preserve">Department of Psychology, </w:t>
      </w:r>
      <w:r w:rsidR="00F8087D">
        <w:t xml:space="preserve">School of Applied Science, </w:t>
      </w:r>
      <w:r>
        <w:t>London South Bank University, 103 Borough Road, London, SE1 0AA,</w:t>
      </w:r>
      <w:r w:rsidRPr="00F5576E">
        <w:t xml:space="preserve"> </w:t>
      </w:r>
      <w:r>
        <w:t>United Kingdom;</w:t>
      </w:r>
    </w:p>
    <w:p w14:paraId="13B1AF18" w14:textId="77777777" w:rsidR="00894E6F" w:rsidRDefault="00894E6F" w:rsidP="00894E6F">
      <w:pPr>
        <w:spacing w:line="480" w:lineRule="auto"/>
        <w:jc w:val="center"/>
      </w:pPr>
      <w:proofErr w:type="gramStart"/>
      <w:r>
        <w:rPr>
          <w:vertAlign w:val="superscript"/>
        </w:rPr>
        <w:t>2</w:t>
      </w:r>
      <w:r>
        <w:t>Institute of Psychiatry, King's College London, Addictions Sciences Building, 4 Windsor Walk, Denmark Hill, London, SE5 8AF, United Kingdom.</w:t>
      </w:r>
      <w:proofErr w:type="gramEnd"/>
    </w:p>
    <w:p w14:paraId="2296F8BF" w14:textId="77777777" w:rsidR="00894E6F" w:rsidRDefault="00894E6F" w:rsidP="00894E6F">
      <w:pPr>
        <w:spacing w:line="480" w:lineRule="auto"/>
      </w:pPr>
    </w:p>
    <w:p w14:paraId="14D186BD" w14:textId="77777777" w:rsidR="00894E6F" w:rsidRDefault="00894E6F" w:rsidP="00894E6F">
      <w:pPr>
        <w:spacing w:line="480" w:lineRule="auto"/>
      </w:pPr>
    </w:p>
    <w:p w14:paraId="452AC1D9" w14:textId="55BE7DA2" w:rsidR="00894E6F" w:rsidRDefault="00894E6F" w:rsidP="00894E6F">
      <w:pPr>
        <w:spacing w:line="480" w:lineRule="auto"/>
      </w:pPr>
      <w:r>
        <w:t xml:space="preserve">[Total Word Count= </w:t>
      </w:r>
      <w:r w:rsidR="00663E60">
        <w:t>6</w:t>
      </w:r>
      <w:r w:rsidR="00641C7C">
        <w:t>329</w:t>
      </w:r>
      <w:r>
        <w:t>, exc. Abstract]</w:t>
      </w:r>
    </w:p>
    <w:p w14:paraId="145B7CB9" w14:textId="77777777" w:rsidR="00894E6F" w:rsidRDefault="00894E6F" w:rsidP="00894E6F">
      <w:pPr>
        <w:spacing w:line="480" w:lineRule="auto"/>
      </w:pPr>
    </w:p>
    <w:p w14:paraId="14CC8559" w14:textId="77777777" w:rsidR="00894E6F" w:rsidRDefault="00894E6F" w:rsidP="00894E6F">
      <w:pPr>
        <w:spacing w:line="480" w:lineRule="auto"/>
      </w:pPr>
    </w:p>
    <w:p w14:paraId="05246D65" w14:textId="77777777" w:rsidR="00BC4070" w:rsidRDefault="00894E6F" w:rsidP="007B14E7">
      <w:pPr>
        <w:spacing w:line="480" w:lineRule="auto"/>
      </w:pPr>
      <w:r>
        <w:t xml:space="preserve">Correspondence concerning this manuscript should be addressed to: Antony C. Moss, Tel. 0207 815 5777, Email: </w:t>
      </w:r>
      <w:hyperlink r:id="rId9" w:history="1">
        <w:r w:rsidRPr="00B90A76">
          <w:rPr>
            <w:rStyle w:val="Hyperlink"/>
            <w:rFonts w:cs="Arial"/>
          </w:rPr>
          <w:t>mossac@lsbu.ac.uk</w:t>
        </w:r>
      </w:hyperlink>
      <w:r>
        <w:t>.</w:t>
      </w:r>
    </w:p>
    <w:p w14:paraId="618568CC" w14:textId="77777777" w:rsidR="00BC4070" w:rsidRDefault="00BC4070" w:rsidP="00A96C8A">
      <w:pPr>
        <w:spacing w:line="480" w:lineRule="auto"/>
      </w:pPr>
    </w:p>
    <w:p w14:paraId="56124149" w14:textId="77777777" w:rsidR="001A508A" w:rsidRDefault="001A508A" w:rsidP="009168EE">
      <w:pPr>
        <w:spacing w:line="480" w:lineRule="auto"/>
        <w:sectPr w:rsidR="001A508A" w:rsidSect="00087471">
          <w:headerReference w:type="default" r:id="rId10"/>
          <w:footerReference w:type="default" r:id="rId11"/>
          <w:pgSz w:w="11907" w:h="16839" w:code="9"/>
          <w:pgMar w:top="1440" w:right="1440" w:bottom="1440" w:left="1440" w:header="709" w:footer="709" w:gutter="0"/>
          <w:cols w:space="708"/>
          <w:docGrid w:linePitch="360"/>
        </w:sectPr>
      </w:pPr>
    </w:p>
    <w:p w14:paraId="155F6BEF" w14:textId="77777777" w:rsidR="001A508A" w:rsidRPr="00AD16C8" w:rsidRDefault="002B7757" w:rsidP="00DC4A54">
      <w:pPr>
        <w:spacing w:line="480" w:lineRule="auto"/>
        <w:jc w:val="center"/>
        <w:rPr>
          <w:b/>
        </w:rPr>
      </w:pPr>
      <w:r w:rsidRPr="00AD16C8">
        <w:rPr>
          <w:b/>
        </w:rPr>
        <w:lastRenderedPageBreak/>
        <w:t>Abstract</w:t>
      </w:r>
    </w:p>
    <w:p w14:paraId="08BC5E35" w14:textId="77777777" w:rsidR="0015525E" w:rsidRPr="00AD16C8" w:rsidRDefault="00DC2F86">
      <w:pPr>
        <w:spacing w:line="480" w:lineRule="auto"/>
      </w:pPr>
      <w:r>
        <w:t>Aims</w:t>
      </w:r>
      <w:r w:rsidR="005C567B">
        <w:t>: Four</w:t>
      </w:r>
      <w:r w:rsidR="007F59B6" w:rsidRPr="00AD16C8">
        <w:t xml:space="preserve"> experiments were conducted to assess the acute impact of context and exposure to </w:t>
      </w:r>
      <w:r w:rsidR="000D2B29" w:rsidRPr="00AD16C8">
        <w:t xml:space="preserve">responsible drinking messages (RDM) </w:t>
      </w:r>
      <w:r w:rsidR="007F59B6" w:rsidRPr="00AD16C8">
        <w:t xml:space="preserve">on </w:t>
      </w:r>
      <w:r w:rsidR="00F741D3">
        <w:t xml:space="preserve">attentional allocation and </w:t>
      </w:r>
      <w:r w:rsidR="007F59B6" w:rsidRPr="00AD16C8">
        <w:t>drinking behaviour</w:t>
      </w:r>
      <w:r w:rsidR="000D2B29" w:rsidRPr="00AD16C8">
        <w:t xml:space="preserve"> of younger drinkers</w:t>
      </w:r>
      <w:r w:rsidR="00962150" w:rsidRPr="00AD16C8">
        <w:t xml:space="preserve"> and to explore the utility of lab-based methods for the evaluation of such materials.</w:t>
      </w:r>
    </w:p>
    <w:p w14:paraId="3D76DB70" w14:textId="75A959B8" w:rsidR="007F59B6" w:rsidRPr="00AD16C8" w:rsidRDefault="005C567B">
      <w:pPr>
        <w:spacing w:line="480" w:lineRule="auto"/>
      </w:pPr>
      <w:r>
        <w:t>Methods: A</w:t>
      </w:r>
      <w:r w:rsidR="007E5FC6" w:rsidRPr="00AD16C8">
        <w:t xml:space="preserve"> simulated bar environment</w:t>
      </w:r>
      <w:r>
        <w:t xml:space="preserve"> was used</w:t>
      </w:r>
      <w:r w:rsidR="007E5FC6" w:rsidRPr="00AD16C8">
        <w:t xml:space="preserve"> </w:t>
      </w:r>
      <w:r w:rsidR="00B1559D">
        <w:t>to examine</w:t>
      </w:r>
      <w:r w:rsidR="007E5FC6" w:rsidRPr="00AD16C8">
        <w:t xml:space="preserve"> the impact of context, RDM posters, and brief online responsible drinking advic</w:t>
      </w:r>
      <w:r w:rsidR="00FB0D28">
        <w:t xml:space="preserve">e on actual drinking behaviour. </w:t>
      </w:r>
      <w:r w:rsidR="007F59B6" w:rsidRPr="00AD16C8">
        <w:t>Experiments one</w:t>
      </w:r>
      <w:r w:rsidR="00FC0434" w:rsidRPr="00AD16C8">
        <w:t xml:space="preserve"> (n</w:t>
      </w:r>
      <w:r w:rsidR="0096213E">
        <w:t xml:space="preserve"> </w:t>
      </w:r>
      <w:r w:rsidR="00FC0434" w:rsidRPr="00AD16C8">
        <w:t>=</w:t>
      </w:r>
      <w:r w:rsidR="0096213E">
        <w:t xml:space="preserve"> </w:t>
      </w:r>
      <w:r w:rsidR="00FC0434" w:rsidRPr="00AD16C8">
        <w:t>50)</w:t>
      </w:r>
      <w:r>
        <w:t xml:space="preserve"> </w:t>
      </w:r>
      <w:r w:rsidR="00831EFC">
        <w:t>and</w:t>
      </w:r>
      <w:r w:rsidR="005000B1">
        <w:t xml:space="preserve"> </w:t>
      </w:r>
      <w:r w:rsidR="007F59B6" w:rsidRPr="00AD16C8">
        <w:t>two</w:t>
      </w:r>
      <w:r w:rsidR="00FC0434" w:rsidRPr="00AD16C8">
        <w:t xml:space="preserve"> (n</w:t>
      </w:r>
      <w:r w:rsidR="0096213E">
        <w:t xml:space="preserve"> </w:t>
      </w:r>
      <w:r w:rsidR="00FC0434" w:rsidRPr="00AD16C8">
        <w:t>=</w:t>
      </w:r>
      <w:r w:rsidR="0096213E">
        <w:t xml:space="preserve"> </w:t>
      </w:r>
      <w:r w:rsidR="00FC0434" w:rsidRPr="00AD16C8">
        <w:t>35)</w:t>
      </w:r>
      <w:r w:rsidR="007F59B6" w:rsidRPr="00AD16C8">
        <w:t xml:space="preserve"> comprised female non-problem drinkers, while Experiment</w:t>
      </w:r>
      <w:r w:rsidR="00841E51">
        <w:t>s</w:t>
      </w:r>
      <w:r w:rsidR="007F59B6" w:rsidRPr="00AD16C8">
        <w:t xml:space="preserve"> three</w:t>
      </w:r>
      <w:r w:rsidR="00FC0434" w:rsidRPr="00AD16C8">
        <w:t xml:space="preserve"> (n=80)</w:t>
      </w:r>
      <w:r w:rsidR="007F59B6" w:rsidRPr="00AD16C8">
        <w:t xml:space="preserve"> </w:t>
      </w:r>
      <w:r w:rsidR="00831EFC" w:rsidRPr="00831EFC">
        <w:t xml:space="preserve">and 4 (n = 60) </w:t>
      </w:r>
      <w:r w:rsidR="007F59B6" w:rsidRPr="00AD16C8">
        <w:t>included a mixed</w:t>
      </w:r>
      <w:r w:rsidR="005B517D" w:rsidRPr="00AD16C8">
        <w:t>-</w:t>
      </w:r>
      <w:r w:rsidR="007F59B6" w:rsidRPr="00AD16C8">
        <w:t>gender sample of non-problem drinkers</w:t>
      </w:r>
      <w:r w:rsidR="000D2B29" w:rsidRPr="00AD16C8">
        <w:t xml:space="preserve">, recruited </w:t>
      </w:r>
      <w:proofErr w:type="spellStart"/>
      <w:r w:rsidR="000D2B29" w:rsidRPr="00AD16C8">
        <w:t>fro</w:t>
      </w:r>
      <w:r w:rsidR="0068784A">
        <w:t xml:space="preserve"> </w:t>
      </w:r>
      <w:bookmarkStart w:id="0" w:name="_GoBack"/>
      <w:bookmarkEnd w:id="0"/>
      <w:r w:rsidR="000D2B29" w:rsidRPr="00AD16C8">
        <w:t>m</w:t>
      </w:r>
      <w:proofErr w:type="spellEnd"/>
      <w:r w:rsidR="000D2B29" w:rsidRPr="00AD16C8">
        <w:t xml:space="preserve"> an undergraduate student cohort.</w:t>
      </w:r>
      <w:r w:rsidR="00903751" w:rsidRPr="00AD16C8">
        <w:t xml:space="preserve"> </w:t>
      </w:r>
      <w:r w:rsidR="000D2B29" w:rsidRPr="00AD16C8">
        <w:t xml:space="preserve">The Alcohol Use Disorders Identification Test (AUDIT) was used to assess drinking patterns. </w:t>
      </w:r>
      <w:r w:rsidR="007F59B6" w:rsidRPr="00AD16C8">
        <w:t>Alcohol intake was assessed through the use of a taste preference task.</w:t>
      </w:r>
    </w:p>
    <w:p w14:paraId="13CD3CC5" w14:textId="54C3B585" w:rsidR="0015525E" w:rsidRPr="00AD16C8" w:rsidRDefault="005C567B">
      <w:pPr>
        <w:spacing w:line="480" w:lineRule="auto"/>
      </w:pPr>
      <w:r>
        <w:t xml:space="preserve">Results: </w:t>
      </w:r>
      <w:r w:rsidR="005E6675" w:rsidRPr="00AD16C8">
        <w:t>Drinking in a simulated bar was</w:t>
      </w:r>
      <w:r w:rsidR="00D841CF" w:rsidRPr="00AD16C8">
        <w:t xml:space="preserve"> significantly</w:t>
      </w:r>
      <w:r w:rsidR="005E6675" w:rsidRPr="00AD16C8">
        <w:t xml:space="preserve"> greater than in a </w:t>
      </w:r>
      <w:r>
        <w:t>laboratory</w:t>
      </w:r>
      <w:r w:rsidR="005E6675" w:rsidRPr="00AD16C8">
        <w:t xml:space="preserve"> setting</w:t>
      </w:r>
      <w:r w:rsidR="00962150" w:rsidRPr="00AD16C8">
        <w:t xml:space="preserve"> in the first two studies, but not the third</w:t>
      </w:r>
      <w:r w:rsidR="005E6675" w:rsidRPr="00AD16C8">
        <w:t xml:space="preserve">. </w:t>
      </w:r>
      <w:r w:rsidR="000D2B29" w:rsidRPr="00AD16C8">
        <w:t>There was a</w:t>
      </w:r>
      <w:r w:rsidR="00D841CF" w:rsidRPr="00AD16C8">
        <w:t xml:space="preserve"> significant </w:t>
      </w:r>
      <w:r w:rsidR="005E6675" w:rsidRPr="00AD16C8">
        <w:t>increase in alcohol consumption as a result of being exposed to</w:t>
      </w:r>
      <w:r w:rsidR="007B14E7" w:rsidRPr="00AD16C8">
        <w:t xml:space="preserve"> RDM</w:t>
      </w:r>
      <w:r w:rsidR="005E6675" w:rsidRPr="00AD16C8">
        <w:t xml:space="preserve"> posters. Provision of brief</w:t>
      </w:r>
      <w:r w:rsidR="00FC0434" w:rsidRPr="00AD16C8">
        <w:t xml:space="preserve"> online</w:t>
      </w:r>
      <w:r w:rsidR="005E6675" w:rsidRPr="00AD16C8">
        <w:t xml:space="preserve"> </w:t>
      </w:r>
      <w:r w:rsidR="007B14E7" w:rsidRPr="00AD16C8">
        <w:t>RDM</w:t>
      </w:r>
      <w:r w:rsidR="005E6675" w:rsidRPr="00AD16C8">
        <w:t xml:space="preserve"> reduced the </w:t>
      </w:r>
      <w:r w:rsidR="00D841CF" w:rsidRPr="00AD16C8">
        <w:t xml:space="preserve">negative </w:t>
      </w:r>
      <w:r w:rsidR="005E6675" w:rsidRPr="00AD16C8">
        <w:t xml:space="preserve">impact of these posters </w:t>
      </w:r>
      <w:r w:rsidR="00D841CF" w:rsidRPr="00AD16C8">
        <w:t>somewhat;</w:t>
      </w:r>
      <w:r w:rsidR="005E6675" w:rsidRPr="00AD16C8">
        <w:t xml:space="preserve"> </w:t>
      </w:r>
      <w:r w:rsidR="00D841CF" w:rsidRPr="00AD16C8">
        <w:t>however</w:t>
      </w:r>
      <w:r w:rsidR="005E6675" w:rsidRPr="00AD16C8">
        <w:t xml:space="preserve"> the lowest drinking rates were associated with being exposed to neither posters nor brief advice.</w:t>
      </w:r>
      <w:r w:rsidR="00AD16C8">
        <w:t xml:space="preserve"> Data from the final experiment demonstrated a low level of visual engagement with RDMs, and that exposure to posters was asso</w:t>
      </w:r>
      <w:r w:rsidR="00FB0D28">
        <w:t>ciated with increased drinking.</w:t>
      </w:r>
    </w:p>
    <w:p w14:paraId="43A10651" w14:textId="78C69322" w:rsidR="002817B0" w:rsidRPr="00AD16C8" w:rsidRDefault="005C567B">
      <w:pPr>
        <w:spacing w:line="480" w:lineRule="auto"/>
      </w:pPr>
      <w:r>
        <w:t xml:space="preserve">Conclusions: </w:t>
      </w:r>
      <w:r w:rsidR="00F27837" w:rsidRPr="00AD16C8">
        <w:t>Poster materials promoting responsible drinking</w:t>
      </w:r>
      <w:r w:rsidR="009E19D4" w:rsidRPr="00AD16C8">
        <w:t xml:space="preserve"> </w:t>
      </w:r>
      <w:r>
        <w:t>were</w:t>
      </w:r>
      <w:r w:rsidR="009E19D4" w:rsidRPr="00AD16C8">
        <w:t xml:space="preserve"> associated with</w:t>
      </w:r>
      <w:r w:rsidR="00F27837" w:rsidRPr="00AD16C8">
        <w:t xml:space="preserve"> </w:t>
      </w:r>
      <w:r w:rsidR="009E19D4" w:rsidRPr="00AD16C8">
        <w:t xml:space="preserve">increased </w:t>
      </w:r>
      <w:r w:rsidR="00F27837" w:rsidRPr="00AD16C8">
        <w:t>consumption amongst undergraduate students</w:t>
      </w:r>
      <w:r w:rsidR="007936B9">
        <w:t>, suggesting that poster campaigns to reduce alcohol harms may be having the opposite effect to that intended</w:t>
      </w:r>
      <w:r w:rsidR="00F27837" w:rsidRPr="00AD16C8">
        <w:t xml:space="preserve">. </w:t>
      </w:r>
      <w:r w:rsidR="00962150" w:rsidRPr="00AD16C8">
        <w:t>Findings suggest that further research is required to refine appropriate methodologies for assessing drinking behaviour in simulated drinking environments</w:t>
      </w:r>
      <w:r w:rsidR="007936B9">
        <w:t>, to ensure that future public health campaigns of this kind are having their intended effect.</w:t>
      </w:r>
    </w:p>
    <w:p w14:paraId="137C2679" w14:textId="77777777" w:rsidR="003F6F54" w:rsidRDefault="003F6F54">
      <w:pPr>
        <w:spacing w:line="480" w:lineRule="auto"/>
      </w:pPr>
      <w:r>
        <w:lastRenderedPageBreak/>
        <w:t xml:space="preserve">Keywords: </w:t>
      </w:r>
      <w:r w:rsidR="00217B41" w:rsidRPr="00217B41">
        <w:t>responsible drinking messages;</w:t>
      </w:r>
      <w:r w:rsidR="00217B41">
        <w:t xml:space="preserve"> </w:t>
      </w:r>
      <w:r w:rsidR="00217B41" w:rsidRPr="00217B41">
        <w:t>attention;</w:t>
      </w:r>
      <w:r w:rsidR="00217B41">
        <w:t xml:space="preserve"> </w:t>
      </w:r>
      <w:r w:rsidR="00217B41" w:rsidRPr="00217B41">
        <w:t>alcohol;</w:t>
      </w:r>
      <w:r w:rsidR="00217B41">
        <w:t xml:space="preserve"> </w:t>
      </w:r>
      <w:proofErr w:type="spellStart"/>
      <w:r w:rsidR="00217B41" w:rsidRPr="00217B41">
        <w:t>eyetracking</w:t>
      </w:r>
      <w:proofErr w:type="spellEnd"/>
      <w:r w:rsidR="00217B41" w:rsidRPr="00217B41">
        <w:t>;</w:t>
      </w:r>
      <w:r w:rsidR="00217B41">
        <w:t xml:space="preserve"> </w:t>
      </w:r>
      <w:r w:rsidR="00217B41" w:rsidRPr="00217B41">
        <w:t>simulated bar;</w:t>
      </w:r>
      <w:r w:rsidR="00217B41">
        <w:t xml:space="preserve"> </w:t>
      </w:r>
      <w:r w:rsidR="00217B41" w:rsidRPr="00217B41">
        <w:t>student drinkers</w:t>
      </w:r>
    </w:p>
    <w:p w14:paraId="1CDCA9A7" w14:textId="77777777" w:rsidR="007F59B6" w:rsidRDefault="007F59B6" w:rsidP="00AE1824">
      <w:pPr>
        <w:spacing w:line="480" w:lineRule="auto"/>
        <w:jc w:val="center"/>
        <w:sectPr w:rsidR="007F59B6" w:rsidSect="00087471">
          <w:pgSz w:w="11907" w:h="16839" w:code="9"/>
          <w:pgMar w:top="1440" w:right="1440" w:bottom="1440" w:left="1440" w:header="709" w:footer="709" w:gutter="0"/>
          <w:cols w:space="708"/>
          <w:docGrid w:linePitch="360"/>
        </w:sectPr>
      </w:pPr>
    </w:p>
    <w:p w14:paraId="58654043" w14:textId="77777777" w:rsidR="00E41F99" w:rsidRDefault="00E41F99" w:rsidP="00E41F99">
      <w:pPr>
        <w:spacing w:line="480" w:lineRule="auto"/>
        <w:jc w:val="center"/>
      </w:pPr>
      <w:r>
        <w:lastRenderedPageBreak/>
        <w:t>The effects of responsible drinking messages on attentional allocation and drinking behaviour</w:t>
      </w:r>
    </w:p>
    <w:p w14:paraId="3F5F26F4" w14:textId="6579BB54" w:rsidR="00875066" w:rsidRDefault="00EE38D2" w:rsidP="00D65D1B">
      <w:pPr>
        <w:spacing w:line="480" w:lineRule="auto"/>
      </w:pPr>
      <w:r>
        <w:tab/>
      </w:r>
      <w:r w:rsidR="00F950E0">
        <w:t xml:space="preserve">Public health </w:t>
      </w:r>
      <w:r w:rsidR="001A508A">
        <w:t xml:space="preserve">campaigns which aim to educate individuals regarding the potential harms of alcohol and how to drink in a responsible manner </w:t>
      </w:r>
      <w:r w:rsidR="00F950E0">
        <w:t>are one of</w:t>
      </w:r>
      <w:r w:rsidR="001A508A">
        <w:t xml:space="preserve"> the first line</w:t>
      </w:r>
      <w:r w:rsidR="00F950E0">
        <w:t>s</w:t>
      </w:r>
      <w:r w:rsidR="001A508A">
        <w:t xml:space="preserve"> of defence against alcohol-related harms</w:t>
      </w:r>
      <w:r w:rsidR="007E5FC6">
        <w:t xml:space="preserve"> (</w:t>
      </w:r>
      <w:proofErr w:type="spellStart"/>
      <w:r w:rsidR="007E5FC6">
        <w:t>Marlatt</w:t>
      </w:r>
      <w:proofErr w:type="spellEnd"/>
      <w:r w:rsidR="007E5FC6">
        <w:t xml:space="preserve"> &amp; </w:t>
      </w:r>
      <w:proofErr w:type="spellStart"/>
      <w:r w:rsidR="007E5FC6">
        <w:t>Witkiewitz</w:t>
      </w:r>
      <w:proofErr w:type="spellEnd"/>
      <w:r w:rsidR="007E5FC6">
        <w:t>, 2010)</w:t>
      </w:r>
      <w:r w:rsidR="001A508A">
        <w:t xml:space="preserve">. </w:t>
      </w:r>
      <w:r w:rsidR="00851860">
        <w:t>Fear based campaigns designed to manipulate the threat experienced when an individual considers taking action have been questioned (</w:t>
      </w:r>
      <w:proofErr w:type="spellStart"/>
      <w:r w:rsidR="00851860">
        <w:t>Ruiter</w:t>
      </w:r>
      <w:proofErr w:type="spellEnd"/>
      <w:r w:rsidR="00851860">
        <w:t xml:space="preserve">, Abraham &amp; </w:t>
      </w:r>
      <w:proofErr w:type="spellStart"/>
      <w:r w:rsidR="00851860">
        <w:t>Kok</w:t>
      </w:r>
      <w:proofErr w:type="spellEnd"/>
      <w:r w:rsidR="00851860">
        <w:t xml:space="preserve">, 2001). </w:t>
      </w:r>
      <w:r w:rsidR="00851860" w:rsidRPr="00030CCC">
        <w:t>Work has</w:t>
      </w:r>
      <w:r w:rsidR="00851860">
        <w:t xml:space="preserve"> shown that </w:t>
      </w:r>
      <w:r w:rsidR="00030CCC">
        <w:t xml:space="preserve">the presentation of fear evoking information whilst creating increased accessibility of harm-related thoughts (e.g. Jessop, Albery, Rutter &amp; </w:t>
      </w:r>
      <w:proofErr w:type="spellStart"/>
      <w:r w:rsidR="00030CCC">
        <w:t>Garrod</w:t>
      </w:r>
      <w:proofErr w:type="spellEnd"/>
      <w:r w:rsidR="00030CCC">
        <w:t xml:space="preserve">, 2008) will also result in increased intentions to drink (Jessop &amp; Wade, 2008) and smoke </w:t>
      </w:r>
      <w:r w:rsidR="00070A55">
        <w:t>(Hansen</w:t>
      </w:r>
      <w:r w:rsidR="00070A55" w:rsidRPr="00070A55">
        <w:rPr>
          <w:rFonts w:ascii="Times-Roman" w:hAnsi="Times-Roman" w:cs="Times-Roman"/>
          <w:sz w:val="16"/>
          <w:szCs w:val="16"/>
          <w:lang w:eastAsia="en-GB"/>
        </w:rPr>
        <w:t xml:space="preserve"> </w:t>
      </w:r>
      <w:r w:rsidR="00070A55">
        <w:rPr>
          <w:rFonts w:ascii="Times-Roman" w:hAnsi="Times-Roman" w:cs="Times-Roman"/>
          <w:sz w:val="16"/>
          <w:szCs w:val="16"/>
          <w:lang w:eastAsia="en-GB"/>
        </w:rPr>
        <w:t xml:space="preserve">, </w:t>
      </w:r>
      <w:proofErr w:type="spellStart"/>
      <w:r w:rsidR="00070A55">
        <w:t>Winzeler</w:t>
      </w:r>
      <w:proofErr w:type="spellEnd"/>
      <w:r w:rsidR="00070A55">
        <w:t xml:space="preserve"> &amp; </w:t>
      </w:r>
      <w:proofErr w:type="spellStart"/>
      <w:r w:rsidR="00070A55">
        <w:t>Topolinski</w:t>
      </w:r>
      <w:proofErr w:type="spellEnd"/>
      <w:r w:rsidR="00070A55">
        <w:t xml:space="preserve">, </w:t>
      </w:r>
      <w:r w:rsidR="00070A55" w:rsidRPr="00070A55">
        <w:t>2010)</w:t>
      </w:r>
      <w:r w:rsidR="00070A55">
        <w:t xml:space="preserve"> as well as</w:t>
      </w:r>
      <w:r w:rsidR="00EB771D">
        <w:t xml:space="preserve"> increasing</w:t>
      </w:r>
      <w:r w:rsidR="00070A55">
        <w:t xml:space="preserve"> pre-existing smoking cravings (Arndt et al, 2013)</w:t>
      </w:r>
      <w:r w:rsidR="00070A55" w:rsidRPr="00070A55">
        <w:t>.</w:t>
      </w:r>
      <w:r w:rsidR="00070A55">
        <w:t xml:space="preserve"> </w:t>
      </w:r>
      <w:r w:rsidR="00030CCC">
        <w:t xml:space="preserve"> </w:t>
      </w:r>
      <w:r w:rsidR="00070A55">
        <w:t xml:space="preserve">Whilst this effect has been shown in the context of fear-related information, little evidence has accrued for the operation of this type of effect in messages framed to engender responsible behaviour. </w:t>
      </w:r>
      <w:r w:rsidR="002E3236">
        <w:t xml:space="preserve"> </w:t>
      </w:r>
      <w:r w:rsidR="001A508A">
        <w:t>Responsible drinking messages (RDM) are commonly conveyed as a subcomponent of industry marketing materials (e.g. ‘</w:t>
      </w:r>
      <w:r w:rsidR="00026923">
        <w:t>D</w:t>
      </w:r>
      <w:r w:rsidR="001A508A">
        <w:t xml:space="preserve">rink </w:t>
      </w:r>
      <w:r w:rsidR="00026923">
        <w:t>R</w:t>
      </w:r>
      <w:r w:rsidR="001A508A">
        <w:t xml:space="preserve">esponsibly’ messages printed on posters) as well as more directly through </w:t>
      </w:r>
      <w:r w:rsidR="00AE1824">
        <w:t xml:space="preserve">public </w:t>
      </w:r>
      <w:r w:rsidR="001A508A">
        <w:t xml:space="preserve">health </w:t>
      </w:r>
      <w:r w:rsidR="008F2F3C">
        <w:t xml:space="preserve">media </w:t>
      </w:r>
      <w:r w:rsidR="001A508A">
        <w:t>campaigns.</w:t>
      </w:r>
      <w:r w:rsidR="00AE1824">
        <w:t xml:space="preserve"> </w:t>
      </w:r>
      <w:r w:rsidR="00026923">
        <w:t>E</w:t>
      </w:r>
      <w:r w:rsidR="001A508A">
        <w:t xml:space="preserve">valuations of </w:t>
      </w:r>
      <w:r w:rsidR="00AE1824">
        <w:t xml:space="preserve">RDM campaigns </w:t>
      </w:r>
      <w:r w:rsidR="001A508A">
        <w:t xml:space="preserve">suggest that </w:t>
      </w:r>
      <w:r w:rsidR="00AE1824">
        <w:t>they</w:t>
      </w:r>
      <w:r w:rsidR="001A508A">
        <w:t xml:space="preserve"> are effective in improving knowledge of the principles of responsible drinking behaviour</w:t>
      </w:r>
      <w:r w:rsidR="007E5FC6">
        <w:t xml:space="preserve"> (</w:t>
      </w:r>
      <w:proofErr w:type="spellStart"/>
      <w:r w:rsidR="007E5FC6">
        <w:t>Kalsher</w:t>
      </w:r>
      <w:proofErr w:type="spellEnd"/>
      <w:r w:rsidR="007E5FC6">
        <w:t xml:space="preserve">, </w:t>
      </w:r>
      <w:r w:rsidR="007E5FC6" w:rsidRPr="007E5FC6">
        <w:rPr>
          <w:i/>
        </w:rPr>
        <w:t>et al</w:t>
      </w:r>
      <w:r w:rsidR="007E5FC6">
        <w:t>., 1993)</w:t>
      </w:r>
      <w:r w:rsidR="001A508A">
        <w:t>, that they may be effective in improving drinkers’ knowledge about the effects of alcohol</w:t>
      </w:r>
      <w:r w:rsidR="007E5FC6">
        <w:t xml:space="preserve"> (</w:t>
      </w:r>
      <w:proofErr w:type="spellStart"/>
      <w:r w:rsidR="007E5FC6">
        <w:t>Fenaughty</w:t>
      </w:r>
      <w:proofErr w:type="spellEnd"/>
      <w:r w:rsidR="007E5FC6">
        <w:t xml:space="preserve"> &amp; MacKinnon, 2011)</w:t>
      </w:r>
      <w:r w:rsidR="001A508A">
        <w:t xml:space="preserve">, </w:t>
      </w:r>
      <w:r w:rsidR="00AE1824">
        <w:t>and may</w:t>
      </w:r>
      <w:r w:rsidR="001A508A">
        <w:t xml:space="preserve"> </w:t>
      </w:r>
      <w:r w:rsidR="00AE1824">
        <w:t xml:space="preserve">lead to greater </w:t>
      </w:r>
      <w:r w:rsidR="001A508A">
        <w:t>intentions to drink responsibly</w:t>
      </w:r>
      <w:r w:rsidR="007E5FC6">
        <w:t xml:space="preserve"> (York </w:t>
      </w:r>
      <w:r w:rsidR="007E5FC6" w:rsidRPr="007E5FC6">
        <w:rPr>
          <w:i/>
        </w:rPr>
        <w:t>et al</w:t>
      </w:r>
      <w:r w:rsidR="007E5FC6">
        <w:t>., 2011)</w:t>
      </w:r>
      <w:r w:rsidR="001A508A">
        <w:t xml:space="preserve">. However, no research to date has explored whether such changes in knowledge, belief or intention </w:t>
      </w:r>
      <w:r w:rsidR="00AE1824">
        <w:t>actually achieve their</w:t>
      </w:r>
      <w:r w:rsidR="008D04F4">
        <w:t xml:space="preserve"> </w:t>
      </w:r>
      <w:r w:rsidR="00AE1824">
        <w:t>aim of making</w:t>
      </w:r>
      <w:r w:rsidR="001A508A">
        <w:t xml:space="preserve"> prospective drinking behaviour</w:t>
      </w:r>
      <w:r w:rsidR="00AE1824">
        <w:t xml:space="preserve"> </w:t>
      </w:r>
      <w:r w:rsidR="00F950E0">
        <w:t>‘</w:t>
      </w:r>
      <w:r w:rsidR="00AE1824">
        <w:t>more responsible</w:t>
      </w:r>
      <w:r w:rsidR="00F950E0">
        <w:t>’</w:t>
      </w:r>
      <w:r w:rsidR="001A508A">
        <w:t>.</w:t>
      </w:r>
      <w:r w:rsidR="00F533EA">
        <w:t xml:space="preserve"> </w:t>
      </w:r>
      <w:r w:rsidR="002E3236">
        <w:t>One</w:t>
      </w:r>
      <w:r w:rsidR="007A175C">
        <w:t xml:space="preserve"> review concluded that there is little evidence for the effectiveness of media-based responsible drinking campaigns</w:t>
      </w:r>
      <w:r w:rsidR="00026923">
        <w:t xml:space="preserve"> in terms of changing drinking behaviour</w:t>
      </w:r>
      <w:r w:rsidR="007E5FC6">
        <w:t xml:space="preserve"> (</w:t>
      </w:r>
      <w:r w:rsidR="002B38B8">
        <w:t xml:space="preserve">Anderson </w:t>
      </w:r>
      <w:r w:rsidR="002B38B8" w:rsidRPr="00B1559D">
        <w:rPr>
          <w:i/>
        </w:rPr>
        <w:t>et al</w:t>
      </w:r>
      <w:r w:rsidR="002B38B8">
        <w:t xml:space="preserve">, 2009; </w:t>
      </w:r>
      <w:r w:rsidR="007E5FC6">
        <w:t>Wakefield</w:t>
      </w:r>
      <w:r w:rsidR="007E5FC6" w:rsidRPr="007E5FC6">
        <w:rPr>
          <w:i/>
        </w:rPr>
        <w:t xml:space="preserve"> et al</w:t>
      </w:r>
      <w:r w:rsidR="007E5FC6">
        <w:t>., 2010)</w:t>
      </w:r>
      <w:r w:rsidR="007A175C">
        <w:t xml:space="preserve">. </w:t>
      </w:r>
      <w:r w:rsidR="00920222">
        <w:t>O</w:t>
      </w:r>
      <w:r w:rsidR="00AE1824">
        <w:t xml:space="preserve">ur own research </w:t>
      </w:r>
      <w:r w:rsidR="00026923">
        <w:t>demonstrates</w:t>
      </w:r>
      <w:r w:rsidR="00AE1824">
        <w:t xml:space="preserve"> that the association between knowledge of responsible drinking</w:t>
      </w:r>
      <w:r w:rsidR="009134E8">
        <w:t>,</w:t>
      </w:r>
      <w:r w:rsidR="00AE1824">
        <w:t xml:space="preserve"> the harmful consequences of alcohol misuse, and actual drinking behaviour</w:t>
      </w:r>
      <w:r w:rsidR="00F950E0">
        <w:t xml:space="preserve"> is complex</w:t>
      </w:r>
      <w:r w:rsidR="00D841CF">
        <w:t xml:space="preserve">. </w:t>
      </w:r>
      <w:r w:rsidR="002E3236">
        <w:t xml:space="preserve"> W</w:t>
      </w:r>
      <w:r w:rsidR="00D841CF">
        <w:t xml:space="preserve">e </w:t>
      </w:r>
      <w:r w:rsidR="00D841CF">
        <w:lastRenderedPageBreak/>
        <w:t>reported hi</w:t>
      </w:r>
      <w:r w:rsidR="002E3236">
        <w:t>gh rates of harmful/</w:t>
      </w:r>
      <w:r w:rsidR="00D841CF">
        <w:t>hazardous drinking amongst medical students, despite this cohort demonstrating a high level of knowledge of alcohol-related harms and responsible drinking guidelines</w:t>
      </w:r>
      <w:r w:rsidR="007E5FC6">
        <w:t xml:space="preserve"> (Moss </w:t>
      </w:r>
      <w:r w:rsidR="007E5FC6" w:rsidRPr="007E5FC6">
        <w:rPr>
          <w:i/>
        </w:rPr>
        <w:t>et al</w:t>
      </w:r>
      <w:r w:rsidR="007E5FC6">
        <w:t>., 2009)</w:t>
      </w:r>
      <w:r w:rsidR="00AE1824">
        <w:t>.</w:t>
      </w:r>
      <w:r w:rsidR="00D841CF">
        <w:t xml:space="preserve"> </w:t>
      </w:r>
    </w:p>
    <w:p w14:paraId="40662599" w14:textId="33F97C0C" w:rsidR="00875066" w:rsidRPr="00875066" w:rsidRDefault="00875066" w:rsidP="00875066">
      <w:pPr>
        <w:spacing w:line="480" w:lineRule="auto"/>
      </w:pPr>
      <w:r>
        <w:tab/>
      </w:r>
      <w:r w:rsidRPr="00875066">
        <w:t>Schilling and McAlister (1990) discussed some of the difficulties involved in evaluating media-based public health campaigns, noting that attempts to discern whether individual-level changes in drinking are due to a direct effect of a campaign, or multiple other factors, is fraught with methodological difficulties. In particular, lab-based evaluations lack ecological validity and retrospective reports of drinking can be unreliable</w:t>
      </w:r>
      <w:r w:rsidR="00801BB3">
        <w:t xml:space="preserve"> (although the use of in vivo measures using mobile phone technology may offer a more reliable means of assessment in drinking contexts, see Monk &amp; Heim, 2014)</w:t>
      </w:r>
      <w:r w:rsidRPr="00875066">
        <w:t>.</w:t>
      </w:r>
      <w:r w:rsidRPr="00875066">
        <w:rPr>
          <w:vertAlign w:val="superscript"/>
        </w:rPr>
        <w:t xml:space="preserve"> </w:t>
      </w:r>
      <w:r w:rsidRPr="00875066">
        <w:t xml:space="preserve"> </w:t>
      </w:r>
      <w:r w:rsidR="002E3236">
        <w:t>I</w:t>
      </w:r>
      <w:r w:rsidR="00570C8F">
        <w:t>t has been argued that the effects of being in an alcohol-related context for priming the operation of related</w:t>
      </w:r>
      <w:r w:rsidR="00841E51">
        <w:t xml:space="preserve"> cognitions (e.g. expectancies</w:t>
      </w:r>
      <w:r w:rsidR="00570C8F">
        <w:t>) is fundamental in explaining differential alcohol consumption patterns seen in “wet” versus “dry” conditions (</w:t>
      </w:r>
      <w:r w:rsidR="002B38B8" w:rsidRPr="00EE38D2">
        <w:t>Lau-</w:t>
      </w:r>
      <w:proofErr w:type="spellStart"/>
      <w:r w:rsidR="002B38B8" w:rsidRPr="00EE38D2">
        <w:t>Barraco</w:t>
      </w:r>
      <w:proofErr w:type="spellEnd"/>
      <w:r w:rsidR="002B38B8" w:rsidRPr="00EE38D2">
        <w:t xml:space="preserve"> &amp; Dunn, 2009</w:t>
      </w:r>
      <w:r w:rsidR="002B38B8">
        <w:t xml:space="preserve">; </w:t>
      </w:r>
      <w:proofErr w:type="spellStart"/>
      <w:r w:rsidR="005B5775">
        <w:t>Roehrich</w:t>
      </w:r>
      <w:proofErr w:type="spellEnd"/>
      <w:r w:rsidR="005B5775">
        <w:t xml:space="preserve"> &amp; Goldman , 1995; </w:t>
      </w:r>
      <w:r w:rsidR="00570C8F" w:rsidRPr="00570C8F">
        <w:t>Wall, McKee &amp; Simpson, 2000</w:t>
      </w:r>
      <w:r w:rsidR="005B5775">
        <w:t>).</w:t>
      </w:r>
      <w:r w:rsidR="00570C8F" w:rsidRPr="00570C8F">
        <w:t xml:space="preserve"> </w:t>
      </w:r>
      <w:r w:rsidR="00EE38D2" w:rsidRPr="00EE38D2">
        <w:t xml:space="preserve">The role of context in the operation of alcohol-related cognitions and drinking behaviour has been highlighted across a number of studies.  For instance, in assessing whether an individual’s attentional preference for alcohol-related cues generalised to conditions outside of the laboratory, </w:t>
      </w:r>
      <w:proofErr w:type="spellStart"/>
      <w:r w:rsidR="00EE38D2" w:rsidRPr="00EE38D2">
        <w:t>Schoenmakers</w:t>
      </w:r>
      <w:proofErr w:type="spellEnd"/>
      <w:r w:rsidR="00EE38D2" w:rsidRPr="00EE38D2">
        <w:t xml:space="preserve"> and </w:t>
      </w:r>
      <w:proofErr w:type="spellStart"/>
      <w:r w:rsidR="00EE38D2" w:rsidRPr="00EE38D2">
        <w:t>Wiers</w:t>
      </w:r>
      <w:proofErr w:type="spellEnd"/>
      <w:r w:rsidR="00EE38D2" w:rsidRPr="00EE38D2">
        <w:t xml:space="preserve"> (2010) demonstrated decreased attentional preference relative to the amount of alcohol consumed in a bar environment but that urges and cravings to drink were maintained as a function of amount consumed.  </w:t>
      </w:r>
      <w:r w:rsidR="002E3236">
        <w:t>T</w:t>
      </w:r>
      <w:r w:rsidR="00EE38D2" w:rsidRPr="00EE38D2">
        <w:t xml:space="preserve">his evidence showed that when a person has started to consume alcohol in a relevant environment, the need to search out alcohol-related cues diminishes but the desire to drink is maintained or exacerbated with </w:t>
      </w:r>
      <w:r w:rsidR="002E3236">
        <w:t xml:space="preserve">increasing intoxication. Other </w:t>
      </w:r>
      <w:r w:rsidR="00EE38D2" w:rsidRPr="00EE38D2">
        <w:t xml:space="preserve">work showed that participants who viewed a panoramic (widescreen) video of a lecture hall or a bar whilst completing </w:t>
      </w:r>
      <w:r w:rsidR="00EE38D2">
        <w:t>consumption-related</w:t>
      </w:r>
      <w:r w:rsidR="00EE38D2" w:rsidRPr="00EE38D2">
        <w:t xml:space="preserve"> measures (Monk &amp; Heim, 2013a), and who completed </w:t>
      </w:r>
      <w:r w:rsidR="00EE38D2" w:rsidRPr="00EE38D2">
        <w:lastRenderedPageBreak/>
        <w:t xml:space="preserve">measures in a lecture hall or in a </w:t>
      </w:r>
      <w:r w:rsidR="005D2986">
        <w:t>real bar (Monk &amp; Hei</w:t>
      </w:r>
      <w:r w:rsidR="00EE38D2" w:rsidRPr="00EE38D2">
        <w:t xml:space="preserve">m, 2013b), showed more positive alcohol expectancies and decreased perceived control in </w:t>
      </w:r>
      <w:r w:rsidR="00EE38D2">
        <w:t xml:space="preserve">the </w:t>
      </w:r>
      <w:r w:rsidR="00EE38D2" w:rsidRPr="00EE38D2">
        <w:t xml:space="preserve">bar conditions. </w:t>
      </w:r>
    </w:p>
    <w:p w14:paraId="29BD38F2" w14:textId="474A93A4" w:rsidR="00F950E0" w:rsidRDefault="00875066" w:rsidP="00D65D1B">
      <w:pPr>
        <w:spacing w:line="480" w:lineRule="auto"/>
      </w:pPr>
      <w:r>
        <w:tab/>
      </w:r>
      <w:r w:rsidR="006D2BCB" w:rsidRPr="003414FC">
        <w:t xml:space="preserve"> </w:t>
      </w:r>
      <w:r w:rsidR="00F950E0">
        <w:t xml:space="preserve">In </w:t>
      </w:r>
      <w:r w:rsidR="00D26DA7">
        <w:t xml:space="preserve">this paper we report </w:t>
      </w:r>
      <w:r w:rsidR="00F950E0">
        <w:t>a series of studies</w:t>
      </w:r>
      <w:r w:rsidR="00D26DA7">
        <w:t xml:space="preserve"> undertaken in </w:t>
      </w:r>
      <w:r w:rsidR="00F950E0">
        <w:t xml:space="preserve">a </w:t>
      </w:r>
      <w:r w:rsidR="00D26DA7">
        <w:t xml:space="preserve">bespoke </w:t>
      </w:r>
      <w:r w:rsidR="00F950E0">
        <w:t>simulated bar environment</w:t>
      </w:r>
      <w:r w:rsidR="00D26DA7">
        <w:t xml:space="preserve">. This type of environment has been shown to be </w:t>
      </w:r>
      <w:r w:rsidR="00D26DA7" w:rsidRPr="00D26DA7">
        <w:t>useful for examining the accessibility and activation of alcohol-related cognitions and alcohol consumption behaviour in a context which provides a degree of experimental control, while more closely approximating actual drinking situations for the participant (</w:t>
      </w:r>
      <w:r w:rsidR="0005023C" w:rsidRPr="00D26DA7">
        <w:t xml:space="preserve">Wall </w:t>
      </w:r>
      <w:r w:rsidR="0005023C" w:rsidRPr="00D26DA7">
        <w:rPr>
          <w:i/>
        </w:rPr>
        <w:t>et al</w:t>
      </w:r>
      <w:r w:rsidR="0005023C" w:rsidRPr="00D26DA7">
        <w:t>., 2001</w:t>
      </w:r>
      <w:r w:rsidR="0005023C">
        <w:t xml:space="preserve">; </w:t>
      </w:r>
      <w:proofErr w:type="spellStart"/>
      <w:r w:rsidR="00D26DA7" w:rsidRPr="00D26DA7">
        <w:t>Wigmore</w:t>
      </w:r>
      <w:proofErr w:type="spellEnd"/>
      <w:r w:rsidR="00D26DA7" w:rsidRPr="00D26DA7">
        <w:t xml:space="preserve"> &amp; Hinson, 1991).</w:t>
      </w:r>
      <w:r w:rsidR="00D26DA7">
        <w:t xml:space="preserve"> Specifically, </w:t>
      </w:r>
      <w:r w:rsidR="00F950E0">
        <w:t xml:space="preserve">we explored the effects of context and RDM materials </w:t>
      </w:r>
      <w:r w:rsidR="00D26DA7">
        <w:t>(</w:t>
      </w:r>
      <w:r w:rsidR="00D26DA7" w:rsidRPr="00D26DA7">
        <w:t>taken fro</w:t>
      </w:r>
      <w:r w:rsidR="00D26DA7">
        <w:t>m a national campaign in the UK</w:t>
      </w:r>
      <w:r w:rsidR="00D26DA7" w:rsidRPr="00D26DA7">
        <w:t xml:space="preserve"> funded by the Drinkaware Trust</w:t>
      </w:r>
      <w:r w:rsidR="00D26DA7">
        <w:t xml:space="preserve"> to reduce </w:t>
      </w:r>
      <w:r w:rsidR="00D26DA7" w:rsidRPr="00D26DA7">
        <w:t>alcohol-related harm</w:t>
      </w:r>
      <w:r w:rsidR="00D26DA7">
        <w:t xml:space="preserve">) </w:t>
      </w:r>
      <w:r w:rsidR="00F950E0">
        <w:t>on young drinkers’ alcohol intake.</w:t>
      </w:r>
      <w:r w:rsidR="0050249C">
        <w:t xml:space="preserve"> </w:t>
      </w:r>
      <w:r w:rsidR="00D26DA7">
        <w:t xml:space="preserve"> </w:t>
      </w:r>
      <w:r w:rsidR="00F950E0">
        <w:t>In experiments 1 and 2 we recruited a female-only sample</w:t>
      </w:r>
      <w:r w:rsidR="00D26DA7">
        <w:t>,</w:t>
      </w:r>
      <w:r w:rsidR="00D26DA7" w:rsidRPr="00D26DA7">
        <w:t xml:space="preserve"> given the relatively greater risks associated with female binge drinking (Gill &amp; </w:t>
      </w:r>
      <w:proofErr w:type="spellStart"/>
      <w:r w:rsidR="00D26DA7" w:rsidRPr="00D26DA7">
        <w:t>O’May</w:t>
      </w:r>
      <w:proofErr w:type="spellEnd"/>
      <w:r w:rsidR="00D26DA7" w:rsidRPr="00D26DA7">
        <w:t>, 2006)</w:t>
      </w:r>
      <w:r w:rsidR="00F950E0">
        <w:t xml:space="preserve">, </w:t>
      </w:r>
      <w:r w:rsidR="00D26DA7">
        <w:t>to validate</w:t>
      </w:r>
      <w:r w:rsidR="00F950E0">
        <w:t xml:space="preserve"> our </w:t>
      </w:r>
      <w:r w:rsidR="00D26DA7">
        <w:t xml:space="preserve">simulation </w:t>
      </w:r>
      <w:r w:rsidR="00F950E0">
        <w:t xml:space="preserve">methodology </w:t>
      </w:r>
      <w:r w:rsidR="00801BB3">
        <w:t xml:space="preserve">and </w:t>
      </w:r>
      <w:r w:rsidR="00D26DA7">
        <w:t>examine any</w:t>
      </w:r>
      <w:r w:rsidR="00F950E0">
        <w:t xml:space="preserve"> effects of an RDM poster campaign </w:t>
      </w:r>
      <w:r w:rsidR="00D26DA7">
        <w:t>respectively</w:t>
      </w:r>
      <w:r w:rsidR="00F950E0">
        <w:t>. In experiment 3, we examine</w:t>
      </w:r>
      <w:r w:rsidR="00D26DA7">
        <w:t>d</w:t>
      </w:r>
      <w:r w:rsidR="00F950E0">
        <w:t xml:space="preserve"> the effects of two different components of an existing RDM </w:t>
      </w:r>
      <w:r w:rsidR="00DA3A49">
        <w:t>i</w:t>
      </w:r>
      <w:r w:rsidR="00F950E0">
        <w:t>n a mixed-gender sample.</w:t>
      </w:r>
      <w:r w:rsidR="00607A1F">
        <w:t xml:space="preserve"> Finally, an </w:t>
      </w:r>
      <w:proofErr w:type="spellStart"/>
      <w:r w:rsidR="00607A1F">
        <w:t>eyetracker</w:t>
      </w:r>
      <w:proofErr w:type="spellEnd"/>
      <w:r w:rsidR="00607A1F">
        <w:t xml:space="preserve"> was used to determine how participants engaged with health messages presented in </w:t>
      </w:r>
      <w:r w:rsidR="00DA3A49">
        <w:t>RDM</w:t>
      </w:r>
      <w:r w:rsidR="00607A1F">
        <w:t xml:space="preserve"> and the impact that this had on drinking.</w:t>
      </w:r>
    </w:p>
    <w:p w14:paraId="5B3E7800" w14:textId="77777777" w:rsidR="00D65D1B" w:rsidRPr="003F6F54" w:rsidRDefault="002B7757" w:rsidP="00D65D1B">
      <w:pPr>
        <w:spacing w:line="480" w:lineRule="auto"/>
        <w:jc w:val="center"/>
      </w:pPr>
      <w:r w:rsidRPr="003F6F54">
        <w:t xml:space="preserve">Experiment 1: </w:t>
      </w:r>
      <w:r w:rsidR="00E75695" w:rsidRPr="003F6F54">
        <w:t xml:space="preserve">Validation of a </w:t>
      </w:r>
      <w:r w:rsidR="003F6F54" w:rsidRPr="003F6F54">
        <w:t>S</w:t>
      </w:r>
      <w:r w:rsidR="00E75695" w:rsidRPr="003F6F54">
        <w:t xml:space="preserve">imulated </w:t>
      </w:r>
      <w:r w:rsidR="003F6F54" w:rsidRPr="003F6F54">
        <w:t>B</w:t>
      </w:r>
      <w:r w:rsidR="00E75695" w:rsidRPr="003F6F54">
        <w:t xml:space="preserve">ar </w:t>
      </w:r>
      <w:r w:rsidR="003F6F54" w:rsidRPr="003F6F54">
        <w:t>E</w:t>
      </w:r>
      <w:r w:rsidR="00E75695" w:rsidRPr="003F6F54">
        <w:t>nvironment</w:t>
      </w:r>
    </w:p>
    <w:p w14:paraId="068E7AE9" w14:textId="77777777" w:rsidR="001A508A" w:rsidRPr="00AD16C8" w:rsidRDefault="002B7757" w:rsidP="003C7C30">
      <w:pPr>
        <w:spacing w:line="480" w:lineRule="auto"/>
        <w:jc w:val="center"/>
        <w:rPr>
          <w:b/>
        </w:rPr>
      </w:pPr>
      <w:r w:rsidRPr="00AD16C8">
        <w:rPr>
          <w:b/>
        </w:rPr>
        <w:t>Method</w:t>
      </w:r>
    </w:p>
    <w:p w14:paraId="230DE722" w14:textId="77777777" w:rsidR="003C7C30" w:rsidRPr="00AD16C8" w:rsidRDefault="002B7757" w:rsidP="00D65D1B">
      <w:pPr>
        <w:spacing w:line="480" w:lineRule="auto"/>
        <w:rPr>
          <w:b/>
        </w:rPr>
      </w:pPr>
      <w:r w:rsidRPr="00AD16C8">
        <w:rPr>
          <w:b/>
        </w:rPr>
        <w:t>Participants</w:t>
      </w:r>
    </w:p>
    <w:p w14:paraId="6768B673" w14:textId="242255CB" w:rsidR="00140430" w:rsidRPr="00D65D1B" w:rsidRDefault="00E50784" w:rsidP="00140430">
      <w:pPr>
        <w:spacing w:line="480" w:lineRule="auto"/>
        <w:rPr>
          <w:b/>
        </w:rPr>
      </w:pPr>
      <w:r>
        <w:tab/>
      </w:r>
      <w:r w:rsidR="006737F9">
        <w:t xml:space="preserve">Fifty non problem </w:t>
      </w:r>
      <w:r w:rsidR="001A508A">
        <w:t>drinking female participants (</w:t>
      </w:r>
      <w:r w:rsidR="00700C19" w:rsidRPr="009134E8">
        <w:rPr>
          <w:i/>
        </w:rPr>
        <w:t>M</w:t>
      </w:r>
      <w:r w:rsidR="00700C19">
        <w:rPr>
          <w:vertAlign w:val="subscript"/>
        </w:rPr>
        <w:t>age</w:t>
      </w:r>
      <w:r w:rsidR="00700C19">
        <w:t>=23</w:t>
      </w:r>
      <w:r w:rsidR="002817B0">
        <w:t>.</w:t>
      </w:r>
      <w:r w:rsidR="00700C19">
        <w:t xml:space="preserve">8 years, </w:t>
      </w:r>
      <w:r w:rsidR="00700C19" w:rsidRPr="009134E8">
        <w:rPr>
          <w:i/>
        </w:rPr>
        <w:t>SD</w:t>
      </w:r>
      <w:r w:rsidR="00700C19">
        <w:t>=</w:t>
      </w:r>
      <w:r w:rsidR="009659D3">
        <w:t>4</w:t>
      </w:r>
      <w:r w:rsidR="002817B0">
        <w:t>.</w:t>
      </w:r>
      <w:r w:rsidR="00700C19">
        <w:t>4</w:t>
      </w:r>
      <w:r w:rsidR="00F239A6">
        <w:t>, range=18-</w:t>
      </w:r>
      <w:r w:rsidR="009659D3">
        <w:t>28</w:t>
      </w:r>
      <w:r w:rsidR="001A508A">
        <w:t xml:space="preserve">) </w:t>
      </w:r>
      <w:r w:rsidR="00DA3A49">
        <w:t xml:space="preserve">took </w:t>
      </w:r>
      <w:r w:rsidR="001A508A">
        <w:t>part in a taste preference task</w:t>
      </w:r>
      <w:r w:rsidR="004E27EE">
        <w:t xml:space="preserve"> (TPT)</w:t>
      </w:r>
      <w:r w:rsidR="00894E6F">
        <w:t xml:space="preserve"> </w:t>
      </w:r>
      <w:r w:rsidR="001A508A">
        <w:t xml:space="preserve">in return for course credit. Potentially dependent drinkers </w:t>
      </w:r>
      <w:r w:rsidR="00DA3A49">
        <w:t xml:space="preserve">scoring higher than 21 on </w:t>
      </w:r>
      <w:r w:rsidR="001A508A">
        <w:t>the Alcohol Use Disorders Identification Test (AUDIT</w:t>
      </w:r>
      <w:r w:rsidR="00050488">
        <w:t xml:space="preserve">, Saunders </w:t>
      </w:r>
      <w:r w:rsidR="00050488" w:rsidRPr="007E5FC6">
        <w:rPr>
          <w:i/>
        </w:rPr>
        <w:t>et al</w:t>
      </w:r>
      <w:r w:rsidR="00050488">
        <w:t>., 1993</w:t>
      </w:r>
      <w:r w:rsidR="00DA3A49">
        <w:t>)</w:t>
      </w:r>
      <w:r w:rsidR="001A508A">
        <w:t xml:space="preserve"> </w:t>
      </w:r>
      <w:r w:rsidR="00DA3A49">
        <w:t xml:space="preserve">were </w:t>
      </w:r>
      <w:r w:rsidR="002252E2">
        <w:t>excluded from</w:t>
      </w:r>
      <w:r w:rsidR="001A508A">
        <w:t xml:space="preserve"> </w:t>
      </w:r>
      <w:r w:rsidR="002252E2">
        <w:t>participation</w:t>
      </w:r>
      <w:r w:rsidR="001A508A">
        <w:t>.</w:t>
      </w:r>
      <w:r w:rsidR="00140430" w:rsidRPr="00140430">
        <w:t xml:space="preserve"> </w:t>
      </w:r>
      <w:r w:rsidR="00140430">
        <w:t xml:space="preserve">The mean AUDIT score for </w:t>
      </w:r>
      <w:r w:rsidR="00DA3A49">
        <w:t>included</w:t>
      </w:r>
      <w:r w:rsidR="00140430">
        <w:t xml:space="preserve"> participants was 8.53 (</w:t>
      </w:r>
      <w:r w:rsidR="00140430" w:rsidRPr="002B7757">
        <w:rPr>
          <w:i/>
        </w:rPr>
        <w:t>SD</w:t>
      </w:r>
      <w:r w:rsidR="00140430">
        <w:t xml:space="preserve"> = 3.64</w:t>
      </w:r>
      <w:r w:rsidR="009659D3">
        <w:t xml:space="preserve">, </w:t>
      </w:r>
      <w:r w:rsidR="009659D3" w:rsidRPr="001E6059">
        <w:rPr>
          <w:i/>
        </w:rPr>
        <w:t>range</w:t>
      </w:r>
      <w:r w:rsidR="009659D3">
        <w:t>=2-18</w:t>
      </w:r>
      <w:r w:rsidR="00B865CB">
        <w:t>)</w:t>
      </w:r>
      <w:r w:rsidR="00F239A6">
        <w:t>.</w:t>
      </w:r>
    </w:p>
    <w:p w14:paraId="372C5556" w14:textId="77777777" w:rsidR="001A508A" w:rsidRPr="00AD16C8" w:rsidRDefault="002B7757" w:rsidP="00087471">
      <w:pPr>
        <w:spacing w:line="480" w:lineRule="auto"/>
        <w:rPr>
          <w:b/>
        </w:rPr>
      </w:pPr>
      <w:r w:rsidRPr="00AD16C8">
        <w:rPr>
          <w:b/>
        </w:rPr>
        <w:t>Design</w:t>
      </w:r>
    </w:p>
    <w:p w14:paraId="3AD28BE0" w14:textId="77777777" w:rsidR="001A508A" w:rsidRDefault="00E50784" w:rsidP="00D65D1B">
      <w:pPr>
        <w:spacing w:line="480" w:lineRule="auto"/>
      </w:pPr>
      <w:r>
        <w:lastRenderedPageBreak/>
        <w:tab/>
      </w:r>
      <w:r w:rsidR="001A508A">
        <w:t xml:space="preserve">The independent variable in this study was </w:t>
      </w:r>
      <w:r w:rsidR="009134E8">
        <w:t>C</w:t>
      </w:r>
      <w:r w:rsidR="001A508A">
        <w:t xml:space="preserve">ontext (Bar vs. Lab). The dependent variables were total </w:t>
      </w:r>
      <w:r w:rsidR="00DA3A49">
        <w:t>amount of non-alcoholic beer/</w:t>
      </w:r>
      <w:r w:rsidR="001A508A">
        <w:t xml:space="preserve">wine (millilitres) and the total amount of cola (millilitres) consumed during a </w:t>
      </w:r>
      <w:r w:rsidR="004E27EE">
        <w:t>TPT</w:t>
      </w:r>
      <w:r w:rsidR="00DA3A49">
        <w:t xml:space="preserve">. Presentation </w:t>
      </w:r>
      <w:r w:rsidR="001A508A">
        <w:t xml:space="preserve">order </w:t>
      </w:r>
      <w:r w:rsidR="00DA3A49">
        <w:t xml:space="preserve">of </w:t>
      </w:r>
      <w:r w:rsidR="001A508A">
        <w:t xml:space="preserve">beer, wine and cola was counterbalanced across participants. The reason for using non-alcoholic beverages </w:t>
      </w:r>
      <w:r w:rsidR="00A12752">
        <w:t>was that</w:t>
      </w:r>
      <w:r w:rsidR="001A508A">
        <w:t xml:space="preserve"> study did not require the administration of alcohol, only the perception that the b</w:t>
      </w:r>
      <w:r w:rsidR="005947D9">
        <w:t>everages contained alcohol</w:t>
      </w:r>
      <w:r w:rsidR="001A508A">
        <w:t>.</w:t>
      </w:r>
    </w:p>
    <w:p w14:paraId="3A4CDCBA" w14:textId="77777777" w:rsidR="001A508A" w:rsidRPr="00AD16C8" w:rsidRDefault="002B7757" w:rsidP="00087471">
      <w:pPr>
        <w:spacing w:line="480" w:lineRule="auto"/>
        <w:rPr>
          <w:b/>
        </w:rPr>
      </w:pPr>
      <w:r w:rsidRPr="00AD16C8">
        <w:rPr>
          <w:b/>
        </w:rPr>
        <w:t>Materials</w:t>
      </w:r>
    </w:p>
    <w:p w14:paraId="31BCA8EF" w14:textId="77777777" w:rsidR="001A508A" w:rsidRDefault="002B7757" w:rsidP="003C7C30">
      <w:pPr>
        <w:spacing w:line="480" w:lineRule="auto"/>
        <w:ind w:firstLine="720"/>
      </w:pPr>
      <w:proofErr w:type="gramStart"/>
      <w:r w:rsidRPr="00AD16C8">
        <w:rPr>
          <w:b/>
        </w:rPr>
        <w:t>Simulated bar.</w:t>
      </w:r>
      <w:proofErr w:type="gramEnd"/>
      <w:r w:rsidRPr="003C7C30">
        <w:rPr>
          <w:i/>
        </w:rPr>
        <w:t xml:space="preserve"> </w:t>
      </w:r>
      <w:r w:rsidR="001A508A">
        <w:t>A purpose-built laboratory facility was created to resemble a bar</w:t>
      </w:r>
      <w:r w:rsidR="005947D9">
        <w:t xml:space="preserve">-like environment </w:t>
      </w:r>
      <w:r w:rsidR="001A508A">
        <w:t>with a 6</w:t>
      </w:r>
      <w:r w:rsidR="00D65D1B">
        <w:t xml:space="preserve">ft </w:t>
      </w:r>
      <w:r w:rsidR="001A508A">
        <w:t>by 5</w:t>
      </w:r>
      <w:r w:rsidR="00D65D1B">
        <w:t xml:space="preserve">ft </w:t>
      </w:r>
      <w:r w:rsidR="001A508A">
        <w:t xml:space="preserve">bar counter </w:t>
      </w:r>
      <w:r w:rsidR="005947D9">
        <w:t>and</w:t>
      </w:r>
      <w:r w:rsidR="001A508A">
        <w:t xml:space="preserve"> bar stools, beer taps</w:t>
      </w:r>
      <w:r w:rsidR="002252E2">
        <w:t>,</w:t>
      </w:r>
      <w:r w:rsidR="001A508A">
        <w:t xml:space="preserve"> and other alcohol-related paraphernalia </w:t>
      </w:r>
      <w:r w:rsidR="00A12752">
        <w:t>display</w:t>
      </w:r>
      <w:r w:rsidR="005947D9">
        <w:t>ed</w:t>
      </w:r>
      <w:r w:rsidR="001A508A">
        <w:t xml:space="preserve">. Participants taking part in the </w:t>
      </w:r>
      <w:r w:rsidR="00E50784">
        <w:t>TPT</w:t>
      </w:r>
      <w:r w:rsidR="001A508A">
        <w:t xml:space="preserve"> in the bar condition were sat at the bar </w:t>
      </w:r>
      <w:r w:rsidR="005947D9">
        <w:t>counter</w:t>
      </w:r>
      <w:r w:rsidR="001A508A">
        <w:t>. A</w:t>
      </w:r>
      <w:r w:rsidR="002252E2">
        <w:t>nother</w:t>
      </w:r>
      <w:r w:rsidR="001A508A">
        <w:t xml:space="preserve"> room in the psychology laboratory was used for the lab context condition. The</w:t>
      </w:r>
      <w:r w:rsidR="00081DBA">
        <w:t>se</w:t>
      </w:r>
      <w:r w:rsidR="005947D9">
        <w:t xml:space="preserve"> rooms were of similar size and </w:t>
      </w:r>
      <w:r w:rsidR="001A508A">
        <w:t>on the same side of the building, ensuring a near</w:t>
      </w:r>
      <w:r w:rsidR="00A12752">
        <w:t>-</w:t>
      </w:r>
      <w:r w:rsidR="001A508A">
        <w:t xml:space="preserve">identical </w:t>
      </w:r>
      <w:r w:rsidR="00081DBA">
        <w:t>window</w:t>
      </w:r>
      <w:r w:rsidR="001A508A">
        <w:t>.</w:t>
      </w:r>
    </w:p>
    <w:p w14:paraId="2DA998BD" w14:textId="308FFCE6" w:rsidR="001A508A" w:rsidRDefault="002B7757" w:rsidP="003C7C30">
      <w:pPr>
        <w:spacing w:line="480" w:lineRule="auto"/>
        <w:ind w:firstLine="720"/>
      </w:pPr>
      <w:r w:rsidRPr="00AD16C8">
        <w:rPr>
          <w:b/>
        </w:rPr>
        <w:t>Taste preference task</w:t>
      </w:r>
      <w:r w:rsidR="004E27EE" w:rsidRPr="00AD16C8">
        <w:rPr>
          <w:b/>
        </w:rPr>
        <w:t xml:space="preserve"> (TPT)</w:t>
      </w:r>
      <w:r w:rsidRPr="00AD16C8">
        <w:rPr>
          <w:b/>
        </w:rPr>
        <w:t>.</w:t>
      </w:r>
      <w:r w:rsidRPr="002B7757">
        <w:rPr>
          <w:b/>
        </w:rPr>
        <w:t xml:space="preserve"> </w:t>
      </w:r>
      <w:r w:rsidR="001A508A">
        <w:t xml:space="preserve">Participants were provided with two different brands each of non-alcoholic beer, non-alcoholic white wine, and cola. </w:t>
      </w:r>
      <w:r w:rsidR="00801BB3">
        <w:t xml:space="preserve">The inclusion of soft drinks in this task provides a means of assessing whether changes in drinking are specific to particular beverage categories. </w:t>
      </w:r>
      <w:r w:rsidR="004E27EE">
        <w:t>Two hundred millilitres</w:t>
      </w:r>
      <w:r w:rsidR="001A508A">
        <w:t xml:space="preserve"> of each beverage were given</w:t>
      </w:r>
      <w:r w:rsidR="00B1559D">
        <w:t xml:space="preserve"> (a combined total of 1200ml)</w:t>
      </w:r>
      <w:r w:rsidR="001A508A">
        <w:t xml:space="preserve">. </w:t>
      </w:r>
      <w:r w:rsidR="00B1559D">
        <w:t xml:space="preserve">Beverages were served in plain 330ml drinking glasses. </w:t>
      </w:r>
      <w:r w:rsidR="001A508A">
        <w:t>Participants were ask</w:t>
      </w:r>
      <w:r w:rsidR="005947D9">
        <w:t>ed</w:t>
      </w:r>
      <w:r w:rsidR="001A508A">
        <w:t xml:space="preserve"> to evaluate each</w:t>
      </w:r>
      <w:r w:rsidR="00062C58">
        <w:t xml:space="preserve"> </w:t>
      </w:r>
      <w:r w:rsidR="005947D9">
        <w:t>beverage</w:t>
      </w:r>
      <w:r w:rsidR="001A508A">
        <w:t xml:space="preserve"> using </w:t>
      </w:r>
      <w:r w:rsidR="00AD16C8">
        <w:t xml:space="preserve">5-point </w:t>
      </w:r>
      <w:r w:rsidR="001A508A">
        <w:t>Likert scales</w:t>
      </w:r>
      <w:r w:rsidR="00AD16C8">
        <w:t xml:space="preserve"> related to different characteristics of the drinks </w:t>
      </w:r>
      <w:r w:rsidR="001A508A">
        <w:t xml:space="preserve"> (e.g. flavour, aroma, etc.), and to indicate which beverage in each pair they preferred</w:t>
      </w:r>
      <w:r w:rsidR="00B1559D">
        <w:t>. There were a total of 5 rating scales per beverage type, with each Likert scale being specific to the beverage (e.g. for wine, one scale ranged from ‘Dry’ to ‘Sweet’)</w:t>
      </w:r>
      <w:r w:rsidR="001A508A">
        <w:t xml:space="preserve">. </w:t>
      </w:r>
      <w:r w:rsidR="00AD16C8">
        <w:t xml:space="preserve">These ratings were intended to provide credibility to the TPT, such that participants would believe we were interested in their evaluation of these characteristics, rather than volume consumed. </w:t>
      </w:r>
      <w:r w:rsidR="001A508A">
        <w:t xml:space="preserve">Participants were instructed that they should drink as much of </w:t>
      </w:r>
      <w:r w:rsidR="001A508A">
        <w:lastRenderedPageBreak/>
        <w:t xml:space="preserve">each as necessary to make a comparison and provide </w:t>
      </w:r>
      <w:r w:rsidR="004E27EE">
        <w:t>each</w:t>
      </w:r>
      <w:r w:rsidR="002252E2">
        <w:t xml:space="preserve"> </w:t>
      </w:r>
      <w:r w:rsidR="001A508A">
        <w:t>rating</w:t>
      </w:r>
      <w:r w:rsidR="00B1559D">
        <w:t>. The experimenters allowed a maximum of 15 minutes to complete the TPT, though in practice in this and all subsequent studies, participants all finished the task more quickly than this</w:t>
      </w:r>
      <w:r w:rsidR="001A508A">
        <w:t>.</w:t>
      </w:r>
      <w:r w:rsidR="00906A4D">
        <w:t xml:space="preserve"> All participants were led to believe that the beverages were alcoholic</w:t>
      </w:r>
      <w:r w:rsidR="00250788">
        <w:t xml:space="preserve">. </w:t>
      </w:r>
      <w:r w:rsidR="00906A4D">
        <w:t xml:space="preserve">In this and the two subsequent experiments, qualitative data from funnelled debriefing interviews (see Procedure section, below) </w:t>
      </w:r>
      <w:r w:rsidR="00607A1F">
        <w:t>suggested</w:t>
      </w:r>
      <w:r w:rsidR="00906A4D">
        <w:t xml:space="preserve"> that participants were not aware that the beverages were in fact non-alcoholic.</w:t>
      </w:r>
    </w:p>
    <w:p w14:paraId="5E55622D" w14:textId="77777777" w:rsidR="001A508A" w:rsidRPr="00AD16C8" w:rsidRDefault="002B7757" w:rsidP="00D65D1B">
      <w:pPr>
        <w:spacing w:line="480" w:lineRule="auto"/>
        <w:rPr>
          <w:b/>
        </w:rPr>
      </w:pPr>
      <w:r w:rsidRPr="00AD16C8">
        <w:rPr>
          <w:b/>
        </w:rPr>
        <w:t>Procedure</w:t>
      </w:r>
    </w:p>
    <w:p w14:paraId="0CA4382F" w14:textId="7DADEB15" w:rsidR="001A508A" w:rsidRDefault="00250788" w:rsidP="00D65D1B">
      <w:pPr>
        <w:spacing w:line="480" w:lineRule="auto"/>
      </w:pPr>
      <w:r>
        <w:tab/>
      </w:r>
      <w:r w:rsidR="004E27EE">
        <w:t>P</w:t>
      </w:r>
      <w:r w:rsidR="001A508A" w:rsidRPr="00AE6369">
        <w:t xml:space="preserve">articipants were randomly allocated to </w:t>
      </w:r>
      <w:r w:rsidR="009134E8">
        <w:t>either the bar or lab condition</w:t>
      </w:r>
      <w:r w:rsidR="00801BB3">
        <w:t>. Random allocation in this and subsequent studies was achieved using a random number generator at the start of the study to produce a random sequence of conditions, to which each participant was assigned on entry to each study</w:t>
      </w:r>
      <w:r w:rsidR="001A508A" w:rsidRPr="00AE6369">
        <w:t>.  After informed consent was obtained participants were invited to sit at the bar</w:t>
      </w:r>
      <w:r w:rsidR="001A508A">
        <w:t>,</w:t>
      </w:r>
      <w:r w:rsidR="001A508A" w:rsidRPr="00AE6369">
        <w:t xml:space="preserve"> or </w:t>
      </w:r>
      <w:r w:rsidR="001A508A">
        <w:t>at a desk in the lab.</w:t>
      </w:r>
      <w:r w:rsidR="001A508A" w:rsidRPr="00AE6369">
        <w:t xml:space="preserve">  </w:t>
      </w:r>
      <w:r w:rsidR="005947D9">
        <w:t>S</w:t>
      </w:r>
      <w:r w:rsidR="004E27EE">
        <w:t xml:space="preserve">ix </w:t>
      </w:r>
      <w:r w:rsidR="001A508A">
        <w:t xml:space="preserve">beverages were </w:t>
      </w:r>
      <w:r w:rsidR="005947D9">
        <w:t xml:space="preserve">then </w:t>
      </w:r>
      <w:r w:rsidR="001A508A">
        <w:t xml:space="preserve">lined up in pairs in front of the participants and they were asked to carry out the </w:t>
      </w:r>
      <w:r w:rsidR="004E27EE">
        <w:t>TPT</w:t>
      </w:r>
      <w:r w:rsidR="001A508A" w:rsidRPr="00AE6369">
        <w:t xml:space="preserve">.  </w:t>
      </w:r>
      <w:r>
        <w:tab/>
      </w:r>
      <w:r w:rsidR="005947D9">
        <w:t>Following</w:t>
      </w:r>
      <w:r w:rsidR="001A508A">
        <w:t xml:space="preserve"> the </w:t>
      </w:r>
      <w:r w:rsidR="004E27EE">
        <w:t>TPT</w:t>
      </w:r>
      <w:r w:rsidR="001A508A">
        <w:t xml:space="preserve"> </w:t>
      </w:r>
      <w:r w:rsidR="001A508A" w:rsidRPr="00AE6369">
        <w:t xml:space="preserve">a funnelled debriefing </w:t>
      </w:r>
      <w:r w:rsidR="00BE02F9">
        <w:t xml:space="preserve">procedure </w:t>
      </w:r>
      <w:r w:rsidR="001A508A">
        <w:t>was conducted</w:t>
      </w:r>
      <w:r w:rsidR="00A12752">
        <w:t xml:space="preserve"> </w:t>
      </w:r>
      <w:r w:rsidR="001A508A">
        <w:t>to ascertain whether the deception had been successful</w:t>
      </w:r>
      <w:r w:rsidR="00050488">
        <w:t xml:space="preserve"> </w:t>
      </w:r>
      <w:r w:rsidR="00BE02F9">
        <w:t>by asking each participant</w:t>
      </w:r>
      <w:r w:rsidR="001A508A">
        <w:t xml:space="preserve"> to indicate whether they felt that any aspect of the study differed from how it had been described to them</w:t>
      </w:r>
      <w:r w:rsidR="00607A1F" w:rsidRPr="00607A1F">
        <w:t xml:space="preserve"> </w:t>
      </w:r>
      <w:r w:rsidR="00607A1F">
        <w:t>initially</w:t>
      </w:r>
      <w:r w:rsidR="00BE02F9">
        <w:t xml:space="preserve"> (see </w:t>
      </w:r>
      <w:proofErr w:type="spellStart"/>
      <w:r w:rsidR="00BE02F9" w:rsidRPr="00BE02F9">
        <w:t>Bargh</w:t>
      </w:r>
      <w:proofErr w:type="spellEnd"/>
      <w:r w:rsidR="00BE02F9" w:rsidRPr="00BE02F9">
        <w:t xml:space="preserve"> &amp; Chartrand, 2000</w:t>
      </w:r>
      <w:r w:rsidR="00BE02F9">
        <w:t>)</w:t>
      </w:r>
      <w:r w:rsidR="001A508A">
        <w:t xml:space="preserve">. If suspicions regarding the actual nature of the task were indicated, participants were then asked to elaborate on what they thought the real purpose of the study was. No participants reported </w:t>
      </w:r>
      <w:r w:rsidR="004E27EE">
        <w:t>awareness of the true study aim</w:t>
      </w:r>
      <w:r w:rsidR="001A508A">
        <w:t>.</w:t>
      </w:r>
    </w:p>
    <w:p w14:paraId="130C22C4" w14:textId="77777777" w:rsidR="001A508A" w:rsidRPr="00AD16C8" w:rsidRDefault="002B7757" w:rsidP="00087471">
      <w:pPr>
        <w:spacing w:line="480" w:lineRule="auto"/>
        <w:jc w:val="center"/>
        <w:rPr>
          <w:b/>
        </w:rPr>
      </w:pPr>
      <w:r w:rsidRPr="00AD16C8">
        <w:rPr>
          <w:b/>
        </w:rPr>
        <w:t>Results</w:t>
      </w:r>
      <w:r w:rsidR="0086198D">
        <w:rPr>
          <w:b/>
        </w:rPr>
        <w:t xml:space="preserve"> and Discussion</w:t>
      </w:r>
    </w:p>
    <w:p w14:paraId="539E7BD0" w14:textId="77777777" w:rsidR="001A508A" w:rsidRDefault="00250788" w:rsidP="00D65D1B">
      <w:pPr>
        <w:spacing w:line="480" w:lineRule="auto"/>
      </w:pPr>
      <w:r>
        <w:tab/>
      </w:r>
      <w:r w:rsidR="005947D9">
        <w:t>Initial r</w:t>
      </w:r>
      <w:r w:rsidR="001A508A">
        <w:t>esults showed that there was no significant difference in the mean amount of beer (</w:t>
      </w:r>
      <w:r w:rsidR="002B7757" w:rsidRPr="002B7757">
        <w:rPr>
          <w:i/>
        </w:rPr>
        <w:t>M</w:t>
      </w:r>
      <w:r w:rsidR="001A508A">
        <w:t>=56</w:t>
      </w:r>
      <w:r w:rsidR="002817B0">
        <w:t>.</w:t>
      </w:r>
      <w:r w:rsidR="001A508A">
        <w:t xml:space="preserve">9ml, </w:t>
      </w:r>
      <w:r w:rsidR="002B7757" w:rsidRPr="002B7757">
        <w:rPr>
          <w:i/>
        </w:rPr>
        <w:t>SD</w:t>
      </w:r>
      <w:r w:rsidR="001A508A">
        <w:t>=55</w:t>
      </w:r>
      <w:r w:rsidR="002817B0">
        <w:t>.</w:t>
      </w:r>
      <w:r w:rsidR="001A508A">
        <w:t>8) and wine (</w:t>
      </w:r>
      <w:r w:rsidR="002B7757" w:rsidRPr="002B7757">
        <w:rPr>
          <w:i/>
        </w:rPr>
        <w:t>M</w:t>
      </w:r>
      <w:r w:rsidR="001A508A">
        <w:t>=67</w:t>
      </w:r>
      <w:r w:rsidR="002817B0">
        <w:t>.</w:t>
      </w:r>
      <w:r w:rsidR="001A508A">
        <w:t xml:space="preserve">8ml, </w:t>
      </w:r>
      <w:r w:rsidR="002B7757" w:rsidRPr="002B7757">
        <w:rPr>
          <w:i/>
        </w:rPr>
        <w:t>SD</w:t>
      </w:r>
      <w:r w:rsidR="001A508A">
        <w:t>=57</w:t>
      </w:r>
      <w:r w:rsidR="002817B0">
        <w:t>.</w:t>
      </w:r>
      <w:r w:rsidR="001A508A">
        <w:t xml:space="preserve">8) consumed, </w:t>
      </w:r>
      <w:r w:rsidR="002B7757" w:rsidRPr="002B7757">
        <w:rPr>
          <w:i/>
        </w:rPr>
        <w:t>t</w:t>
      </w:r>
      <w:r>
        <w:rPr>
          <w:i/>
        </w:rPr>
        <w:t xml:space="preserve"> </w:t>
      </w:r>
      <w:r w:rsidR="001A508A">
        <w:t>(49)</w:t>
      </w:r>
      <w:r>
        <w:t xml:space="preserve"> </w:t>
      </w:r>
      <w:r w:rsidR="001A508A">
        <w:t>=</w:t>
      </w:r>
      <w:r>
        <w:t xml:space="preserve"> </w:t>
      </w:r>
      <w:r w:rsidR="001A508A">
        <w:t>1</w:t>
      </w:r>
      <w:r w:rsidR="002817B0">
        <w:t>.</w:t>
      </w:r>
      <w:r w:rsidR="001A508A">
        <w:t>3</w:t>
      </w:r>
      <w:proofErr w:type="gramStart"/>
      <w:r w:rsidR="001A508A">
        <w:t xml:space="preserve">, </w:t>
      </w:r>
      <w:r>
        <w:t xml:space="preserve"> </w:t>
      </w:r>
      <w:r w:rsidR="002B7757" w:rsidRPr="002B7757">
        <w:rPr>
          <w:i/>
        </w:rPr>
        <w:t>p</w:t>
      </w:r>
      <w:proofErr w:type="gramEnd"/>
      <w:r>
        <w:rPr>
          <w:i/>
        </w:rPr>
        <w:t xml:space="preserve"> </w:t>
      </w:r>
      <w:r w:rsidR="001A508A">
        <w:t>&gt;</w:t>
      </w:r>
      <w:r>
        <w:t xml:space="preserve"> </w:t>
      </w:r>
      <w:r w:rsidR="002817B0">
        <w:t>.</w:t>
      </w:r>
      <w:r w:rsidR="005947D9">
        <w:t>05,</w:t>
      </w:r>
      <w:r w:rsidR="001A508A">
        <w:t xml:space="preserve"> </w:t>
      </w:r>
      <w:r w:rsidR="005947D9">
        <w:t>and</w:t>
      </w:r>
      <w:r w:rsidR="001A508A">
        <w:t xml:space="preserve"> these two variables were </w:t>
      </w:r>
      <w:r w:rsidR="004E27EE">
        <w:t xml:space="preserve">combined </w:t>
      </w:r>
      <w:r w:rsidR="001A508A">
        <w:t xml:space="preserve">to create a </w:t>
      </w:r>
      <w:r w:rsidR="00A12752">
        <w:t>combined</w:t>
      </w:r>
      <w:r w:rsidR="001A508A">
        <w:t xml:space="preserve"> alcohol consumption variable.</w:t>
      </w:r>
    </w:p>
    <w:p w14:paraId="0200C6C3" w14:textId="77777777" w:rsidR="001A508A" w:rsidRPr="00AD16C8" w:rsidRDefault="002B7757" w:rsidP="00087471">
      <w:pPr>
        <w:spacing w:line="480" w:lineRule="auto"/>
        <w:rPr>
          <w:b/>
        </w:rPr>
      </w:pPr>
      <w:r w:rsidRPr="00AD16C8">
        <w:rPr>
          <w:b/>
        </w:rPr>
        <w:t>Effects of Drinking Context on Beverage Consumption</w:t>
      </w:r>
    </w:p>
    <w:p w14:paraId="72D5E567" w14:textId="0E1B7176" w:rsidR="001A508A" w:rsidRPr="002F6E1F" w:rsidRDefault="00250788" w:rsidP="00D65D1B">
      <w:pPr>
        <w:spacing w:line="480" w:lineRule="auto"/>
        <w:rPr>
          <w:rFonts w:cs="Times New Roman"/>
        </w:rPr>
      </w:pPr>
      <w:r>
        <w:lastRenderedPageBreak/>
        <w:tab/>
      </w:r>
      <w:r w:rsidR="001A508A">
        <w:t xml:space="preserve">A </w:t>
      </w:r>
      <w:r w:rsidR="004E27EE">
        <w:t>one</w:t>
      </w:r>
      <w:r w:rsidR="001A508A">
        <w:t xml:space="preserve">-way between participants multivariate analysis of covariance was conducted on both </w:t>
      </w:r>
      <w:r w:rsidR="001F7326">
        <w:t>beer and wine,</w:t>
      </w:r>
      <w:r w:rsidR="001A508A">
        <w:t xml:space="preserve"> and soft drink consumption, with </w:t>
      </w:r>
      <w:r w:rsidR="009134E8">
        <w:t>C</w:t>
      </w:r>
      <w:r w:rsidR="001A508A">
        <w:t>ontext (</w:t>
      </w:r>
      <w:r w:rsidR="009134E8">
        <w:t>B</w:t>
      </w:r>
      <w:r w:rsidR="001A508A">
        <w:t xml:space="preserve">ar </w:t>
      </w:r>
      <w:r w:rsidR="009134E8">
        <w:t>vs.</w:t>
      </w:r>
      <w:r w:rsidR="001A508A">
        <w:t xml:space="preserve"> </w:t>
      </w:r>
      <w:r w:rsidR="009134E8">
        <w:t>L</w:t>
      </w:r>
      <w:r w:rsidR="001A508A">
        <w:t>ab) as a between</w:t>
      </w:r>
      <w:r w:rsidR="005947D9">
        <w:t>-participants factor</w:t>
      </w:r>
      <w:r w:rsidR="001A508A">
        <w:t xml:space="preserve"> and AUDIT scores as a covariate to control for differences in drinking behaviour. There was no significant main effect of</w:t>
      </w:r>
      <w:r w:rsidR="001E6059">
        <w:t xml:space="preserve"> </w:t>
      </w:r>
      <w:r w:rsidR="009134E8">
        <w:t>C</w:t>
      </w:r>
      <w:r w:rsidR="001A508A">
        <w:t xml:space="preserve">ontext on the combined drinking variables, </w:t>
      </w:r>
      <w:r w:rsidR="002B7757" w:rsidRPr="002B7757">
        <w:rPr>
          <w:i/>
        </w:rPr>
        <w:t>F</w:t>
      </w:r>
      <w:r>
        <w:rPr>
          <w:i/>
        </w:rPr>
        <w:t xml:space="preserve"> </w:t>
      </w:r>
      <w:r w:rsidR="001A508A">
        <w:t>(2, 46)</w:t>
      </w:r>
      <w:r w:rsidR="00C62CE3">
        <w:t xml:space="preserve"> </w:t>
      </w:r>
      <w:r w:rsidR="001A508A">
        <w:t>=</w:t>
      </w:r>
      <w:r>
        <w:t xml:space="preserve"> </w:t>
      </w:r>
      <w:r w:rsidR="001A508A">
        <w:t>2</w:t>
      </w:r>
      <w:r w:rsidR="002817B0">
        <w:t>.</w:t>
      </w:r>
      <w:r w:rsidR="001A508A">
        <w:t xml:space="preserve">65, </w:t>
      </w:r>
      <w:r w:rsidR="00081DBA">
        <w:t xml:space="preserve"> </w:t>
      </w:r>
      <w:r w:rsidR="002B7757" w:rsidRPr="002B7757">
        <w:rPr>
          <w:i/>
        </w:rPr>
        <w:t>p</w:t>
      </w:r>
      <w:r>
        <w:t xml:space="preserve"> </w:t>
      </w:r>
      <w:r w:rsidR="001E6059">
        <w:t>&gt; .05</w:t>
      </w:r>
      <w:r w:rsidR="007F20B9">
        <w:t xml:space="preserve">, </w:t>
      </w:r>
      <w:proofErr w:type="spellStart"/>
      <w:r w:rsidR="007F20B9">
        <w:t>n.s</w:t>
      </w:r>
      <w:proofErr w:type="spellEnd"/>
      <w:r w:rsidR="007F20B9">
        <w:t>.</w:t>
      </w:r>
      <w:r w:rsidR="001A508A">
        <w:t xml:space="preserve">, and AUDIT scores were not significantly related to consumption variables, </w:t>
      </w:r>
      <w:r w:rsidR="002B7757" w:rsidRPr="002B7757">
        <w:rPr>
          <w:i/>
        </w:rPr>
        <w:t>F</w:t>
      </w:r>
      <w:r>
        <w:rPr>
          <w:i/>
        </w:rPr>
        <w:t xml:space="preserve"> </w:t>
      </w:r>
      <w:r w:rsidR="001A508A">
        <w:t>(2, 46) = 0</w:t>
      </w:r>
      <w:r w:rsidR="002817B0">
        <w:t>.</w:t>
      </w:r>
      <w:r w:rsidR="001A508A">
        <w:t xml:space="preserve">25, </w:t>
      </w:r>
      <w:r w:rsidR="002B7757" w:rsidRPr="002B7757">
        <w:rPr>
          <w:i/>
        </w:rPr>
        <w:t>p</w:t>
      </w:r>
      <w:r w:rsidR="001A508A">
        <w:t xml:space="preserve"> </w:t>
      </w:r>
      <w:r w:rsidR="001E6059">
        <w:t>&gt; .05</w:t>
      </w:r>
      <w:r w:rsidR="007F20B9">
        <w:t xml:space="preserve">, </w:t>
      </w:r>
      <w:proofErr w:type="spellStart"/>
      <w:r w:rsidR="007F20B9">
        <w:t>n.s</w:t>
      </w:r>
      <w:proofErr w:type="spellEnd"/>
      <w:r w:rsidR="001A508A">
        <w:t xml:space="preserve">. </w:t>
      </w:r>
      <w:proofErr w:type="spellStart"/>
      <w:r w:rsidR="004E27EE">
        <w:t>U</w:t>
      </w:r>
      <w:r w:rsidR="001A508A">
        <w:t>nivariate</w:t>
      </w:r>
      <w:proofErr w:type="spellEnd"/>
      <w:r w:rsidR="001A508A">
        <w:t xml:space="preserve"> ANOVAs revealed that the effect of </w:t>
      </w:r>
      <w:r w:rsidR="009134E8">
        <w:t>C</w:t>
      </w:r>
      <w:r w:rsidR="001A508A">
        <w:t xml:space="preserve">ontext had a significant effect on </w:t>
      </w:r>
      <w:r w:rsidR="001F7326">
        <w:t xml:space="preserve">beer and wine </w:t>
      </w:r>
      <w:r w:rsidR="001A508A">
        <w:t xml:space="preserve">consumption, </w:t>
      </w:r>
      <w:r w:rsidR="002B7757" w:rsidRPr="002B7757">
        <w:rPr>
          <w:i/>
        </w:rPr>
        <w:t>F</w:t>
      </w:r>
      <w:r>
        <w:rPr>
          <w:i/>
        </w:rPr>
        <w:t xml:space="preserve"> </w:t>
      </w:r>
      <w:r w:rsidR="001A508A">
        <w:t>(1, 47) = 4</w:t>
      </w:r>
      <w:r w:rsidR="002817B0">
        <w:t>.</w:t>
      </w:r>
      <w:r w:rsidR="001A508A">
        <w:t>34,</w:t>
      </w:r>
      <w:r>
        <w:t xml:space="preserve"> </w:t>
      </w:r>
      <w:r w:rsidR="001A508A">
        <w:t xml:space="preserve"> </w:t>
      </w:r>
      <w:r w:rsidR="002B7757" w:rsidRPr="002B7757">
        <w:rPr>
          <w:i/>
        </w:rPr>
        <w:t>p</w:t>
      </w:r>
      <w:r w:rsidR="001A508A">
        <w:t xml:space="preserve"> </w:t>
      </w:r>
      <w:r w:rsidR="001E6059">
        <w:t>&lt;.05</w:t>
      </w:r>
      <w:r w:rsidR="001A508A">
        <w:t>. O</w:t>
      </w:r>
      <w:r w:rsidR="001A508A">
        <w:rPr>
          <w:rFonts w:cs="Times New Roman"/>
        </w:rPr>
        <w:t>n average, participants in the bar drank more (</w:t>
      </w:r>
      <w:r w:rsidR="002B7757" w:rsidRPr="002B7757">
        <w:rPr>
          <w:rFonts w:cs="Times New Roman"/>
          <w:i/>
        </w:rPr>
        <w:t>M</w:t>
      </w:r>
      <w:r w:rsidR="001A508A">
        <w:rPr>
          <w:rFonts w:cs="Times New Roman"/>
        </w:rPr>
        <w:t xml:space="preserve"> = 154</w:t>
      </w:r>
      <w:r w:rsidR="002817B0">
        <w:t>.</w:t>
      </w:r>
      <w:r w:rsidR="001A508A">
        <w:rPr>
          <w:rFonts w:cs="Times New Roman"/>
        </w:rPr>
        <w:t xml:space="preserve">8ml, </w:t>
      </w:r>
      <w:r w:rsidR="002B7757" w:rsidRPr="002B7757">
        <w:rPr>
          <w:rFonts w:cs="Times New Roman"/>
          <w:i/>
        </w:rPr>
        <w:t>SD</w:t>
      </w:r>
      <w:r w:rsidR="001A508A">
        <w:rPr>
          <w:rFonts w:cs="Times New Roman"/>
        </w:rPr>
        <w:t xml:space="preserve"> = 107</w:t>
      </w:r>
      <w:r w:rsidR="002817B0">
        <w:t>.</w:t>
      </w:r>
      <w:r w:rsidR="001A508A">
        <w:rPr>
          <w:rFonts w:cs="Times New Roman"/>
        </w:rPr>
        <w:t>9) than participants in the lab (</w:t>
      </w:r>
      <w:r w:rsidR="002B7757" w:rsidRPr="002B7757">
        <w:rPr>
          <w:rFonts w:cs="Times New Roman"/>
          <w:i/>
        </w:rPr>
        <w:t>M</w:t>
      </w:r>
      <w:r w:rsidR="001A508A">
        <w:rPr>
          <w:rFonts w:cs="Times New Roman"/>
        </w:rPr>
        <w:t xml:space="preserve"> = 94</w:t>
      </w:r>
      <w:r w:rsidR="002817B0">
        <w:t>.</w:t>
      </w:r>
      <w:r w:rsidR="001A508A">
        <w:rPr>
          <w:rFonts w:cs="Times New Roman"/>
        </w:rPr>
        <w:t xml:space="preserve">6, </w:t>
      </w:r>
      <w:r w:rsidR="002B7757" w:rsidRPr="002B7757">
        <w:rPr>
          <w:rFonts w:cs="Times New Roman"/>
          <w:i/>
        </w:rPr>
        <w:t>SD</w:t>
      </w:r>
      <w:r w:rsidR="001A508A">
        <w:rPr>
          <w:rFonts w:cs="Times New Roman"/>
        </w:rPr>
        <w:t xml:space="preserve"> = 75</w:t>
      </w:r>
      <w:r w:rsidR="002817B0">
        <w:t>.</w:t>
      </w:r>
      <w:r w:rsidR="00A12752">
        <w:rPr>
          <w:rFonts w:cs="Times New Roman"/>
        </w:rPr>
        <w:t xml:space="preserve">5) (95% </w:t>
      </w:r>
      <w:r w:rsidR="001A508A">
        <w:rPr>
          <w:rFonts w:cs="Times New Roman"/>
        </w:rPr>
        <w:t>CI=</w:t>
      </w:r>
      <w:r w:rsidR="003214C9">
        <w:rPr>
          <w:rFonts w:cs="Times New Roman"/>
        </w:rPr>
        <w:t>1</w:t>
      </w:r>
      <w:r w:rsidR="002817B0">
        <w:t>.</w:t>
      </w:r>
      <w:r w:rsidR="003214C9">
        <w:rPr>
          <w:rFonts w:cs="Times New Roman"/>
        </w:rPr>
        <w:t xml:space="preserve">9 </w:t>
      </w:r>
      <w:r w:rsidR="001A508A">
        <w:rPr>
          <w:rFonts w:cs="Times New Roman"/>
        </w:rPr>
        <w:t xml:space="preserve">to </w:t>
      </w:r>
      <w:r w:rsidR="003214C9">
        <w:rPr>
          <w:rFonts w:cs="Times New Roman"/>
        </w:rPr>
        <w:t>114</w:t>
      </w:r>
      <w:r w:rsidR="002817B0">
        <w:t>.</w:t>
      </w:r>
      <w:r w:rsidR="003214C9">
        <w:rPr>
          <w:rFonts w:cs="Times New Roman"/>
        </w:rPr>
        <w:t>6</w:t>
      </w:r>
      <w:r w:rsidR="001A508A">
        <w:rPr>
          <w:rFonts w:cs="Times New Roman"/>
        </w:rPr>
        <w:t xml:space="preserve">). </w:t>
      </w:r>
      <w:r w:rsidR="001A508A">
        <w:t xml:space="preserve">There was no effect of </w:t>
      </w:r>
      <w:r w:rsidR="009134E8">
        <w:t>C</w:t>
      </w:r>
      <w:r w:rsidR="001A508A">
        <w:t xml:space="preserve">ontext on soft drink consumption, </w:t>
      </w:r>
      <w:r w:rsidR="002B7757" w:rsidRPr="002B7757">
        <w:rPr>
          <w:i/>
        </w:rPr>
        <w:t>F</w:t>
      </w:r>
      <w:r>
        <w:rPr>
          <w:i/>
        </w:rPr>
        <w:t xml:space="preserve"> </w:t>
      </w:r>
      <w:r w:rsidR="001A508A">
        <w:t>(1, 47)</w:t>
      </w:r>
      <w:r>
        <w:t xml:space="preserve"> </w:t>
      </w:r>
      <w:r w:rsidR="001A508A">
        <w:t>=</w:t>
      </w:r>
      <w:r>
        <w:t xml:space="preserve"> </w:t>
      </w:r>
      <w:r w:rsidR="001A508A">
        <w:t>0</w:t>
      </w:r>
      <w:r w:rsidR="002817B0">
        <w:t>.</w:t>
      </w:r>
      <w:r w:rsidR="001A508A">
        <w:t xml:space="preserve">05, </w:t>
      </w:r>
      <w:r w:rsidR="002B7757" w:rsidRPr="002B7757">
        <w:rPr>
          <w:i/>
        </w:rPr>
        <w:t>p</w:t>
      </w:r>
      <w:r w:rsidR="001A508A">
        <w:t xml:space="preserve"> </w:t>
      </w:r>
      <w:r w:rsidR="001E6059">
        <w:t>&gt; .05</w:t>
      </w:r>
      <w:r w:rsidR="007F20B9">
        <w:t xml:space="preserve">, </w:t>
      </w:r>
      <w:proofErr w:type="spellStart"/>
      <w:r w:rsidR="007F20B9">
        <w:t>n.s</w:t>
      </w:r>
      <w:proofErr w:type="spellEnd"/>
      <w:r w:rsidR="001A508A">
        <w:t xml:space="preserve">, </w:t>
      </w:r>
      <w:r w:rsidR="0086198D">
        <w:t>(bar mean=</w:t>
      </w:r>
      <w:r w:rsidR="001A508A">
        <w:t>89</w:t>
      </w:r>
      <w:r w:rsidR="002817B0">
        <w:t>.</w:t>
      </w:r>
      <w:r w:rsidR="001A508A">
        <w:t>2ml</w:t>
      </w:r>
      <w:r w:rsidR="0086198D">
        <w:t xml:space="preserve">, </w:t>
      </w:r>
      <w:r w:rsidR="00BE37EA" w:rsidRPr="00BE37EA">
        <w:rPr>
          <w:i/>
        </w:rPr>
        <w:t>SD</w:t>
      </w:r>
      <w:r w:rsidR="001A508A">
        <w:t>=57</w:t>
      </w:r>
      <w:r w:rsidR="002817B0">
        <w:t>.</w:t>
      </w:r>
      <w:r w:rsidR="0086198D">
        <w:t>6;</w:t>
      </w:r>
      <w:r w:rsidR="001A508A">
        <w:t xml:space="preserve"> </w:t>
      </w:r>
      <w:r w:rsidR="0086198D">
        <w:t>lab mean=</w:t>
      </w:r>
      <w:r w:rsidR="001A508A">
        <w:t>79</w:t>
      </w:r>
      <w:r w:rsidR="002817B0">
        <w:t>.</w:t>
      </w:r>
      <w:r w:rsidR="0086198D">
        <w:t xml:space="preserve">8ml, </w:t>
      </w:r>
      <w:r w:rsidR="00BE37EA" w:rsidRPr="00BE37EA">
        <w:rPr>
          <w:i/>
        </w:rPr>
        <w:t>SD</w:t>
      </w:r>
      <w:r w:rsidR="001A508A">
        <w:t>=83</w:t>
      </w:r>
      <w:r w:rsidR="002817B0">
        <w:t>.</w:t>
      </w:r>
      <w:r w:rsidR="0086198D">
        <w:t>7</w:t>
      </w:r>
      <w:r w:rsidR="00EA2850">
        <w:t xml:space="preserve">; </w:t>
      </w:r>
      <w:r w:rsidR="00A12752">
        <w:rPr>
          <w:rFonts w:cs="Times New Roman"/>
        </w:rPr>
        <w:t xml:space="preserve">95% </w:t>
      </w:r>
      <w:r w:rsidR="002252E2">
        <w:rPr>
          <w:rFonts w:cs="Times New Roman"/>
        </w:rPr>
        <w:t>CI</w:t>
      </w:r>
      <w:r w:rsidR="002252E2" w:rsidRPr="003214C9">
        <w:rPr>
          <w:rFonts w:cs="Times New Roman"/>
        </w:rPr>
        <w:t>=</w:t>
      </w:r>
      <w:r w:rsidR="00BE37EA" w:rsidRPr="00BE37EA">
        <w:rPr>
          <w:rFonts w:cs="Times New Roman"/>
        </w:rPr>
        <w:t>-38</w:t>
      </w:r>
      <w:r w:rsidR="002817B0">
        <w:t>.</w:t>
      </w:r>
      <w:r w:rsidR="003214C9" w:rsidRPr="003214C9">
        <w:rPr>
          <w:rFonts w:cs="Times New Roman"/>
        </w:rPr>
        <w:t>5</w:t>
      </w:r>
      <w:r w:rsidR="002252E2" w:rsidRPr="003214C9">
        <w:rPr>
          <w:rFonts w:cs="Times New Roman"/>
        </w:rPr>
        <w:t xml:space="preserve"> to </w:t>
      </w:r>
      <w:r w:rsidR="00BE37EA" w:rsidRPr="00BE37EA">
        <w:rPr>
          <w:rFonts w:cs="Times New Roman"/>
        </w:rPr>
        <w:t>48</w:t>
      </w:r>
      <w:r w:rsidR="002817B0">
        <w:t>.</w:t>
      </w:r>
      <w:r w:rsidR="003214C9" w:rsidRPr="003214C9">
        <w:rPr>
          <w:rFonts w:cs="Times New Roman"/>
        </w:rPr>
        <w:t>1</w:t>
      </w:r>
      <w:r w:rsidR="002252E2">
        <w:rPr>
          <w:rFonts w:cs="Times New Roman"/>
        </w:rPr>
        <w:t>)</w:t>
      </w:r>
      <w:r w:rsidR="001A508A">
        <w:t xml:space="preserve">. </w:t>
      </w:r>
      <w:r w:rsidR="00C07AB0">
        <w:t xml:space="preserve">Consistent with previous research (e.g. </w:t>
      </w:r>
      <w:r w:rsidR="001E6059" w:rsidRPr="00C07AB0">
        <w:t>Lau-</w:t>
      </w:r>
      <w:proofErr w:type="spellStart"/>
      <w:r w:rsidR="001E6059" w:rsidRPr="00C07AB0">
        <w:t>Barraco</w:t>
      </w:r>
      <w:proofErr w:type="spellEnd"/>
      <w:r w:rsidR="001E6059" w:rsidRPr="00C07AB0">
        <w:t xml:space="preserve"> &amp; Dunn, 2009</w:t>
      </w:r>
      <w:r w:rsidR="001E6059">
        <w:t xml:space="preserve">; </w:t>
      </w:r>
      <w:r w:rsidR="001E6059" w:rsidRPr="00C07AB0">
        <w:t xml:space="preserve">Wall </w:t>
      </w:r>
      <w:r w:rsidR="001E6059" w:rsidRPr="00C07AB0">
        <w:rPr>
          <w:i/>
        </w:rPr>
        <w:t>et al</w:t>
      </w:r>
      <w:r w:rsidR="001E6059" w:rsidRPr="00C07AB0">
        <w:t>., 2001;</w:t>
      </w:r>
      <w:r w:rsidR="001E6059">
        <w:t>Wigmore &amp; Hinson, 1991</w:t>
      </w:r>
      <w:r w:rsidR="00C07AB0">
        <w:t>), t</w:t>
      </w:r>
      <w:r w:rsidR="001A508A">
        <w:t xml:space="preserve">hese findings demonstrate that </w:t>
      </w:r>
      <w:r w:rsidR="00607A1F">
        <w:t>being in</w:t>
      </w:r>
      <w:r w:rsidR="001A508A">
        <w:t xml:space="preserve"> a bar context </w:t>
      </w:r>
      <w:r w:rsidR="00081DBA">
        <w:t>showed</w:t>
      </w:r>
      <w:r w:rsidR="00C07AB0">
        <w:t xml:space="preserve"> increases in drinking, </w:t>
      </w:r>
      <w:r w:rsidR="00C41ACD">
        <w:t xml:space="preserve">that this drinking </w:t>
      </w:r>
      <w:r w:rsidR="001A508A">
        <w:t xml:space="preserve">was specific to beverages </w:t>
      </w:r>
      <w:r w:rsidR="001A508A" w:rsidRPr="00C07AB0">
        <w:rPr>
          <w:i/>
        </w:rPr>
        <w:t>assumed</w:t>
      </w:r>
      <w:r w:rsidR="001A508A">
        <w:t xml:space="preserve"> </w:t>
      </w:r>
      <w:r w:rsidR="00C07AB0">
        <w:t>to contain</w:t>
      </w:r>
      <w:r w:rsidR="001A508A">
        <w:t xml:space="preserve"> alcohol</w:t>
      </w:r>
      <w:r w:rsidR="00C07AB0">
        <w:t>, and that</w:t>
      </w:r>
      <w:r w:rsidR="001A508A">
        <w:t xml:space="preserve"> this effect was not </w:t>
      </w:r>
      <w:r w:rsidR="00A12752">
        <w:t>influenced by</w:t>
      </w:r>
      <w:r w:rsidR="001A508A">
        <w:t xml:space="preserve"> di</w:t>
      </w:r>
      <w:r w:rsidR="00C07AB0">
        <w:t>fferences in drinking patterns (</w:t>
      </w:r>
      <w:r w:rsidR="001A508A">
        <w:t>AUDIT</w:t>
      </w:r>
      <w:r w:rsidR="00C07AB0">
        <w:t xml:space="preserve"> score)</w:t>
      </w:r>
      <w:r w:rsidR="001A508A">
        <w:t>.</w:t>
      </w:r>
    </w:p>
    <w:p w14:paraId="12CE93F6" w14:textId="77777777" w:rsidR="00D65D1B" w:rsidRPr="003C7C30" w:rsidRDefault="002B7757" w:rsidP="00D65D1B">
      <w:pPr>
        <w:spacing w:line="480" w:lineRule="auto"/>
        <w:jc w:val="center"/>
      </w:pPr>
      <w:r w:rsidRPr="003C7C30">
        <w:t>Experiment 2: Effect o</w:t>
      </w:r>
      <w:r w:rsidR="004B6C19" w:rsidRPr="003C7C30">
        <w:t xml:space="preserve">f </w:t>
      </w:r>
      <w:r w:rsidR="004E27EE" w:rsidRPr="003C7C30">
        <w:t>RDM</w:t>
      </w:r>
      <w:r w:rsidR="004B6C19" w:rsidRPr="003C7C30">
        <w:t xml:space="preserve"> Posters </w:t>
      </w:r>
      <w:r w:rsidRPr="003C7C30">
        <w:t>and Context on Alcohol Consumption</w:t>
      </w:r>
    </w:p>
    <w:p w14:paraId="1A0F125F" w14:textId="77777777" w:rsidR="001A508A" w:rsidRPr="00AD16C8" w:rsidRDefault="002B7757" w:rsidP="00411368">
      <w:pPr>
        <w:spacing w:line="480" w:lineRule="auto"/>
        <w:jc w:val="center"/>
        <w:rPr>
          <w:b/>
        </w:rPr>
      </w:pPr>
      <w:r w:rsidRPr="00AD16C8">
        <w:rPr>
          <w:b/>
        </w:rPr>
        <w:t>Method</w:t>
      </w:r>
    </w:p>
    <w:p w14:paraId="4F407D5C" w14:textId="05B2DDFE" w:rsidR="001A508A" w:rsidRPr="00D65D1B" w:rsidRDefault="00223FF7" w:rsidP="00D65D1B">
      <w:pPr>
        <w:spacing w:line="480" w:lineRule="auto"/>
        <w:rPr>
          <w:b/>
        </w:rPr>
      </w:pPr>
      <w:r>
        <w:tab/>
      </w:r>
      <w:r w:rsidR="00BE37EA" w:rsidRPr="00BE37EA">
        <w:t>An identical methodology was us</w:t>
      </w:r>
      <w:r w:rsidR="00EC621B">
        <w:t xml:space="preserve">ed as in </w:t>
      </w:r>
      <w:r w:rsidR="003214C9">
        <w:t>experiment</w:t>
      </w:r>
      <w:r w:rsidR="00F33A9A">
        <w:t xml:space="preserve"> 1</w:t>
      </w:r>
      <w:r w:rsidR="003214C9">
        <w:t xml:space="preserve"> with a sample comprising</w:t>
      </w:r>
      <w:r w:rsidR="003214C9" w:rsidRPr="003214C9">
        <w:t xml:space="preserve"> </w:t>
      </w:r>
      <w:r w:rsidR="006737F9">
        <w:t>35 non problem</w:t>
      </w:r>
      <w:r w:rsidR="003214C9">
        <w:t xml:space="preserve"> drinking females (</w:t>
      </w:r>
      <w:r w:rsidR="003214C9" w:rsidRPr="00700C19">
        <w:rPr>
          <w:i/>
        </w:rPr>
        <w:t>M</w:t>
      </w:r>
      <w:r w:rsidR="003214C9">
        <w:rPr>
          <w:vertAlign w:val="subscript"/>
        </w:rPr>
        <w:t>age</w:t>
      </w:r>
      <w:r w:rsidR="003214C9">
        <w:t>=23</w:t>
      </w:r>
      <w:r w:rsidR="002817B0">
        <w:t>.</w:t>
      </w:r>
      <w:r w:rsidR="003214C9">
        <w:t xml:space="preserve">2 years, </w:t>
      </w:r>
      <w:r w:rsidR="003214C9" w:rsidRPr="00700C19">
        <w:rPr>
          <w:i/>
        </w:rPr>
        <w:t>SD</w:t>
      </w:r>
      <w:r w:rsidR="003214C9">
        <w:t>=3</w:t>
      </w:r>
      <w:r w:rsidR="002817B0">
        <w:t>.</w:t>
      </w:r>
      <w:r w:rsidR="003214C9">
        <w:t>5</w:t>
      </w:r>
      <w:r w:rsidR="009659D3">
        <w:t>, range=18-26</w:t>
      </w:r>
      <w:r w:rsidR="003214C9">
        <w:t>).</w:t>
      </w:r>
      <w:r w:rsidR="00EC621B">
        <w:t xml:space="preserve"> </w:t>
      </w:r>
      <w:r w:rsidR="003214C9">
        <w:t>A</w:t>
      </w:r>
      <w:r w:rsidR="004E27EE">
        <w:t>n additional independent variable, Responsible Drinking Posters (</w:t>
      </w:r>
      <w:r w:rsidR="00EC621B">
        <w:t>RDP</w:t>
      </w:r>
      <w:r w:rsidR="004E27EE">
        <w:t>)</w:t>
      </w:r>
      <w:r w:rsidR="003214C9">
        <w:t>, was included in this experiment</w:t>
      </w:r>
      <w:r w:rsidR="004E27EE">
        <w:t>.</w:t>
      </w:r>
      <w:r w:rsidR="004E27EE" w:rsidRPr="004E27EE">
        <w:t xml:space="preserve"> </w:t>
      </w:r>
      <w:r w:rsidR="00F33A9A">
        <w:t xml:space="preserve">Five posters from a UK wide </w:t>
      </w:r>
      <w:r w:rsidR="004E27EE">
        <w:t>campaign entitled “Why let good times go bad</w:t>
      </w:r>
      <w:r w:rsidR="00D64065">
        <w:t>”</w:t>
      </w:r>
      <w:r w:rsidR="004E27EE">
        <w:t xml:space="preserve"> promoting responsible alcohol consumption</w:t>
      </w:r>
      <w:r w:rsidR="00BC4658">
        <w:t xml:space="preserve"> </w:t>
      </w:r>
      <w:r w:rsidR="004E27EE">
        <w:t>were displayed on walls in front of half of the participants in both the bar and lab contexts</w:t>
      </w:r>
      <w:r w:rsidR="00BC4658">
        <w:t>. E</w:t>
      </w:r>
      <w:r w:rsidR="009E19D4">
        <w:t xml:space="preserve">ach </w:t>
      </w:r>
      <w:r w:rsidR="00BC4658">
        <w:t xml:space="preserve">poster </w:t>
      </w:r>
      <w:r w:rsidR="009E19D4">
        <w:t xml:space="preserve">contained a specific message related to responsible drinking behaviour (available at: </w:t>
      </w:r>
      <w:r w:rsidR="00D306AD" w:rsidRPr="00D306AD">
        <w:t>http://www.drinksinitiatives.eu/details-dynamic.php?id=313</w:t>
      </w:r>
      <w:r w:rsidR="009E19D4">
        <w:t>)</w:t>
      </w:r>
      <w:r w:rsidR="004E27EE">
        <w:t xml:space="preserve">. </w:t>
      </w:r>
      <w:r w:rsidR="003214C9">
        <w:t xml:space="preserve">Control </w:t>
      </w:r>
      <w:r w:rsidR="004E27EE">
        <w:t>poster</w:t>
      </w:r>
      <w:r w:rsidR="003214C9">
        <w:t>s</w:t>
      </w:r>
      <w:r w:rsidR="004E27EE">
        <w:t xml:space="preserve"> advertising university </w:t>
      </w:r>
      <w:r w:rsidR="002817B0">
        <w:t xml:space="preserve">academic </w:t>
      </w:r>
      <w:r w:rsidR="004E27EE">
        <w:t xml:space="preserve">services were </w:t>
      </w:r>
      <w:r w:rsidR="004E27EE">
        <w:lastRenderedPageBreak/>
        <w:t xml:space="preserve">displayed to the other half of participants. </w:t>
      </w:r>
      <w:r w:rsidR="00D66482">
        <w:t>All p</w:t>
      </w:r>
      <w:r w:rsidR="004E27EE">
        <w:t xml:space="preserve">osters were </w:t>
      </w:r>
      <w:r w:rsidR="004E27EE" w:rsidRPr="00693F81">
        <w:t>297 × 420</w:t>
      </w:r>
      <w:r>
        <w:t xml:space="preserve"> </w:t>
      </w:r>
      <w:r w:rsidR="004E27EE">
        <w:t>mm, displayed in portrait orientation at eye-level.</w:t>
      </w:r>
    </w:p>
    <w:p w14:paraId="78160AC2" w14:textId="77777777" w:rsidR="001A508A" w:rsidRPr="00AD16C8" w:rsidRDefault="00223FF7" w:rsidP="00831EFC">
      <w:pPr>
        <w:spacing w:line="480" w:lineRule="auto"/>
        <w:jc w:val="center"/>
        <w:rPr>
          <w:b/>
        </w:rPr>
      </w:pPr>
      <w:r>
        <w:rPr>
          <w:b/>
        </w:rPr>
        <w:t xml:space="preserve"> </w:t>
      </w:r>
      <w:r w:rsidR="002B7757" w:rsidRPr="00AD16C8">
        <w:rPr>
          <w:b/>
        </w:rPr>
        <w:t>Results</w:t>
      </w:r>
      <w:r w:rsidR="00CC36EE">
        <w:rPr>
          <w:b/>
        </w:rPr>
        <w:t xml:space="preserve"> and Discussion</w:t>
      </w:r>
    </w:p>
    <w:p w14:paraId="00A7BA9A" w14:textId="1C69177D" w:rsidR="001A508A" w:rsidRDefault="00223FF7" w:rsidP="00773322">
      <w:pPr>
        <w:spacing w:line="480" w:lineRule="auto"/>
        <w:rPr>
          <w:rFonts w:cs="Times New Roman"/>
        </w:rPr>
      </w:pPr>
      <w:r>
        <w:tab/>
      </w:r>
      <w:proofErr w:type="gramStart"/>
      <w:r w:rsidR="001A508A">
        <w:t xml:space="preserve">A </w:t>
      </w:r>
      <w:r w:rsidR="00EC621B">
        <w:t>two</w:t>
      </w:r>
      <w:r w:rsidR="001A508A">
        <w:t>-way between</w:t>
      </w:r>
      <w:r w:rsidR="00CC36EE">
        <w:t>-</w:t>
      </w:r>
      <w:r w:rsidR="001A508A">
        <w:t>participants</w:t>
      </w:r>
      <w:proofErr w:type="gramEnd"/>
      <w:r w:rsidR="001A508A">
        <w:t xml:space="preserve"> ANOVA was conducted on the alcohol consumption data. Replicating the findings from Experiment 1, </w:t>
      </w:r>
      <w:r w:rsidR="001A508A">
        <w:rPr>
          <w:rFonts w:cs="Times New Roman"/>
        </w:rPr>
        <w:t xml:space="preserve">participants consumed significantly more </w:t>
      </w:r>
      <w:r w:rsidR="001F7326">
        <w:t>beer and wine</w:t>
      </w:r>
      <w:r w:rsidR="001F7326">
        <w:rPr>
          <w:rFonts w:cs="Times New Roman"/>
        </w:rPr>
        <w:t xml:space="preserve"> </w:t>
      </w:r>
      <w:r w:rsidR="001A508A">
        <w:rPr>
          <w:rFonts w:cs="Times New Roman"/>
        </w:rPr>
        <w:t>in the bar (</w:t>
      </w:r>
      <w:r w:rsidR="002B7757" w:rsidRPr="002B7757">
        <w:rPr>
          <w:rFonts w:cs="Times New Roman"/>
          <w:i/>
        </w:rPr>
        <w:t>M</w:t>
      </w:r>
      <w:r w:rsidR="001A508A">
        <w:rPr>
          <w:rFonts w:cs="Times New Roman"/>
          <w:i/>
        </w:rPr>
        <w:t xml:space="preserve"> </w:t>
      </w:r>
      <w:r w:rsidR="001A508A">
        <w:rPr>
          <w:rFonts w:cs="Times New Roman"/>
        </w:rPr>
        <w:t>= 230</w:t>
      </w:r>
      <w:r w:rsidR="002817B0">
        <w:t>.</w:t>
      </w:r>
      <w:r w:rsidR="001A508A">
        <w:rPr>
          <w:rFonts w:cs="Times New Roman"/>
        </w:rPr>
        <w:t xml:space="preserve">6ml, </w:t>
      </w:r>
      <w:r w:rsidR="002B7757" w:rsidRPr="002B7757">
        <w:rPr>
          <w:rFonts w:cs="Times New Roman"/>
          <w:i/>
        </w:rPr>
        <w:t>SD</w:t>
      </w:r>
      <w:r w:rsidR="001A508A">
        <w:rPr>
          <w:rFonts w:cs="Times New Roman"/>
          <w:i/>
        </w:rPr>
        <w:t xml:space="preserve"> </w:t>
      </w:r>
      <w:r w:rsidR="001A508A">
        <w:rPr>
          <w:rFonts w:cs="Times New Roman"/>
        </w:rPr>
        <w:t>= 90</w:t>
      </w:r>
      <w:r w:rsidR="002817B0">
        <w:t>.</w:t>
      </w:r>
      <w:r w:rsidR="001A508A">
        <w:rPr>
          <w:rFonts w:cs="Times New Roman"/>
        </w:rPr>
        <w:t>6) than the lab (</w:t>
      </w:r>
      <w:r w:rsidR="002B7757" w:rsidRPr="002B7757">
        <w:rPr>
          <w:rFonts w:cs="Times New Roman"/>
          <w:i/>
        </w:rPr>
        <w:t>M</w:t>
      </w:r>
      <w:r w:rsidR="001A508A">
        <w:rPr>
          <w:rFonts w:cs="Times New Roman"/>
          <w:i/>
        </w:rPr>
        <w:t xml:space="preserve"> </w:t>
      </w:r>
      <w:r w:rsidR="001A508A">
        <w:rPr>
          <w:rFonts w:cs="Times New Roman"/>
        </w:rPr>
        <w:t>= 126</w:t>
      </w:r>
      <w:r w:rsidR="002817B0">
        <w:t>.</w:t>
      </w:r>
      <w:r w:rsidR="001A508A">
        <w:rPr>
          <w:rFonts w:cs="Times New Roman"/>
        </w:rPr>
        <w:t xml:space="preserve">5, </w:t>
      </w:r>
      <w:r w:rsidR="002B7757" w:rsidRPr="002B7757">
        <w:rPr>
          <w:rFonts w:cs="Times New Roman"/>
          <w:i/>
        </w:rPr>
        <w:t>SD</w:t>
      </w:r>
      <w:r w:rsidR="001A508A">
        <w:rPr>
          <w:rFonts w:cs="Times New Roman"/>
          <w:i/>
        </w:rPr>
        <w:t xml:space="preserve"> </w:t>
      </w:r>
      <w:r w:rsidR="001A508A">
        <w:rPr>
          <w:rFonts w:cs="Times New Roman"/>
        </w:rPr>
        <w:t>= 44</w:t>
      </w:r>
      <w:r w:rsidR="002817B0">
        <w:t>.</w:t>
      </w:r>
      <w:r w:rsidR="001A508A">
        <w:rPr>
          <w:rFonts w:cs="Times New Roman"/>
        </w:rPr>
        <w:t>4)</w:t>
      </w:r>
      <w:r>
        <w:rPr>
          <w:rFonts w:cs="Times New Roman"/>
        </w:rPr>
        <w:t xml:space="preserve">, </w:t>
      </w:r>
      <w:r>
        <w:rPr>
          <w:rFonts w:cs="Times New Roman"/>
          <w:i/>
        </w:rPr>
        <w:t xml:space="preserve">F </w:t>
      </w:r>
      <w:r>
        <w:rPr>
          <w:rFonts w:cs="Times New Roman"/>
        </w:rPr>
        <w:t>(1,</w:t>
      </w:r>
      <w:r w:rsidR="00C14805">
        <w:rPr>
          <w:rFonts w:cs="Times New Roman"/>
        </w:rPr>
        <w:t xml:space="preserve"> </w:t>
      </w:r>
      <w:r>
        <w:rPr>
          <w:rFonts w:cs="Times New Roman"/>
        </w:rPr>
        <w:t xml:space="preserve">31) = </w:t>
      </w:r>
      <w:r w:rsidR="001D6317">
        <w:rPr>
          <w:rFonts w:cs="Times New Roman"/>
        </w:rPr>
        <w:t xml:space="preserve">18.3, </w:t>
      </w:r>
      <w:r w:rsidR="001D6317" w:rsidRPr="001E6059">
        <w:rPr>
          <w:rFonts w:cs="Times New Roman"/>
          <w:i/>
        </w:rPr>
        <w:t>p</w:t>
      </w:r>
      <w:r w:rsidR="001D6317">
        <w:rPr>
          <w:rFonts w:cs="Times New Roman"/>
        </w:rPr>
        <w:t xml:space="preserve"> &lt; .001 (95% CI=52.1 to 146.9)</w:t>
      </w:r>
      <w:r w:rsidR="001A508A">
        <w:rPr>
          <w:rFonts w:cs="Times New Roman"/>
        </w:rPr>
        <w:t xml:space="preserve">. Further, we found that in conditions where </w:t>
      </w:r>
      <w:r w:rsidR="003214C9">
        <w:rPr>
          <w:rFonts w:cs="Times New Roman"/>
        </w:rPr>
        <w:t>RDPs</w:t>
      </w:r>
      <w:r w:rsidR="001A508A">
        <w:rPr>
          <w:rFonts w:cs="Times New Roman"/>
        </w:rPr>
        <w:t xml:space="preserve"> were displayed, participants drank significantly more (</w:t>
      </w:r>
      <w:r w:rsidR="002B7757" w:rsidRPr="002B7757">
        <w:rPr>
          <w:rFonts w:cs="Times New Roman"/>
          <w:i/>
        </w:rPr>
        <w:t>M</w:t>
      </w:r>
      <w:r w:rsidR="001A508A">
        <w:rPr>
          <w:rFonts w:cs="Times New Roman"/>
          <w:i/>
        </w:rPr>
        <w:t xml:space="preserve"> </w:t>
      </w:r>
      <w:r w:rsidR="001A508A">
        <w:rPr>
          <w:rFonts w:cs="Times New Roman"/>
        </w:rPr>
        <w:t>= 210</w:t>
      </w:r>
      <w:r w:rsidR="002817B0">
        <w:t>.</w:t>
      </w:r>
      <w:r w:rsidR="001A508A">
        <w:rPr>
          <w:rFonts w:cs="Times New Roman"/>
        </w:rPr>
        <w:t xml:space="preserve">6, </w:t>
      </w:r>
      <w:r w:rsidR="002B7757" w:rsidRPr="002B7757">
        <w:rPr>
          <w:rFonts w:cs="Times New Roman"/>
          <w:i/>
        </w:rPr>
        <w:t>SD</w:t>
      </w:r>
      <w:r w:rsidR="001A508A">
        <w:rPr>
          <w:rFonts w:cs="Times New Roman"/>
          <w:i/>
        </w:rPr>
        <w:t xml:space="preserve"> </w:t>
      </w:r>
      <w:r w:rsidR="001A508A">
        <w:rPr>
          <w:rFonts w:cs="Times New Roman"/>
        </w:rPr>
        <w:t>= 87</w:t>
      </w:r>
      <w:r w:rsidR="002817B0">
        <w:t>.</w:t>
      </w:r>
      <w:r w:rsidR="001A508A">
        <w:rPr>
          <w:rFonts w:cs="Times New Roman"/>
        </w:rPr>
        <w:t xml:space="preserve">3) compared to those who were </w:t>
      </w:r>
      <w:r w:rsidR="00D66482">
        <w:rPr>
          <w:rFonts w:cs="Times New Roman"/>
        </w:rPr>
        <w:t>exposed to the control posters</w:t>
      </w:r>
      <w:r w:rsidR="001A508A">
        <w:rPr>
          <w:rFonts w:cs="Times New Roman"/>
        </w:rPr>
        <w:t xml:space="preserve"> (</w:t>
      </w:r>
      <w:r w:rsidR="002B7757" w:rsidRPr="002B7757">
        <w:rPr>
          <w:rFonts w:cs="Times New Roman"/>
          <w:i/>
        </w:rPr>
        <w:t>M</w:t>
      </w:r>
      <w:r w:rsidR="001A508A">
        <w:rPr>
          <w:rFonts w:cs="Times New Roman"/>
          <w:i/>
        </w:rPr>
        <w:t xml:space="preserve"> </w:t>
      </w:r>
      <w:r w:rsidR="001A508A">
        <w:rPr>
          <w:rFonts w:cs="Times New Roman"/>
        </w:rPr>
        <w:t>= 147</w:t>
      </w:r>
      <w:r w:rsidR="002817B0">
        <w:t>.</w:t>
      </w:r>
      <w:r w:rsidR="001A508A">
        <w:rPr>
          <w:rFonts w:cs="Times New Roman"/>
        </w:rPr>
        <w:t xml:space="preserve">6, </w:t>
      </w:r>
      <w:r w:rsidR="002B7757" w:rsidRPr="002B7757">
        <w:rPr>
          <w:rFonts w:cs="Times New Roman"/>
          <w:i/>
        </w:rPr>
        <w:t>SD</w:t>
      </w:r>
      <w:r w:rsidR="001A508A">
        <w:rPr>
          <w:rFonts w:cs="Times New Roman"/>
          <w:i/>
        </w:rPr>
        <w:t xml:space="preserve"> </w:t>
      </w:r>
      <w:r w:rsidR="001A508A">
        <w:rPr>
          <w:rFonts w:cs="Times New Roman"/>
        </w:rPr>
        <w:t>= 79</w:t>
      </w:r>
      <w:r w:rsidR="002817B0">
        <w:t>.</w:t>
      </w:r>
      <w:r w:rsidR="001A508A">
        <w:rPr>
          <w:rFonts w:cs="Times New Roman"/>
        </w:rPr>
        <w:t>7)</w:t>
      </w:r>
      <w:r w:rsidR="00CC36EE">
        <w:rPr>
          <w:rFonts w:cs="Times New Roman"/>
        </w:rPr>
        <w:t xml:space="preserve">, </w:t>
      </w:r>
      <w:r w:rsidR="001D6317">
        <w:rPr>
          <w:rFonts w:cs="Times New Roman"/>
          <w:i/>
        </w:rPr>
        <w:t xml:space="preserve">F </w:t>
      </w:r>
      <w:r w:rsidR="001D6317">
        <w:rPr>
          <w:rFonts w:cs="Times New Roman"/>
        </w:rPr>
        <w:t>(1,</w:t>
      </w:r>
      <w:r w:rsidR="00C14805">
        <w:rPr>
          <w:rFonts w:cs="Times New Roman"/>
        </w:rPr>
        <w:t xml:space="preserve"> </w:t>
      </w:r>
      <w:r w:rsidR="001D6317">
        <w:rPr>
          <w:rFonts w:cs="Times New Roman"/>
        </w:rPr>
        <w:t xml:space="preserve">31 = 5.5, </w:t>
      </w:r>
      <w:r w:rsidR="001D6317" w:rsidRPr="001E6059">
        <w:rPr>
          <w:rFonts w:cs="Times New Roman"/>
          <w:i/>
        </w:rPr>
        <w:t>p</w:t>
      </w:r>
      <w:r w:rsidR="001D6317">
        <w:rPr>
          <w:rFonts w:cs="Times New Roman"/>
        </w:rPr>
        <w:t xml:space="preserve"> &lt; .05, (95% CI = 7.09 to 101.91)</w:t>
      </w:r>
      <w:r w:rsidR="00D66482">
        <w:rPr>
          <w:rFonts w:cs="Times New Roman"/>
        </w:rPr>
        <w:t>.</w:t>
      </w:r>
      <w:r w:rsidR="00CC36EE">
        <w:rPr>
          <w:rFonts w:cs="Times New Roman"/>
        </w:rPr>
        <w:t xml:space="preserve"> The C</w:t>
      </w:r>
      <w:r w:rsidR="001A508A">
        <w:rPr>
          <w:rFonts w:cs="Times New Roman"/>
        </w:rPr>
        <w:t xml:space="preserve">ontext </w:t>
      </w:r>
      <w:r w:rsidR="001A508A" w:rsidRPr="00FB48E9">
        <w:rPr>
          <w:rFonts w:ascii="MS Gothic" w:eastAsia="MS Gothic"/>
          <w:color w:val="000000"/>
        </w:rPr>
        <w:t>×</w:t>
      </w:r>
      <w:r w:rsidR="001A508A">
        <w:rPr>
          <w:rFonts w:eastAsia="MS Gothic" w:cs="Times New Roman"/>
          <w:color w:val="000000"/>
        </w:rPr>
        <w:t xml:space="preserve"> </w:t>
      </w:r>
      <w:r w:rsidR="003214C9">
        <w:rPr>
          <w:rFonts w:eastAsia="MS Gothic" w:cs="Times New Roman"/>
          <w:color w:val="000000"/>
        </w:rPr>
        <w:t xml:space="preserve">RDP </w:t>
      </w:r>
      <w:r w:rsidR="001A508A">
        <w:rPr>
          <w:rFonts w:eastAsia="MS Gothic" w:cs="Times New Roman"/>
          <w:color w:val="000000"/>
        </w:rPr>
        <w:t xml:space="preserve">interaction term was not significant, </w:t>
      </w:r>
      <w:r w:rsidR="00BE37EA" w:rsidRPr="00BE37EA">
        <w:rPr>
          <w:rFonts w:eastAsia="MS Gothic" w:cs="Times New Roman"/>
          <w:color w:val="000000"/>
        </w:rPr>
        <w:t>sugg</w:t>
      </w:r>
      <w:r w:rsidR="003214C9">
        <w:rPr>
          <w:rFonts w:eastAsia="MS Gothic" w:cs="Times New Roman"/>
          <w:color w:val="000000"/>
        </w:rPr>
        <w:t>esting that both context and RDP</w:t>
      </w:r>
      <w:r w:rsidR="00BE37EA" w:rsidRPr="00BE37EA">
        <w:rPr>
          <w:rFonts w:eastAsia="MS Gothic" w:cs="Times New Roman"/>
          <w:color w:val="000000"/>
        </w:rPr>
        <w:t xml:space="preserve"> had an independent effect on consumption</w:t>
      </w:r>
      <w:r w:rsidR="001D6317">
        <w:rPr>
          <w:rFonts w:eastAsia="MS Gothic" w:cs="Times New Roman"/>
          <w:color w:val="000000"/>
        </w:rPr>
        <w:t xml:space="preserve">, </w:t>
      </w:r>
      <w:r w:rsidR="001D6317">
        <w:rPr>
          <w:rFonts w:eastAsia="MS Gothic" w:cs="Times New Roman"/>
          <w:i/>
          <w:color w:val="000000"/>
        </w:rPr>
        <w:t>F</w:t>
      </w:r>
      <w:r w:rsidR="001D6317">
        <w:rPr>
          <w:rFonts w:eastAsia="MS Gothic" w:cs="Times New Roman"/>
          <w:color w:val="000000"/>
        </w:rPr>
        <w:t xml:space="preserve"> (1,</w:t>
      </w:r>
      <w:r w:rsidR="00C14805">
        <w:rPr>
          <w:rFonts w:eastAsia="MS Gothic" w:cs="Times New Roman"/>
          <w:color w:val="000000"/>
        </w:rPr>
        <w:t xml:space="preserve"> </w:t>
      </w:r>
      <w:r w:rsidR="001D6317">
        <w:rPr>
          <w:rFonts w:eastAsia="MS Gothic" w:cs="Times New Roman"/>
          <w:color w:val="000000"/>
        </w:rPr>
        <w:t xml:space="preserve">31) = 0.006, </w:t>
      </w:r>
      <w:r w:rsidR="001D6317" w:rsidRPr="001E6059">
        <w:rPr>
          <w:rFonts w:eastAsia="MS Gothic" w:cs="Times New Roman"/>
          <w:i/>
          <w:color w:val="000000"/>
        </w:rPr>
        <w:t>p</w:t>
      </w:r>
      <w:r w:rsidR="001D6317">
        <w:rPr>
          <w:rFonts w:eastAsia="MS Gothic" w:cs="Times New Roman"/>
          <w:color w:val="000000"/>
        </w:rPr>
        <w:t xml:space="preserve"> </w:t>
      </w:r>
      <w:r w:rsidR="001E6059">
        <w:t>&gt; .05</w:t>
      </w:r>
      <w:r w:rsidR="001D6317">
        <w:rPr>
          <w:rFonts w:eastAsia="MS Gothic" w:cs="Times New Roman"/>
          <w:color w:val="000000"/>
        </w:rPr>
        <w:t xml:space="preserve">, </w:t>
      </w:r>
      <w:proofErr w:type="spellStart"/>
      <w:r w:rsidR="001D6317">
        <w:rPr>
          <w:rFonts w:eastAsia="MS Gothic" w:cs="Times New Roman"/>
          <w:color w:val="000000"/>
        </w:rPr>
        <w:t>n.s</w:t>
      </w:r>
      <w:proofErr w:type="spellEnd"/>
      <w:r w:rsidR="001D6317">
        <w:rPr>
          <w:rFonts w:eastAsia="MS Gothic" w:cs="Times New Roman"/>
          <w:color w:val="000000"/>
        </w:rPr>
        <w:t>.</w:t>
      </w:r>
      <w:r w:rsidR="00CC36EE">
        <w:rPr>
          <w:rFonts w:eastAsia="MS Gothic" w:cs="Times New Roman"/>
          <w:color w:val="000000"/>
        </w:rPr>
        <w:t xml:space="preserve"> (see</w:t>
      </w:r>
      <w:r w:rsidR="001A508A">
        <w:rPr>
          <w:rFonts w:cs="Times New Roman"/>
        </w:rPr>
        <w:t xml:space="preserve"> Figure 1</w:t>
      </w:r>
      <w:r w:rsidR="00CC36EE">
        <w:rPr>
          <w:rFonts w:cs="Times New Roman"/>
        </w:rPr>
        <w:t>)</w:t>
      </w:r>
      <w:r w:rsidR="001A508A">
        <w:rPr>
          <w:rFonts w:cs="Times New Roman"/>
        </w:rPr>
        <w:t>.</w:t>
      </w:r>
    </w:p>
    <w:p w14:paraId="3DAE5ED1" w14:textId="77777777" w:rsidR="00557651" w:rsidRDefault="00557651" w:rsidP="00557651">
      <w:pPr>
        <w:spacing w:line="480" w:lineRule="auto"/>
        <w:jc w:val="center"/>
        <w:rPr>
          <w:rFonts w:cs="Times New Roman"/>
        </w:rPr>
      </w:pPr>
      <w:r>
        <w:rPr>
          <w:rFonts w:cs="Times New Roman"/>
        </w:rPr>
        <w:t>[INSERT FIGURE 1 HERE]</w:t>
      </w:r>
    </w:p>
    <w:p w14:paraId="65784C98" w14:textId="77777777" w:rsidR="003F347C" w:rsidRDefault="001D6317" w:rsidP="00D65D1B">
      <w:pPr>
        <w:spacing w:line="480" w:lineRule="auto"/>
      </w:pPr>
      <w:r>
        <w:tab/>
      </w:r>
      <w:r w:rsidR="00CC36EE">
        <w:t>In essence</w:t>
      </w:r>
      <w:r w:rsidR="001A508A">
        <w:t xml:space="preserve"> the presence of </w:t>
      </w:r>
      <w:r>
        <w:t>RDPs</w:t>
      </w:r>
      <w:r w:rsidR="001A508A">
        <w:t xml:space="preserve"> when drinking </w:t>
      </w:r>
      <w:r w:rsidR="00CC36EE">
        <w:t>related</w:t>
      </w:r>
      <w:r w:rsidR="001A508A">
        <w:t xml:space="preserve"> to an increase in </w:t>
      </w:r>
      <w:r w:rsidR="001F7326">
        <w:t xml:space="preserve">beer and wine </w:t>
      </w:r>
      <w:r w:rsidR="00CC36EE">
        <w:t>consumption</w:t>
      </w:r>
      <w:r w:rsidR="001A508A">
        <w:t>. However, the</w:t>
      </w:r>
      <w:r w:rsidR="00B11E25">
        <w:t xml:space="preserve"> ‘full’</w:t>
      </w:r>
      <w:r w:rsidR="001A508A">
        <w:t xml:space="preserve"> Drinkaware Trust campaign from which these posters were drawn also included online information about responsible drinking, </w:t>
      </w:r>
      <w:r>
        <w:t>comprising</w:t>
      </w:r>
      <w:r w:rsidR="001A508A">
        <w:t xml:space="preserve"> practical advice on how to avoid alcohol-related harms</w:t>
      </w:r>
      <w:r>
        <w:t xml:space="preserve"> and</w:t>
      </w:r>
      <w:r w:rsidR="001A508A">
        <w:t xml:space="preserve"> an explanation of the messages displayed within</w:t>
      </w:r>
      <w:r w:rsidR="003F347C">
        <w:t xml:space="preserve"> each poster.</w:t>
      </w:r>
      <w:r w:rsidR="001F7326">
        <w:t xml:space="preserve"> To explore the impact of the full intervention, experiment 3 </w:t>
      </w:r>
      <w:r w:rsidR="00DC70FB">
        <w:t>replicated study</w:t>
      </w:r>
      <w:r w:rsidR="001F7326">
        <w:t xml:space="preserve"> </w:t>
      </w:r>
      <w:r>
        <w:t xml:space="preserve">2 </w:t>
      </w:r>
      <w:r w:rsidR="001F7326">
        <w:t>with the inclusion of an additional condition during which participants were asked to read the information provided online by the Drinkaware Trust</w:t>
      </w:r>
      <w:r>
        <w:t xml:space="preserve"> i.e. that </w:t>
      </w:r>
      <w:r w:rsidR="00C14805">
        <w:t>which accompanied</w:t>
      </w:r>
      <w:r w:rsidR="001F7326">
        <w:t xml:space="preserve"> the posters used.</w:t>
      </w:r>
    </w:p>
    <w:p w14:paraId="531F5243" w14:textId="77777777" w:rsidR="003F347C" w:rsidRPr="003C7C30" w:rsidRDefault="003F347C" w:rsidP="003F347C">
      <w:pPr>
        <w:spacing w:line="480" w:lineRule="auto"/>
        <w:jc w:val="center"/>
      </w:pPr>
      <w:r w:rsidRPr="003C7C30">
        <w:t>Experiment 3: Effect of Online Responsible Drinking Advice and Responsible Drinking Posters on Consumption</w:t>
      </w:r>
    </w:p>
    <w:p w14:paraId="73A3B585" w14:textId="7E604F71" w:rsidR="001A508A" w:rsidRPr="00D65D1B" w:rsidRDefault="001D6317" w:rsidP="00D65D1B">
      <w:pPr>
        <w:spacing w:line="480" w:lineRule="auto"/>
        <w:rPr>
          <w:b/>
        </w:rPr>
      </w:pPr>
      <w:r>
        <w:tab/>
      </w:r>
      <w:r w:rsidR="001A508A">
        <w:t xml:space="preserve">In </w:t>
      </w:r>
      <w:r>
        <w:t xml:space="preserve">this </w:t>
      </w:r>
      <w:r w:rsidR="00B11E25">
        <w:t>experiment</w:t>
      </w:r>
      <w:r w:rsidR="001A508A">
        <w:t xml:space="preserve"> we examine</w:t>
      </w:r>
      <w:r w:rsidR="00CC36EE">
        <w:t>d</w:t>
      </w:r>
      <w:r w:rsidR="001A508A">
        <w:t xml:space="preserve"> the effects of providing </w:t>
      </w:r>
      <w:r w:rsidR="00B11E25">
        <w:t>responsible drinking advice</w:t>
      </w:r>
      <w:r w:rsidR="001A508A">
        <w:t xml:space="preserve"> </w:t>
      </w:r>
      <w:r w:rsidR="00B11E25">
        <w:t xml:space="preserve">via an online resource </w:t>
      </w:r>
      <w:r w:rsidR="001A508A">
        <w:t xml:space="preserve">before participants were exposed to the posters and the </w:t>
      </w:r>
      <w:r w:rsidR="00556A4F">
        <w:t>TPT</w:t>
      </w:r>
      <w:r>
        <w:t xml:space="preserve">. </w:t>
      </w:r>
      <w:r w:rsidR="00CC36EE">
        <w:t xml:space="preserve"> W</w:t>
      </w:r>
      <w:r>
        <w:t>e</w:t>
      </w:r>
      <w:r w:rsidR="001A508A">
        <w:t xml:space="preserve"> </w:t>
      </w:r>
      <w:r w:rsidR="001A508A">
        <w:lastRenderedPageBreak/>
        <w:t>test</w:t>
      </w:r>
      <w:r>
        <w:t>ed</w:t>
      </w:r>
      <w:r w:rsidR="001A508A">
        <w:t xml:space="preserve"> the hypothesis that providing participants with such information outside of a drinking context would </w:t>
      </w:r>
      <w:r>
        <w:t>result in</w:t>
      </w:r>
      <w:r w:rsidR="008D04F4">
        <w:t xml:space="preserve"> the posters </w:t>
      </w:r>
      <w:r w:rsidR="001A508A">
        <w:t>act</w:t>
      </w:r>
      <w:r>
        <w:t>ing</w:t>
      </w:r>
      <w:r w:rsidR="001A508A">
        <w:t xml:space="preserve"> as a cue for the </w:t>
      </w:r>
      <w:r w:rsidR="00CC36EE">
        <w:t>RDMs</w:t>
      </w:r>
      <w:r w:rsidR="001A508A">
        <w:t xml:space="preserve"> and </w:t>
      </w:r>
      <w:r>
        <w:t xml:space="preserve">result in </w:t>
      </w:r>
      <w:r w:rsidR="001A508A">
        <w:t>reduce</w:t>
      </w:r>
      <w:r>
        <w:t>d</w:t>
      </w:r>
      <w:r w:rsidR="001A508A">
        <w:t xml:space="preserve"> </w:t>
      </w:r>
      <w:r w:rsidR="001F7326">
        <w:t>beer</w:t>
      </w:r>
      <w:r w:rsidR="00CC36EE">
        <w:t>/</w:t>
      </w:r>
      <w:r w:rsidR="001F7326">
        <w:t xml:space="preserve"> wine </w:t>
      </w:r>
      <w:r w:rsidR="001A508A">
        <w:t>consumption.</w:t>
      </w:r>
      <w:r w:rsidR="00B11E25">
        <w:t xml:space="preserve"> </w:t>
      </w:r>
      <w:r w:rsidR="00CC36EE">
        <w:t>Finally,</w:t>
      </w:r>
      <w:r>
        <w:t xml:space="preserve"> we </w:t>
      </w:r>
      <w:r w:rsidR="00B11E25">
        <w:t>explore</w:t>
      </w:r>
      <w:r>
        <w:t>d</w:t>
      </w:r>
      <w:r w:rsidR="00B11E25">
        <w:t xml:space="preserve"> whether </w:t>
      </w:r>
      <w:r>
        <w:t xml:space="preserve">any </w:t>
      </w:r>
      <w:r w:rsidR="00CC36EE">
        <w:t>effects shown</w:t>
      </w:r>
      <w:r w:rsidR="00B11E25">
        <w:t xml:space="preserve"> </w:t>
      </w:r>
      <w:r>
        <w:t xml:space="preserve">previously were </w:t>
      </w:r>
      <w:r w:rsidR="00B11E25">
        <w:t xml:space="preserve">evident amongst </w:t>
      </w:r>
      <w:r w:rsidR="00CC36EE">
        <w:t xml:space="preserve">both </w:t>
      </w:r>
      <w:r w:rsidR="00B11E25">
        <w:t xml:space="preserve">male </w:t>
      </w:r>
      <w:r w:rsidR="00CC36EE">
        <w:t xml:space="preserve">and female </w:t>
      </w:r>
      <w:r w:rsidR="00B11E25">
        <w:t>drinkers.</w:t>
      </w:r>
      <w:r w:rsidR="00801BB3">
        <w:t xml:space="preserve"> The inclusion of male participants in the subsequent two studies provided an opportunity to determine whether the effects observed in the previous studies were dependent on gender.</w:t>
      </w:r>
    </w:p>
    <w:p w14:paraId="6A779FB5" w14:textId="77777777" w:rsidR="001A508A" w:rsidRPr="00AD16C8" w:rsidRDefault="002B7757" w:rsidP="0084160B">
      <w:pPr>
        <w:spacing w:line="480" w:lineRule="auto"/>
        <w:jc w:val="center"/>
        <w:rPr>
          <w:b/>
        </w:rPr>
      </w:pPr>
      <w:r w:rsidRPr="00AD16C8">
        <w:rPr>
          <w:b/>
        </w:rPr>
        <w:t>Method</w:t>
      </w:r>
    </w:p>
    <w:p w14:paraId="0A36CE48" w14:textId="130EE5CE" w:rsidR="00B11E25" w:rsidRDefault="00CD116F" w:rsidP="00D65D1B">
      <w:pPr>
        <w:spacing w:line="480" w:lineRule="auto"/>
      </w:pPr>
      <w:r>
        <w:tab/>
      </w:r>
      <w:r w:rsidR="006737F9">
        <w:t>Eighty non problem</w:t>
      </w:r>
      <w:r w:rsidR="003214C9">
        <w:t xml:space="preserve"> drinking participants (30 male, 50 female; </w:t>
      </w:r>
      <w:r w:rsidR="003214C9" w:rsidRPr="002B7757">
        <w:rPr>
          <w:i/>
        </w:rPr>
        <w:t>M</w:t>
      </w:r>
      <w:r w:rsidR="003214C9" w:rsidRPr="002B7757">
        <w:rPr>
          <w:i/>
          <w:vertAlign w:val="subscript"/>
        </w:rPr>
        <w:t>age</w:t>
      </w:r>
      <w:r w:rsidR="003214C9">
        <w:t>=21</w:t>
      </w:r>
      <w:r w:rsidR="002817B0">
        <w:t>.</w:t>
      </w:r>
      <w:r w:rsidR="003214C9">
        <w:t xml:space="preserve">4 years, </w:t>
      </w:r>
      <w:r w:rsidR="003214C9" w:rsidRPr="002B7757">
        <w:rPr>
          <w:i/>
        </w:rPr>
        <w:t>SD</w:t>
      </w:r>
      <w:r w:rsidR="003214C9">
        <w:t>=1</w:t>
      </w:r>
      <w:r w:rsidR="002817B0">
        <w:t>.</w:t>
      </w:r>
      <w:r w:rsidR="003214C9">
        <w:t>5</w:t>
      </w:r>
      <w:r w:rsidR="00024B1C">
        <w:t xml:space="preserve">, </w:t>
      </w:r>
      <w:r w:rsidR="00024B1C" w:rsidRPr="001E6059">
        <w:rPr>
          <w:i/>
        </w:rPr>
        <w:t>range</w:t>
      </w:r>
      <w:r w:rsidR="00024B1C">
        <w:t>=18-23</w:t>
      </w:r>
      <w:r w:rsidR="003214C9">
        <w:t>) took part in this experiment, with</w:t>
      </w:r>
      <w:r w:rsidR="00556A4F">
        <w:t xml:space="preserve"> additional website information </w:t>
      </w:r>
      <w:r w:rsidR="00556A4F" w:rsidRPr="003214C9">
        <w:t>(</w:t>
      </w:r>
      <w:r w:rsidRPr="00AD16C8">
        <w:t>http://www.drinkaware.co.uk/campaigns/2010/why-let-good-times-go-bad</w:t>
      </w:r>
      <w:r w:rsidR="00556A4F" w:rsidRPr="003214C9">
        <w:t>, retrieved 3</w:t>
      </w:r>
      <w:r w:rsidR="00556A4F" w:rsidRPr="003214C9">
        <w:rPr>
          <w:vertAlign w:val="superscript"/>
        </w:rPr>
        <w:t>rd</w:t>
      </w:r>
      <w:r w:rsidR="00556A4F" w:rsidRPr="003214C9">
        <w:t xml:space="preserve"> July 2012)</w:t>
      </w:r>
      <w:r w:rsidR="00556A4F">
        <w:t xml:space="preserve"> </w:t>
      </w:r>
      <w:r w:rsidR="003214C9">
        <w:t>being</w:t>
      </w:r>
      <w:r w:rsidR="00556A4F">
        <w:t xml:space="preserve"> presented to half of </w:t>
      </w:r>
      <w:r w:rsidR="00B11E25">
        <w:t>the participants</w:t>
      </w:r>
      <w:r w:rsidR="003214C9">
        <w:t xml:space="preserve"> in a separate room to that used for the TPT</w:t>
      </w:r>
      <w:r w:rsidR="00E23AB9">
        <w:t>.</w:t>
      </w:r>
      <w:r w:rsidR="00556A4F">
        <w:t xml:space="preserve"> </w:t>
      </w:r>
      <w:r w:rsidR="00CC36EE">
        <w:t>T</w:t>
      </w:r>
      <w:r w:rsidR="00CC36EE" w:rsidRPr="00CC36EE">
        <w:t xml:space="preserve">o encourage engagement with the content </w:t>
      </w:r>
      <w:r w:rsidR="00CC36EE">
        <w:t>p</w:t>
      </w:r>
      <w:r w:rsidR="00556A4F">
        <w:t xml:space="preserve">articipants were asked to read the information </w:t>
      </w:r>
      <w:r w:rsidR="00CC36EE">
        <w:t>carefully</w:t>
      </w:r>
      <w:r w:rsidR="00556A4F">
        <w:t xml:space="preserve"> and were informed that they would be asked questions about the information contained within the website afterwards</w:t>
      </w:r>
      <w:r w:rsidR="00785A4D">
        <w:t xml:space="preserve">. </w:t>
      </w:r>
      <w:r w:rsidR="00906A4D">
        <w:t>As in the previous two experiments, the AUDIT questionnaire was used to screen</w:t>
      </w:r>
      <w:r w:rsidR="00252D50">
        <w:t xml:space="preserve"> potentially dependent drinkers</w:t>
      </w:r>
      <w:r w:rsidR="00906A4D">
        <w:t>.</w:t>
      </w:r>
      <w:r w:rsidR="002B38B8">
        <w:t xml:space="preserve"> The design of this study followed the same format as Experiment 2, with the addition of the brief information as a new independent variable.</w:t>
      </w:r>
    </w:p>
    <w:p w14:paraId="7394465E" w14:textId="77777777" w:rsidR="001A508A" w:rsidRPr="00AD16C8" w:rsidRDefault="002B7757" w:rsidP="00D46A19">
      <w:pPr>
        <w:spacing w:line="480" w:lineRule="auto"/>
        <w:jc w:val="center"/>
        <w:rPr>
          <w:b/>
        </w:rPr>
      </w:pPr>
      <w:r w:rsidRPr="00AD16C8">
        <w:rPr>
          <w:b/>
        </w:rPr>
        <w:t>Results</w:t>
      </w:r>
      <w:r w:rsidR="00D2730F">
        <w:rPr>
          <w:b/>
        </w:rPr>
        <w:t xml:space="preserve"> and Discussion</w:t>
      </w:r>
    </w:p>
    <w:p w14:paraId="1A5C766B" w14:textId="14089B52" w:rsidR="001A508A" w:rsidRDefault="00CD116F" w:rsidP="00D65D1B">
      <w:pPr>
        <w:spacing w:line="480" w:lineRule="auto"/>
        <w:rPr>
          <w:rFonts w:cs="Times New Roman"/>
        </w:rPr>
      </w:pPr>
      <w:r>
        <w:tab/>
      </w:r>
      <w:r w:rsidR="00D2730F">
        <w:t xml:space="preserve">Initial analysis showed </w:t>
      </w:r>
      <w:proofErr w:type="gramStart"/>
      <w:r w:rsidR="00D2730F" w:rsidRPr="00D2730F">
        <w:t>no main effe</w:t>
      </w:r>
      <w:r w:rsidR="00D2730F">
        <w:t xml:space="preserve">ct of drinking context </w:t>
      </w:r>
      <w:r w:rsidR="00D2730F" w:rsidRPr="00D2730F">
        <w:t>nor</w:t>
      </w:r>
      <w:proofErr w:type="gramEnd"/>
      <w:r w:rsidR="00D2730F" w:rsidRPr="00D2730F">
        <w:t xml:space="preserve"> any signif</w:t>
      </w:r>
      <w:r w:rsidR="00D2730F">
        <w:t xml:space="preserve">icant interactions involving it and </w:t>
      </w:r>
      <w:r w:rsidR="00D2730F" w:rsidRPr="00D2730F">
        <w:t xml:space="preserve">for ease of interpretation </w:t>
      </w:r>
      <w:r w:rsidR="00D2730F">
        <w:t>a</w:t>
      </w:r>
      <w:r w:rsidR="00E30060">
        <w:t xml:space="preserve"> two</w:t>
      </w:r>
      <w:r w:rsidR="00D2730F" w:rsidRPr="00D2730F">
        <w:t xml:space="preserve">-way ANOVA has been presented. An analysis by gender was </w:t>
      </w:r>
      <w:r w:rsidR="00D2730F">
        <w:t>also found to be non-significant</w:t>
      </w:r>
      <w:r w:rsidR="00D2730F" w:rsidRPr="00D2730F">
        <w:t xml:space="preserve"> and was not included in the analysis. All effects</w:t>
      </w:r>
      <w:r w:rsidR="00E30060">
        <w:t xml:space="preserve"> reported here remained when a three</w:t>
      </w:r>
      <w:r w:rsidR="00D2730F" w:rsidRPr="00D2730F">
        <w:t>-way model, including either gender or context, was used.</w:t>
      </w:r>
      <w:r w:rsidR="00D2730F">
        <w:t xml:space="preserve"> </w:t>
      </w:r>
      <w:r w:rsidR="00D2730F" w:rsidRPr="00D2730F">
        <w:t>Replicating results found in experiment 2</w:t>
      </w:r>
      <w:r w:rsidR="00D2730F">
        <w:t xml:space="preserve"> the</w:t>
      </w:r>
      <w:r w:rsidR="001A508A">
        <w:t xml:space="preserve"> </w:t>
      </w:r>
      <w:r w:rsidR="00556A4F">
        <w:t>two</w:t>
      </w:r>
      <w:r w:rsidR="001A508A">
        <w:t xml:space="preserve">-way ANOVA </w:t>
      </w:r>
      <w:r w:rsidR="00D2730F">
        <w:t xml:space="preserve">showed that </w:t>
      </w:r>
      <w:r w:rsidR="00556A4F">
        <w:rPr>
          <w:rFonts w:cs="Times New Roman"/>
        </w:rPr>
        <w:t>p</w:t>
      </w:r>
      <w:r w:rsidR="001A508A">
        <w:rPr>
          <w:rFonts w:cs="Times New Roman"/>
        </w:rPr>
        <w:t xml:space="preserve">articipants presented with </w:t>
      </w:r>
      <w:r w:rsidR="003214C9">
        <w:rPr>
          <w:rFonts w:cs="Times New Roman"/>
        </w:rPr>
        <w:t>RDPs</w:t>
      </w:r>
      <w:r w:rsidR="001A508A">
        <w:rPr>
          <w:rFonts w:cs="Times New Roman"/>
        </w:rPr>
        <w:t xml:space="preserve"> drank significantly more (</w:t>
      </w:r>
      <w:r w:rsidR="002B7757" w:rsidRPr="002B7757">
        <w:rPr>
          <w:rFonts w:cs="Times New Roman"/>
          <w:i/>
        </w:rPr>
        <w:t>M</w:t>
      </w:r>
      <w:r w:rsidR="001A508A">
        <w:rPr>
          <w:rFonts w:cs="Times New Roman"/>
          <w:i/>
        </w:rPr>
        <w:t xml:space="preserve"> </w:t>
      </w:r>
      <w:r w:rsidR="001A508A">
        <w:rPr>
          <w:rFonts w:cs="Times New Roman"/>
        </w:rPr>
        <w:t xml:space="preserve">= </w:t>
      </w:r>
      <w:r w:rsidR="00773322">
        <w:rPr>
          <w:rFonts w:cs="Times New Roman"/>
        </w:rPr>
        <w:t>111</w:t>
      </w:r>
      <w:r w:rsidR="002817B0">
        <w:t>.</w:t>
      </w:r>
      <w:r w:rsidR="00773322">
        <w:rPr>
          <w:rFonts w:cs="Times New Roman"/>
        </w:rPr>
        <w:t>0</w:t>
      </w:r>
      <w:r w:rsidR="001A508A">
        <w:rPr>
          <w:rFonts w:cs="Times New Roman"/>
        </w:rPr>
        <w:t xml:space="preserve">, </w:t>
      </w:r>
      <w:r w:rsidR="002B7757" w:rsidRPr="002B7757">
        <w:rPr>
          <w:rFonts w:cs="Times New Roman"/>
          <w:i/>
        </w:rPr>
        <w:t>SD</w:t>
      </w:r>
      <w:r w:rsidR="001A508A">
        <w:rPr>
          <w:rFonts w:cs="Times New Roman"/>
          <w:i/>
        </w:rPr>
        <w:t xml:space="preserve"> </w:t>
      </w:r>
      <w:r w:rsidR="001A508A">
        <w:rPr>
          <w:rFonts w:cs="Times New Roman"/>
        </w:rPr>
        <w:t xml:space="preserve">= </w:t>
      </w:r>
      <w:r w:rsidR="00773322">
        <w:rPr>
          <w:rFonts w:cs="Times New Roman"/>
        </w:rPr>
        <w:t>44</w:t>
      </w:r>
      <w:r w:rsidR="002817B0">
        <w:t>.</w:t>
      </w:r>
      <w:r w:rsidR="00773322">
        <w:rPr>
          <w:rFonts w:cs="Times New Roman"/>
        </w:rPr>
        <w:t>6</w:t>
      </w:r>
      <w:r w:rsidR="001A508A">
        <w:rPr>
          <w:rFonts w:cs="Times New Roman"/>
        </w:rPr>
        <w:t>) than those who were not (</w:t>
      </w:r>
      <w:r w:rsidR="002B7757" w:rsidRPr="002B7757">
        <w:rPr>
          <w:rFonts w:cs="Times New Roman"/>
          <w:i/>
        </w:rPr>
        <w:t>M</w:t>
      </w:r>
      <w:r w:rsidR="001A508A">
        <w:rPr>
          <w:rFonts w:cs="Times New Roman"/>
          <w:i/>
        </w:rPr>
        <w:t xml:space="preserve"> </w:t>
      </w:r>
      <w:r w:rsidR="001A508A">
        <w:rPr>
          <w:rFonts w:cs="Times New Roman"/>
        </w:rPr>
        <w:t xml:space="preserve">= </w:t>
      </w:r>
      <w:r w:rsidR="00773322">
        <w:rPr>
          <w:rFonts w:cs="Times New Roman"/>
        </w:rPr>
        <w:t>74</w:t>
      </w:r>
      <w:r w:rsidR="002817B0">
        <w:t>.</w:t>
      </w:r>
      <w:r w:rsidR="00773322">
        <w:rPr>
          <w:rFonts w:cs="Times New Roman"/>
        </w:rPr>
        <w:t>6</w:t>
      </w:r>
      <w:r w:rsidR="001A508A">
        <w:rPr>
          <w:rFonts w:cs="Times New Roman"/>
        </w:rPr>
        <w:t xml:space="preserve">, </w:t>
      </w:r>
      <w:r w:rsidR="002B7757" w:rsidRPr="002B7757">
        <w:rPr>
          <w:rFonts w:cs="Times New Roman"/>
          <w:i/>
        </w:rPr>
        <w:t>SD</w:t>
      </w:r>
      <w:r w:rsidR="001A508A">
        <w:rPr>
          <w:rFonts w:cs="Times New Roman"/>
          <w:i/>
        </w:rPr>
        <w:t xml:space="preserve"> </w:t>
      </w:r>
      <w:r w:rsidR="001A508A">
        <w:rPr>
          <w:rFonts w:cs="Times New Roman"/>
        </w:rPr>
        <w:t xml:space="preserve">= </w:t>
      </w:r>
      <w:r w:rsidR="00773322">
        <w:rPr>
          <w:rFonts w:cs="Times New Roman"/>
        </w:rPr>
        <w:t>49</w:t>
      </w:r>
      <w:r w:rsidR="002817B0">
        <w:t>.</w:t>
      </w:r>
      <w:r w:rsidR="00773322">
        <w:rPr>
          <w:rFonts w:cs="Times New Roman"/>
        </w:rPr>
        <w:t>6</w:t>
      </w:r>
      <w:r w:rsidR="001A508A">
        <w:rPr>
          <w:rFonts w:cs="Times New Roman"/>
        </w:rPr>
        <w:t>)</w:t>
      </w:r>
      <w:r>
        <w:rPr>
          <w:rFonts w:cs="Times New Roman"/>
        </w:rPr>
        <w:t xml:space="preserve">, </w:t>
      </w:r>
      <w:r>
        <w:rPr>
          <w:rFonts w:cs="Times New Roman"/>
          <w:i/>
        </w:rPr>
        <w:t>F</w:t>
      </w:r>
      <w:r>
        <w:rPr>
          <w:rFonts w:cs="Times New Roman"/>
        </w:rPr>
        <w:t xml:space="preserve"> (1</w:t>
      </w:r>
      <w:proofErr w:type="gramStart"/>
      <w:r>
        <w:rPr>
          <w:rFonts w:cs="Times New Roman"/>
        </w:rPr>
        <w:t>,76</w:t>
      </w:r>
      <w:proofErr w:type="gramEnd"/>
      <w:r>
        <w:rPr>
          <w:rFonts w:cs="Times New Roman"/>
        </w:rPr>
        <w:t xml:space="preserve">) = 12.7, </w:t>
      </w:r>
      <w:r w:rsidRPr="001E6059">
        <w:rPr>
          <w:rFonts w:cs="Times New Roman"/>
          <w:i/>
        </w:rPr>
        <w:t>p</w:t>
      </w:r>
      <w:r>
        <w:rPr>
          <w:rFonts w:cs="Times New Roman"/>
        </w:rPr>
        <w:t xml:space="preserve"> &lt; .001 (95% CI = </w:t>
      </w:r>
      <w:r>
        <w:rPr>
          <w:rFonts w:cs="Times New Roman"/>
        </w:rPr>
        <w:lastRenderedPageBreak/>
        <w:t>16.1 to 56.9)</w:t>
      </w:r>
      <w:r w:rsidR="001A508A">
        <w:rPr>
          <w:rFonts w:cs="Times New Roman"/>
        </w:rPr>
        <w:t xml:space="preserve">. There was no </w:t>
      </w:r>
      <w:r w:rsidR="00556A4F">
        <w:rPr>
          <w:rFonts w:cs="Times New Roman"/>
        </w:rPr>
        <w:t>effect of present</w:t>
      </w:r>
      <w:r w:rsidR="003214C9">
        <w:rPr>
          <w:rFonts w:cs="Times New Roman"/>
        </w:rPr>
        <w:t xml:space="preserve">ing </w:t>
      </w:r>
      <w:r w:rsidR="00B11E25">
        <w:rPr>
          <w:rFonts w:cs="Times New Roman"/>
        </w:rPr>
        <w:t>o</w:t>
      </w:r>
      <w:r w:rsidR="00556A4F">
        <w:rPr>
          <w:rFonts w:cs="Times New Roman"/>
        </w:rPr>
        <w:t xml:space="preserve">nline </w:t>
      </w:r>
      <w:r w:rsidR="00B11E25">
        <w:rPr>
          <w:rFonts w:cs="Times New Roman"/>
        </w:rPr>
        <w:t>i</w:t>
      </w:r>
      <w:r w:rsidR="00556A4F">
        <w:rPr>
          <w:rFonts w:cs="Times New Roman"/>
        </w:rPr>
        <w:t>nformation on consumption</w:t>
      </w:r>
      <w:r w:rsidR="001A508A">
        <w:rPr>
          <w:rFonts w:cs="Times New Roman"/>
        </w:rPr>
        <w:t xml:space="preserve">, </w:t>
      </w:r>
      <w:r>
        <w:rPr>
          <w:rFonts w:cs="Times New Roman"/>
          <w:i/>
        </w:rPr>
        <w:t xml:space="preserve">F </w:t>
      </w:r>
      <w:r w:rsidRPr="00AD16C8">
        <w:rPr>
          <w:rFonts w:cs="Times New Roman"/>
        </w:rPr>
        <w:t>(1</w:t>
      </w:r>
      <w:proofErr w:type="gramStart"/>
      <w:r w:rsidRPr="00AD16C8">
        <w:rPr>
          <w:rFonts w:cs="Times New Roman"/>
        </w:rPr>
        <w:t>,76</w:t>
      </w:r>
      <w:proofErr w:type="gramEnd"/>
      <w:r w:rsidRPr="00AD16C8">
        <w:rPr>
          <w:rFonts w:cs="Times New Roman"/>
        </w:rPr>
        <w:t>)</w:t>
      </w:r>
      <w:r>
        <w:rPr>
          <w:rFonts w:cs="Times New Roman"/>
        </w:rPr>
        <w:t xml:space="preserve"> = 0.76, </w:t>
      </w:r>
      <w:r w:rsidRPr="001E6059">
        <w:rPr>
          <w:rFonts w:cs="Times New Roman"/>
          <w:i/>
        </w:rPr>
        <w:t>p</w:t>
      </w:r>
      <w:r>
        <w:rPr>
          <w:rFonts w:cs="Times New Roman"/>
        </w:rPr>
        <w:t xml:space="preserve"> </w:t>
      </w:r>
      <w:r w:rsidR="001E6059">
        <w:t>&gt; .05</w:t>
      </w:r>
      <w:r>
        <w:rPr>
          <w:rFonts w:cs="Times New Roman"/>
        </w:rPr>
        <w:t xml:space="preserve">, </w:t>
      </w:r>
      <w:proofErr w:type="spellStart"/>
      <w:r>
        <w:rPr>
          <w:rFonts w:cs="Times New Roman"/>
        </w:rPr>
        <w:t>n.s</w:t>
      </w:r>
      <w:proofErr w:type="spellEnd"/>
      <w:r>
        <w:rPr>
          <w:rFonts w:cs="Times New Roman"/>
        </w:rPr>
        <w:t>. (95% CI = -11.5 to 29.3),</w:t>
      </w:r>
      <w:r>
        <w:rPr>
          <w:rFonts w:cs="Times New Roman"/>
          <w:i/>
        </w:rPr>
        <w:t xml:space="preserve"> </w:t>
      </w:r>
      <w:r w:rsidR="001A508A">
        <w:rPr>
          <w:rFonts w:cs="Times New Roman"/>
        </w:rPr>
        <w:t xml:space="preserve">but the RDP x Online Information </w:t>
      </w:r>
      <w:r w:rsidR="00B11E25">
        <w:rPr>
          <w:rFonts w:cs="Times New Roman"/>
        </w:rPr>
        <w:t xml:space="preserve">conditions </w:t>
      </w:r>
      <w:r w:rsidR="001A508A">
        <w:rPr>
          <w:rFonts w:cs="Times New Roman"/>
        </w:rPr>
        <w:t>interaction was significant (see Figure 2)</w:t>
      </w:r>
      <w:r>
        <w:rPr>
          <w:rFonts w:cs="Times New Roman"/>
        </w:rPr>
        <w:t xml:space="preserve">, </w:t>
      </w:r>
      <w:r>
        <w:rPr>
          <w:rFonts w:cs="Times New Roman"/>
          <w:i/>
        </w:rPr>
        <w:t xml:space="preserve">F </w:t>
      </w:r>
      <w:r>
        <w:rPr>
          <w:rFonts w:cs="Times New Roman"/>
        </w:rPr>
        <w:t xml:space="preserve">(1,76) = 5.67, </w:t>
      </w:r>
      <w:r w:rsidRPr="001E6059">
        <w:rPr>
          <w:rFonts w:cs="Times New Roman"/>
          <w:i/>
        </w:rPr>
        <w:t>p</w:t>
      </w:r>
      <w:r>
        <w:rPr>
          <w:rFonts w:cs="Times New Roman"/>
        </w:rPr>
        <w:t xml:space="preserve"> &lt; .05</w:t>
      </w:r>
      <w:r w:rsidR="001A508A">
        <w:rPr>
          <w:rFonts w:cs="Times New Roman"/>
        </w:rPr>
        <w:t xml:space="preserve">. Simple effects analysis revealed that when </w:t>
      </w:r>
      <w:r w:rsidR="00B11E25">
        <w:rPr>
          <w:rFonts w:cs="Times New Roman"/>
        </w:rPr>
        <w:t>o</w:t>
      </w:r>
      <w:r w:rsidR="001A508A">
        <w:rPr>
          <w:rFonts w:cs="Times New Roman"/>
        </w:rPr>
        <w:t xml:space="preserve">nline </w:t>
      </w:r>
      <w:r w:rsidR="00B11E25">
        <w:rPr>
          <w:rFonts w:cs="Times New Roman"/>
        </w:rPr>
        <w:t>i</w:t>
      </w:r>
      <w:r w:rsidR="001A508A">
        <w:rPr>
          <w:rFonts w:cs="Times New Roman"/>
        </w:rPr>
        <w:t>nformation was not presented</w:t>
      </w:r>
      <w:r w:rsidR="00D2730F">
        <w:rPr>
          <w:rFonts w:cs="Times New Roman"/>
        </w:rPr>
        <w:t>,</w:t>
      </w:r>
      <w:r w:rsidR="001A508A">
        <w:rPr>
          <w:rFonts w:cs="Times New Roman"/>
        </w:rPr>
        <w:t xml:space="preserve"> </w:t>
      </w:r>
      <w:r w:rsidR="00B11E25">
        <w:rPr>
          <w:rFonts w:cs="Times New Roman"/>
        </w:rPr>
        <w:t xml:space="preserve">those presented with </w:t>
      </w:r>
      <w:r w:rsidR="001A508A">
        <w:rPr>
          <w:rFonts w:cs="Times New Roman"/>
        </w:rPr>
        <w:t xml:space="preserve">RDP </w:t>
      </w:r>
      <w:r w:rsidR="00B11E25">
        <w:rPr>
          <w:rFonts w:cs="Times New Roman"/>
        </w:rPr>
        <w:t>showed</w:t>
      </w:r>
      <w:r w:rsidR="00D2730F">
        <w:rPr>
          <w:rFonts w:cs="Times New Roman"/>
        </w:rPr>
        <w:t xml:space="preserve"> significant increased</w:t>
      </w:r>
      <w:r w:rsidR="001A508A">
        <w:rPr>
          <w:rFonts w:cs="Times New Roman"/>
        </w:rPr>
        <w:t xml:space="preserve"> consumption,  </w:t>
      </w:r>
      <w:r w:rsidR="002B7757" w:rsidRPr="002B7757">
        <w:rPr>
          <w:rFonts w:cs="Times New Roman"/>
          <w:i/>
        </w:rPr>
        <w:t>F</w:t>
      </w:r>
      <w:r w:rsidR="00D65D1B">
        <w:rPr>
          <w:rFonts w:cs="Times New Roman"/>
        </w:rPr>
        <w:t>(1, 76)=</w:t>
      </w:r>
      <w:r w:rsidR="001A508A">
        <w:rPr>
          <w:rFonts w:cs="Times New Roman"/>
        </w:rPr>
        <w:t>17</w:t>
      </w:r>
      <w:r w:rsidR="002817B0">
        <w:t>.</w:t>
      </w:r>
      <w:r w:rsidR="001A508A">
        <w:rPr>
          <w:rFonts w:cs="Times New Roman"/>
        </w:rPr>
        <w:t xml:space="preserve">7, </w:t>
      </w:r>
      <w:r w:rsidR="002B7757" w:rsidRPr="002B7757">
        <w:rPr>
          <w:rFonts w:cs="Times New Roman"/>
          <w:i/>
        </w:rPr>
        <w:t>p</w:t>
      </w:r>
      <w:r w:rsidR="001A508A">
        <w:rPr>
          <w:rFonts w:cs="Times New Roman"/>
          <w:i/>
        </w:rPr>
        <w:t xml:space="preserve"> </w:t>
      </w:r>
      <w:r w:rsidR="001A508A">
        <w:rPr>
          <w:rFonts w:cs="Times New Roman"/>
        </w:rPr>
        <w:t xml:space="preserve">&lt; </w:t>
      </w:r>
      <w:r w:rsidR="002817B0">
        <w:rPr>
          <w:rFonts w:cs="Times New Roman"/>
        </w:rPr>
        <w:t>.</w:t>
      </w:r>
      <w:r w:rsidR="001A508A">
        <w:rPr>
          <w:rFonts w:cs="Times New Roman"/>
        </w:rPr>
        <w:t xml:space="preserve">001 </w:t>
      </w:r>
      <w:r>
        <w:rPr>
          <w:rFonts w:cs="Times New Roman"/>
        </w:rPr>
        <w:t>(</w:t>
      </w:r>
      <w:r w:rsidR="004B2254">
        <w:rPr>
          <w:rFonts w:cs="Times New Roman"/>
        </w:rPr>
        <w:t>95% CI = 32</w:t>
      </w:r>
      <w:r w:rsidR="002817B0">
        <w:t>.</w:t>
      </w:r>
      <w:r w:rsidR="004B2254">
        <w:rPr>
          <w:rFonts w:cs="Times New Roman"/>
        </w:rPr>
        <w:t>04 to 89</w:t>
      </w:r>
      <w:r w:rsidR="002817B0">
        <w:t>.</w:t>
      </w:r>
      <w:r w:rsidR="004B2254">
        <w:rPr>
          <w:rFonts w:cs="Times New Roman"/>
        </w:rPr>
        <w:t>76</w:t>
      </w:r>
      <w:r>
        <w:rPr>
          <w:rFonts w:cs="Times New Roman"/>
        </w:rPr>
        <w:t>)</w:t>
      </w:r>
      <w:r w:rsidR="007B6732">
        <w:rPr>
          <w:rFonts w:cs="Times New Roman"/>
        </w:rPr>
        <w:t>, replicating experiment 2</w:t>
      </w:r>
      <w:r w:rsidR="001A508A">
        <w:rPr>
          <w:rFonts w:cs="Times New Roman"/>
        </w:rPr>
        <w:t xml:space="preserve">. This </w:t>
      </w:r>
      <w:r w:rsidR="00F706E6">
        <w:rPr>
          <w:rFonts w:cs="Times New Roman"/>
        </w:rPr>
        <w:t xml:space="preserve">effect was not evident </w:t>
      </w:r>
      <w:r w:rsidR="001A508A">
        <w:rPr>
          <w:rFonts w:cs="Times New Roman"/>
        </w:rPr>
        <w:t>when online information was presented</w:t>
      </w:r>
      <w:r w:rsidR="00E30060">
        <w:rPr>
          <w:rFonts w:cs="Times New Roman"/>
        </w:rPr>
        <w:t xml:space="preserve">, </w:t>
      </w:r>
      <w:proofErr w:type="gramStart"/>
      <w:r w:rsidR="00E30060">
        <w:rPr>
          <w:rFonts w:cs="Times New Roman"/>
        </w:rPr>
        <w:t>F</w:t>
      </w:r>
      <w:r w:rsidR="00D65D1B">
        <w:rPr>
          <w:rFonts w:cs="Times New Roman"/>
        </w:rPr>
        <w:t>(</w:t>
      </w:r>
      <w:proofErr w:type="gramEnd"/>
      <w:r w:rsidR="00D65D1B">
        <w:rPr>
          <w:rFonts w:cs="Times New Roman"/>
        </w:rPr>
        <w:t>1, 76)</w:t>
      </w:r>
      <w:r w:rsidR="001A508A">
        <w:rPr>
          <w:rFonts w:cs="Times New Roman"/>
        </w:rPr>
        <w:t>=0</w:t>
      </w:r>
      <w:r w:rsidR="002817B0">
        <w:t>.</w:t>
      </w:r>
      <w:r w:rsidR="001A508A">
        <w:rPr>
          <w:rFonts w:cs="Times New Roman"/>
        </w:rPr>
        <w:t xml:space="preserve">70, </w:t>
      </w:r>
      <w:r w:rsidR="002B7757" w:rsidRPr="002B7757">
        <w:rPr>
          <w:rFonts w:cs="Times New Roman"/>
          <w:i/>
        </w:rPr>
        <w:t>p</w:t>
      </w:r>
      <w:r w:rsidR="00D65D1B">
        <w:rPr>
          <w:rFonts w:cs="Times New Roman"/>
        </w:rPr>
        <w:t>&gt;</w:t>
      </w:r>
      <w:r w:rsidR="002817B0">
        <w:rPr>
          <w:rFonts w:cs="Times New Roman"/>
        </w:rPr>
        <w:t>.</w:t>
      </w:r>
      <w:r w:rsidR="001A508A">
        <w:rPr>
          <w:rFonts w:cs="Times New Roman"/>
        </w:rPr>
        <w:t>05</w:t>
      </w:r>
      <w:r w:rsidR="001E6059">
        <w:rPr>
          <w:rFonts w:cs="Times New Roman"/>
        </w:rPr>
        <w:t xml:space="preserve">, </w:t>
      </w:r>
      <w:proofErr w:type="spellStart"/>
      <w:r w:rsidR="001E6059">
        <w:rPr>
          <w:rFonts w:cs="Times New Roman"/>
        </w:rPr>
        <w:t>n.s</w:t>
      </w:r>
      <w:proofErr w:type="spellEnd"/>
      <w:r w:rsidR="001E6059">
        <w:rPr>
          <w:rFonts w:cs="Times New Roman"/>
        </w:rPr>
        <w:t>.</w:t>
      </w:r>
      <w:r w:rsidR="00140430">
        <w:rPr>
          <w:rFonts w:cs="Times New Roman"/>
        </w:rPr>
        <w:t xml:space="preserve"> </w:t>
      </w:r>
      <w:r>
        <w:rPr>
          <w:rFonts w:cs="Times New Roman"/>
        </w:rPr>
        <w:t>(</w:t>
      </w:r>
      <w:r w:rsidR="004B2254">
        <w:rPr>
          <w:rFonts w:cs="Times New Roman"/>
        </w:rPr>
        <w:t>95% CI = -16</w:t>
      </w:r>
      <w:r w:rsidR="002817B0">
        <w:t>.</w:t>
      </w:r>
      <w:r w:rsidR="004B2254">
        <w:rPr>
          <w:rFonts w:cs="Times New Roman"/>
        </w:rPr>
        <w:t>76 to 40</w:t>
      </w:r>
      <w:r w:rsidR="002817B0">
        <w:t>.</w:t>
      </w:r>
      <w:r w:rsidR="004B2254">
        <w:rPr>
          <w:rFonts w:cs="Times New Roman"/>
        </w:rPr>
        <w:t>96</w:t>
      </w:r>
      <w:r>
        <w:rPr>
          <w:rFonts w:cs="Times New Roman"/>
        </w:rPr>
        <w:t>)</w:t>
      </w:r>
      <w:r w:rsidR="001A508A">
        <w:rPr>
          <w:rFonts w:cs="Times New Roman"/>
        </w:rPr>
        <w:t>. When RDP</w:t>
      </w:r>
      <w:r w:rsidR="00A17AFE">
        <w:rPr>
          <w:rFonts w:cs="Times New Roman"/>
        </w:rPr>
        <w:t>s</w:t>
      </w:r>
      <w:r w:rsidR="001A508A">
        <w:rPr>
          <w:rFonts w:cs="Times New Roman"/>
        </w:rPr>
        <w:t xml:space="preserve"> were presented, participants who had read the </w:t>
      </w:r>
      <w:r>
        <w:rPr>
          <w:rFonts w:cs="Times New Roman"/>
        </w:rPr>
        <w:t>o</w:t>
      </w:r>
      <w:r w:rsidR="001A508A">
        <w:rPr>
          <w:rFonts w:cs="Times New Roman"/>
        </w:rPr>
        <w:t xml:space="preserve">nline </w:t>
      </w:r>
      <w:r>
        <w:rPr>
          <w:rFonts w:cs="Times New Roman"/>
        </w:rPr>
        <w:t>i</w:t>
      </w:r>
      <w:r w:rsidR="001A508A">
        <w:rPr>
          <w:rFonts w:cs="Times New Roman"/>
        </w:rPr>
        <w:t>nformation drank significantly less than those who did not see this information,</w:t>
      </w:r>
      <w:r>
        <w:rPr>
          <w:rFonts w:cs="Times New Roman"/>
        </w:rPr>
        <w:t xml:space="preserve"> </w:t>
      </w:r>
      <w:proofErr w:type="gramStart"/>
      <w:r w:rsidR="002B7757" w:rsidRPr="002B7757">
        <w:rPr>
          <w:rFonts w:cs="Times New Roman"/>
          <w:i/>
        </w:rPr>
        <w:t>F</w:t>
      </w:r>
      <w:r w:rsidR="00D65D1B">
        <w:rPr>
          <w:rFonts w:cs="Times New Roman"/>
        </w:rPr>
        <w:t>(</w:t>
      </w:r>
      <w:proofErr w:type="gramEnd"/>
      <w:r w:rsidR="00D65D1B">
        <w:rPr>
          <w:rFonts w:cs="Times New Roman"/>
        </w:rPr>
        <w:t>1, 76)=</w:t>
      </w:r>
      <w:r w:rsidR="001A508A">
        <w:rPr>
          <w:rFonts w:cs="Times New Roman"/>
        </w:rPr>
        <w:t>5</w:t>
      </w:r>
      <w:r w:rsidR="002817B0">
        <w:t>.</w:t>
      </w:r>
      <w:r w:rsidR="001A508A">
        <w:rPr>
          <w:rFonts w:cs="Times New Roman"/>
        </w:rPr>
        <w:t xml:space="preserve">3, </w:t>
      </w:r>
      <w:r w:rsidR="002B7757" w:rsidRPr="002B7757">
        <w:rPr>
          <w:rFonts w:cs="Times New Roman"/>
          <w:i/>
        </w:rPr>
        <w:t>p</w:t>
      </w:r>
      <w:r w:rsidR="001A508A">
        <w:rPr>
          <w:rFonts w:cs="Times New Roman"/>
        </w:rPr>
        <w:t xml:space="preserve"> &lt;</w:t>
      </w:r>
      <w:r w:rsidR="002817B0">
        <w:rPr>
          <w:rFonts w:cs="Times New Roman"/>
        </w:rPr>
        <w:t>.</w:t>
      </w:r>
      <w:r w:rsidR="001A508A">
        <w:rPr>
          <w:rFonts w:cs="Times New Roman"/>
        </w:rPr>
        <w:t>05</w:t>
      </w:r>
      <w:r>
        <w:rPr>
          <w:rFonts w:cs="Times New Roman"/>
        </w:rPr>
        <w:t>(</w:t>
      </w:r>
      <w:r w:rsidR="001A508A">
        <w:rPr>
          <w:rFonts w:cs="Times New Roman"/>
        </w:rPr>
        <w:t xml:space="preserve"> </w:t>
      </w:r>
      <w:r w:rsidR="004B2254">
        <w:rPr>
          <w:rFonts w:cs="Times New Roman"/>
        </w:rPr>
        <w:t>95% CI = 4</w:t>
      </w:r>
      <w:r w:rsidR="002817B0">
        <w:t>.</w:t>
      </w:r>
      <w:r w:rsidR="004B2254">
        <w:rPr>
          <w:rFonts w:cs="Times New Roman"/>
        </w:rPr>
        <w:t>44 to 62</w:t>
      </w:r>
      <w:r w:rsidR="002817B0">
        <w:t>.</w:t>
      </w:r>
      <w:r w:rsidR="004B2254">
        <w:rPr>
          <w:rFonts w:cs="Times New Roman"/>
        </w:rPr>
        <w:t>16</w:t>
      </w:r>
      <w:r>
        <w:rPr>
          <w:rFonts w:cs="Times New Roman"/>
        </w:rPr>
        <w:t>)</w:t>
      </w:r>
      <w:r w:rsidR="001A508A">
        <w:rPr>
          <w:rFonts w:cs="Times New Roman"/>
        </w:rPr>
        <w:t xml:space="preserve">. </w:t>
      </w:r>
      <w:r w:rsidR="00F706E6">
        <w:rPr>
          <w:rFonts w:cs="Times New Roman"/>
        </w:rPr>
        <w:t>W</w:t>
      </w:r>
      <w:r w:rsidR="001A508A">
        <w:rPr>
          <w:rFonts w:cs="Times New Roman"/>
        </w:rPr>
        <w:t>hen the RDP</w:t>
      </w:r>
      <w:r w:rsidR="00556A4F">
        <w:rPr>
          <w:rFonts w:cs="Times New Roman"/>
        </w:rPr>
        <w:t>s</w:t>
      </w:r>
      <w:r w:rsidR="00A17AFE">
        <w:rPr>
          <w:rFonts w:cs="Times New Roman"/>
        </w:rPr>
        <w:t xml:space="preserve"> </w:t>
      </w:r>
      <w:r w:rsidR="001A508A">
        <w:rPr>
          <w:rFonts w:cs="Times New Roman"/>
        </w:rPr>
        <w:t>were not displayed, there was no effect</w:t>
      </w:r>
      <w:r>
        <w:rPr>
          <w:rFonts w:cs="Times New Roman"/>
        </w:rPr>
        <w:t xml:space="preserve"> </w:t>
      </w:r>
      <w:r w:rsidR="001A508A">
        <w:rPr>
          <w:rFonts w:cs="Times New Roman"/>
        </w:rPr>
        <w:t xml:space="preserve">of Online Information on consumption, </w:t>
      </w:r>
      <w:proofErr w:type="gramStart"/>
      <w:r w:rsidR="002B7757" w:rsidRPr="002B7757">
        <w:rPr>
          <w:rFonts w:cs="Times New Roman"/>
          <w:i/>
        </w:rPr>
        <w:t>F</w:t>
      </w:r>
      <w:r w:rsidR="001A508A">
        <w:rPr>
          <w:rFonts w:cs="Times New Roman"/>
        </w:rPr>
        <w:t>(</w:t>
      </w:r>
      <w:proofErr w:type="gramEnd"/>
      <w:r w:rsidR="001A508A">
        <w:rPr>
          <w:rFonts w:cs="Times New Roman"/>
        </w:rPr>
        <w:t>1,76)=1</w:t>
      </w:r>
      <w:r w:rsidR="002817B0">
        <w:t>.</w:t>
      </w:r>
      <w:r w:rsidR="001A508A">
        <w:rPr>
          <w:rFonts w:cs="Times New Roman"/>
        </w:rPr>
        <w:t xml:space="preserve">1, </w:t>
      </w:r>
      <w:r w:rsidR="002B7757" w:rsidRPr="002B7757">
        <w:rPr>
          <w:rFonts w:cs="Times New Roman"/>
          <w:i/>
        </w:rPr>
        <w:t>p</w:t>
      </w:r>
      <w:r w:rsidR="00D65D1B">
        <w:rPr>
          <w:rFonts w:cs="Times New Roman"/>
        </w:rPr>
        <w:t>&gt;</w:t>
      </w:r>
      <w:r w:rsidR="002817B0">
        <w:rPr>
          <w:rFonts w:cs="Times New Roman"/>
        </w:rPr>
        <w:t>.</w:t>
      </w:r>
      <w:r w:rsidR="001A508A">
        <w:rPr>
          <w:rFonts w:cs="Times New Roman"/>
        </w:rPr>
        <w:t>05</w:t>
      </w:r>
      <w:r w:rsidR="001E6059">
        <w:rPr>
          <w:rFonts w:cs="Times New Roman"/>
        </w:rPr>
        <w:t xml:space="preserve">, </w:t>
      </w:r>
      <w:proofErr w:type="spellStart"/>
      <w:r w:rsidR="001E6059">
        <w:rPr>
          <w:rFonts w:cs="Times New Roman"/>
        </w:rPr>
        <w:t>n.s</w:t>
      </w:r>
      <w:proofErr w:type="spellEnd"/>
      <w:r w:rsidR="001E6059">
        <w:rPr>
          <w:rFonts w:cs="Times New Roman"/>
        </w:rPr>
        <w:t xml:space="preserve">. </w:t>
      </w:r>
      <w:r>
        <w:rPr>
          <w:rFonts w:cs="Times New Roman"/>
        </w:rPr>
        <w:t>(</w:t>
      </w:r>
      <w:r w:rsidR="001A508A">
        <w:rPr>
          <w:rFonts w:cs="Times New Roman"/>
        </w:rPr>
        <w:t xml:space="preserve"> </w:t>
      </w:r>
      <w:r w:rsidR="004B2254">
        <w:rPr>
          <w:rFonts w:cs="Times New Roman"/>
        </w:rPr>
        <w:t>95% CI = -44</w:t>
      </w:r>
      <w:r w:rsidR="002817B0">
        <w:t>.</w:t>
      </w:r>
      <w:r w:rsidR="004B2254">
        <w:rPr>
          <w:rFonts w:cs="Times New Roman"/>
        </w:rPr>
        <w:t>36 to 13</w:t>
      </w:r>
      <w:r w:rsidR="002817B0">
        <w:t>.</w:t>
      </w:r>
      <w:r w:rsidR="004B2254">
        <w:rPr>
          <w:rFonts w:cs="Times New Roman"/>
        </w:rPr>
        <w:t>36</w:t>
      </w:r>
      <w:r>
        <w:rPr>
          <w:rFonts w:cs="Times New Roman"/>
        </w:rPr>
        <w:t>)</w:t>
      </w:r>
      <w:r w:rsidR="001A508A">
        <w:rPr>
          <w:rFonts w:cs="Times New Roman"/>
        </w:rPr>
        <w:t>.</w:t>
      </w:r>
      <w:r w:rsidR="007B6732">
        <w:rPr>
          <w:rFonts w:cs="Times New Roman"/>
        </w:rPr>
        <w:t xml:space="preserve"> </w:t>
      </w:r>
      <w:r w:rsidR="001A508A">
        <w:rPr>
          <w:rFonts w:cs="Times New Roman"/>
        </w:rPr>
        <w:t xml:space="preserve">Finally, a planned comparison between the control group (no </w:t>
      </w:r>
      <w:r w:rsidR="00A17AFE">
        <w:rPr>
          <w:rFonts w:cs="Times New Roman"/>
        </w:rPr>
        <w:t>RDP</w:t>
      </w:r>
      <w:r w:rsidR="001A508A">
        <w:rPr>
          <w:rFonts w:cs="Times New Roman"/>
        </w:rPr>
        <w:t xml:space="preserve">, no </w:t>
      </w:r>
      <w:r w:rsidR="00A17AFE">
        <w:rPr>
          <w:rFonts w:cs="Times New Roman"/>
        </w:rPr>
        <w:t>Online Information</w:t>
      </w:r>
      <w:r w:rsidR="001A508A">
        <w:rPr>
          <w:rFonts w:cs="Times New Roman"/>
        </w:rPr>
        <w:t>) and the group who received the full Drinkaware intervention (</w:t>
      </w:r>
      <w:r w:rsidR="00A17AFE">
        <w:rPr>
          <w:rFonts w:cs="Times New Roman"/>
        </w:rPr>
        <w:t xml:space="preserve">RDP </w:t>
      </w:r>
      <w:r w:rsidR="001A508A">
        <w:rPr>
          <w:rFonts w:cs="Times New Roman"/>
        </w:rPr>
        <w:t xml:space="preserve">and </w:t>
      </w:r>
      <w:r w:rsidR="00A17AFE">
        <w:rPr>
          <w:rFonts w:cs="Times New Roman"/>
        </w:rPr>
        <w:t>Online Information</w:t>
      </w:r>
      <w:r w:rsidR="001A508A">
        <w:rPr>
          <w:rFonts w:cs="Times New Roman"/>
        </w:rPr>
        <w:t xml:space="preserve">) </w:t>
      </w:r>
      <w:r w:rsidR="00F706E6">
        <w:rPr>
          <w:rFonts w:cs="Times New Roman"/>
        </w:rPr>
        <w:t>showed that w</w:t>
      </w:r>
      <w:r w:rsidR="001A508A">
        <w:rPr>
          <w:rFonts w:cs="Times New Roman"/>
        </w:rPr>
        <w:t>hile those receiving the full intervention drank on average more (</w:t>
      </w:r>
      <w:r w:rsidR="002B7757" w:rsidRPr="002B7757">
        <w:rPr>
          <w:rFonts w:cs="Times New Roman"/>
          <w:i/>
        </w:rPr>
        <w:t xml:space="preserve">M </w:t>
      </w:r>
      <w:r w:rsidR="001A508A">
        <w:rPr>
          <w:rFonts w:cs="Times New Roman"/>
        </w:rPr>
        <w:t xml:space="preserve">= </w:t>
      </w:r>
      <w:r w:rsidR="002817B0">
        <w:rPr>
          <w:rFonts w:cs="Times New Roman"/>
        </w:rPr>
        <w:t>94.</w:t>
      </w:r>
      <w:r w:rsidR="00773322">
        <w:rPr>
          <w:rFonts w:cs="Times New Roman"/>
        </w:rPr>
        <w:t>4</w:t>
      </w:r>
      <w:r w:rsidR="001A508A">
        <w:rPr>
          <w:rFonts w:cs="Times New Roman"/>
        </w:rPr>
        <w:t xml:space="preserve">2ml, </w:t>
      </w:r>
      <w:r w:rsidR="002B7757" w:rsidRPr="002B7757">
        <w:rPr>
          <w:rFonts w:cs="Times New Roman"/>
          <w:i/>
        </w:rPr>
        <w:t>SD</w:t>
      </w:r>
      <w:r w:rsidR="001A508A">
        <w:rPr>
          <w:rFonts w:cs="Times New Roman"/>
        </w:rPr>
        <w:t xml:space="preserve"> = </w:t>
      </w:r>
      <w:r w:rsidR="00773322">
        <w:rPr>
          <w:rFonts w:cs="Times New Roman"/>
        </w:rPr>
        <w:t>35</w:t>
      </w:r>
      <w:r w:rsidR="002817B0">
        <w:t>.</w:t>
      </w:r>
      <w:r w:rsidR="00773322">
        <w:rPr>
          <w:rFonts w:cs="Times New Roman"/>
        </w:rPr>
        <w:t>24</w:t>
      </w:r>
      <w:r w:rsidR="001A508A">
        <w:rPr>
          <w:rFonts w:cs="Times New Roman"/>
        </w:rPr>
        <w:t>) than those in the control condition (</w:t>
      </w:r>
      <w:r w:rsidR="002B7757" w:rsidRPr="002B7757">
        <w:rPr>
          <w:rFonts w:cs="Times New Roman"/>
          <w:i/>
        </w:rPr>
        <w:t>M</w:t>
      </w:r>
      <w:r w:rsidR="001A508A">
        <w:rPr>
          <w:rFonts w:cs="Times New Roman"/>
        </w:rPr>
        <w:t xml:space="preserve"> = </w:t>
      </w:r>
      <w:r w:rsidR="00773322">
        <w:rPr>
          <w:rFonts w:cs="Times New Roman"/>
        </w:rPr>
        <w:t>66</w:t>
      </w:r>
      <w:r w:rsidR="002817B0">
        <w:t>.</w:t>
      </w:r>
      <w:r w:rsidR="00773322">
        <w:rPr>
          <w:rFonts w:cs="Times New Roman"/>
        </w:rPr>
        <w:t>8</w:t>
      </w:r>
      <w:r w:rsidR="001A508A">
        <w:rPr>
          <w:rFonts w:cs="Times New Roman"/>
        </w:rPr>
        <w:t xml:space="preserve">, </w:t>
      </w:r>
      <w:r w:rsidR="002B7757" w:rsidRPr="002B7757">
        <w:rPr>
          <w:rFonts w:cs="Times New Roman"/>
          <w:i/>
        </w:rPr>
        <w:t>SD</w:t>
      </w:r>
      <w:r w:rsidR="001A508A">
        <w:rPr>
          <w:rFonts w:cs="Times New Roman"/>
        </w:rPr>
        <w:t xml:space="preserve"> = </w:t>
      </w:r>
      <w:r w:rsidR="00773322">
        <w:rPr>
          <w:rFonts w:cs="Times New Roman"/>
        </w:rPr>
        <w:t>59</w:t>
      </w:r>
      <w:r w:rsidR="002817B0">
        <w:t>.</w:t>
      </w:r>
      <w:r w:rsidR="00773322">
        <w:rPr>
          <w:rFonts w:cs="Times New Roman"/>
        </w:rPr>
        <w:t>28</w:t>
      </w:r>
      <w:r w:rsidR="001A508A">
        <w:rPr>
          <w:rFonts w:cs="Times New Roman"/>
        </w:rPr>
        <w:t xml:space="preserve">), this difference approached </w:t>
      </w:r>
      <w:r w:rsidR="007B14E7">
        <w:rPr>
          <w:rFonts w:cs="Times New Roman"/>
        </w:rPr>
        <w:t xml:space="preserve">but did not reach statistical </w:t>
      </w:r>
      <w:r w:rsidR="001A508A">
        <w:rPr>
          <w:rFonts w:cs="Times New Roman"/>
        </w:rPr>
        <w:t>significance</w:t>
      </w:r>
      <w:r w:rsidR="00911CAF">
        <w:rPr>
          <w:rFonts w:cs="Times New Roman"/>
        </w:rPr>
        <w:t xml:space="preserve">, </w:t>
      </w:r>
      <w:r w:rsidR="00911CAF" w:rsidRPr="00911CAF">
        <w:rPr>
          <w:rFonts w:cs="Times New Roman"/>
          <w:i/>
        </w:rPr>
        <w:t>F</w:t>
      </w:r>
      <w:r>
        <w:rPr>
          <w:rFonts w:cs="Times New Roman"/>
          <w:i/>
        </w:rPr>
        <w:t xml:space="preserve"> </w:t>
      </w:r>
      <w:r w:rsidR="00911CAF">
        <w:rPr>
          <w:rFonts w:cs="Times New Roman"/>
        </w:rPr>
        <w:t>(1, 76)</w:t>
      </w:r>
      <w:r w:rsidR="00E92FCF">
        <w:rPr>
          <w:rFonts w:cs="Times New Roman"/>
        </w:rPr>
        <w:t xml:space="preserve"> </w:t>
      </w:r>
      <w:r w:rsidR="00911CAF">
        <w:rPr>
          <w:rFonts w:cs="Times New Roman"/>
        </w:rPr>
        <w:t>=</w:t>
      </w:r>
      <w:r w:rsidR="00E92FCF">
        <w:rPr>
          <w:rFonts w:cs="Times New Roman"/>
        </w:rPr>
        <w:t xml:space="preserve"> </w:t>
      </w:r>
      <w:r w:rsidR="00911CAF">
        <w:rPr>
          <w:rFonts w:cs="Times New Roman"/>
        </w:rPr>
        <w:t xml:space="preserve">3.63, </w:t>
      </w:r>
      <w:r w:rsidR="002B7757" w:rsidRPr="002B7757">
        <w:rPr>
          <w:rFonts w:cs="Times New Roman"/>
          <w:i/>
        </w:rPr>
        <w:t>p</w:t>
      </w:r>
      <w:r w:rsidR="00E92FCF">
        <w:rPr>
          <w:rFonts w:cs="Times New Roman"/>
          <w:i/>
        </w:rPr>
        <w:t xml:space="preserve"> </w:t>
      </w:r>
      <w:r w:rsidR="001E6059">
        <w:t>&gt; .05</w:t>
      </w:r>
      <w:r w:rsidR="007B14E7">
        <w:rPr>
          <w:rFonts w:cs="Times New Roman"/>
        </w:rPr>
        <w:t xml:space="preserve">, </w:t>
      </w:r>
      <w:proofErr w:type="spellStart"/>
      <w:r w:rsidR="007B14E7">
        <w:rPr>
          <w:rFonts w:cs="Times New Roman"/>
        </w:rPr>
        <w:t>n.s</w:t>
      </w:r>
      <w:proofErr w:type="spellEnd"/>
      <w:r>
        <w:rPr>
          <w:rFonts w:cs="Times New Roman"/>
        </w:rPr>
        <w:t>. (</w:t>
      </w:r>
      <w:r w:rsidR="001A508A">
        <w:rPr>
          <w:rFonts w:cs="Times New Roman"/>
        </w:rPr>
        <w:t>95% CI = -</w:t>
      </w:r>
      <w:r w:rsidR="00911CAF">
        <w:rPr>
          <w:rFonts w:cs="Times New Roman"/>
        </w:rPr>
        <w:t>1</w:t>
      </w:r>
      <w:r w:rsidR="002817B0">
        <w:t>.</w:t>
      </w:r>
      <w:r w:rsidR="00911CAF">
        <w:rPr>
          <w:rFonts w:cs="Times New Roman"/>
        </w:rPr>
        <w:t>26</w:t>
      </w:r>
      <w:r w:rsidR="001A508A">
        <w:rPr>
          <w:rFonts w:cs="Times New Roman"/>
        </w:rPr>
        <w:t xml:space="preserve"> to </w:t>
      </w:r>
      <w:r w:rsidR="00911CAF">
        <w:rPr>
          <w:rFonts w:cs="Times New Roman"/>
        </w:rPr>
        <w:t>56</w:t>
      </w:r>
      <w:r w:rsidR="002817B0">
        <w:t>.</w:t>
      </w:r>
      <w:r w:rsidR="00911CAF">
        <w:rPr>
          <w:rFonts w:cs="Times New Roman"/>
        </w:rPr>
        <w:t>46</w:t>
      </w:r>
      <w:r w:rsidR="001A508A">
        <w:rPr>
          <w:rFonts w:cs="Times New Roman"/>
        </w:rPr>
        <w:t>).</w:t>
      </w:r>
      <w:r w:rsidR="00C14805">
        <w:rPr>
          <w:rFonts w:cs="Times New Roman"/>
        </w:rPr>
        <w:t xml:space="preserve"> These findings replicate previous findings in relation to the effect of RDPs on consumption in a pub </w:t>
      </w:r>
      <w:proofErr w:type="gramStart"/>
      <w:r w:rsidR="00C14805">
        <w:rPr>
          <w:rFonts w:cs="Times New Roman"/>
        </w:rPr>
        <w:t>context,</w:t>
      </w:r>
      <w:proofErr w:type="gramEnd"/>
      <w:r w:rsidR="00C14805">
        <w:rPr>
          <w:rFonts w:cs="Times New Roman"/>
        </w:rPr>
        <w:t xml:space="preserve"> however it would seem that previous exposure to brief online information related to the poster content eliminates this effect. Importantly, while online advice negated the effects of the posters, the omnibus effect of this intervention did not lead to a decrease in consumption compared to the control group. </w:t>
      </w:r>
    </w:p>
    <w:p w14:paraId="68379A7F" w14:textId="77777777" w:rsidR="007B6732" w:rsidRPr="007B6732" w:rsidRDefault="007B6732" w:rsidP="007B6732">
      <w:pPr>
        <w:spacing w:line="480" w:lineRule="auto"/>
        <w:jc w:val="center"/>
        <w:rPr>
          <w:rFonts w:cs="Times New Roman"/>
        </w:rPr>
      </w:pPr>
      <w:r w:rsidRPr="007B6732">
        <w:rPr>
          <w:rFonts w:cs="Times New Roman"/>
        </w:rPr>
        <w:t>[INSERT FIGURE 2 HERE]</w:t>
      </w:r>
    </w:p>
    <w:p w14:paraId="382ED9BF" w14:textId="77777777" w:rsidR="001646FC" w:rsidRPr="003C7C30" w:rsidRDefault="001646FC" w:rsidP="001646FC">
      <w:pPr>
        <w:spacing w:line="480" w:lineRule="auto"/>
        <w:jc w:val="center"/>
      </w:pPr>
      <w:r w:rsidRPr="003C7C30">
        <w:t xml:space="preserve">Experiment 4: </w:t>
      </w:r>
      <w:r w:rsidR="00DC70FB">
        <w:t>Attentional allocation in</w:t>
      </w:r>
      <w:r w:rsidR="00485221">
        <w:t xml:space="preserve"> RDM posters</w:t>
      </w:r>
    </w:p>
    <w:p w14:paraId="78644588" w14:textId="77777777" w:rsidR="00B11E25" w:rsidRDefault="00CD116F" w:rsidP="00D22382">
      <w:pPr>
        <w:spacing w:line="480" w:lineRule="auto"/>
      </w:pPr>
      <w:r>
        <w:tab/>
      </w:r>
      <w:r w:rsidR="001646FC">
        <w:t xml:space="preserve">In the previous experiments we displayed posters in </w:t>
      </w:r>
      <w:r w:rsidR="001F7326">
        <w:t>an</w:t>
      </w:r>
      <w:r w:rsidR="001646FC">
        <w:t xml:space="preserve"> environment where participants were </w:t>
      </w:r>
      <w:r w:rsidR="00F706E6">
        <w:t>drinking to</w:t>
      </w:r>
      <w:r w:rsidR="004330A7">
        <w:t xml:space="preserve"> </w:t>
      </w:r>
      <w:r w:rsidR="00310B8A">
        <w:t>examin</w:t>
      </w:r>
      <w:r w:rsidR="00831EFC">
        <w:t>e</w:t>
      </w:r>
      <w:r w:rsidR="001646FC">
        <w:t xml:space="preserve"> what effect such passive</w:t>
      </w:r>
      <w:r w:rsidR="00310B8A">
        <w:t xml:space="preserve"> and ‘naturalistic’</w:t>
      </w:r>
      <w:r w:rsidR="001646FC">
        <w:t xml:space="preserve"> exposure </w:t>
      </w:r>
      <w:r w:rsidR="001646FC">
        <w:lastRenderedPageBreak/>
        <w:t>might have</w:t>
      </w:r>
      <w:r w:rsidR="00310B8A">
        <w:t xml:space="preserve"> on consumption</w:t>
      </w:r>
      <w:r w:rsidR="001646FC">
        <w:t xml:space="preserve">. </w:t>
      </w:r>
      <w:r w:rsidR="004330A7">
        <w:t>A</w:t>
      </w:r>
      <w:r w:rsidR="001646FC">
        <w:t>n obvious limitati</w:t>
      </w:r>
      <w:r w:rsidR="0015071B">
        <w:t>on of this approach is that we we</w:t>
      </w:r>
      <w:r w:rsidR="001646FC">
        <w:t>re unable to determine 1) whether the posters were being attended to</w:t>
      </w:r>
      <w:r w:rsidR="00310B8A">
        <w:t xml:space="preserve"> at all</w:t>
      </w:r>
      <w:r w:rsidR="0015071B">
        <w:t>,</w:t>
      </w:r>
      <w:r w:rsidR="00310B8A">
        <w:t xml:space="preserve"> </w:t>
      </w:r>
      <w:r w:rsidR="001646FC">
        <w:t>2) what elements of the posters participants were attending to</w:t>
      </w:r>
      <w:r w:rsidR="003E1D64">
        <w:t>, and 3) if there was any relationship between attention to different elements of the posters and consumption</w:t>
      </w:r>
      <w:r w:rsidR="001646FC">
        <w:t xml:space="preserve">. </w:t>
      </w:r>
      <w:r w:rsidR="003E1D64">
        <w:t>To address these limitations</w:t>
      </w:r>
      <w:r w:rsidR="007B6732">
        <w:t xml:space="preserve"> in</w:t>
      </w:r>
      <w:r w:rsidR="001646FC">
        <w:t xml:space="preserve"> </w:t>
      </w:r>
      <w:r w:rsidR="007B6732">
        <w:t xml:space="preserve">our </w:t>
      </w:r>
      <w:r w:rsidR="001646FC">
        <w:t xml:space="preserve">final study participants were exposed to </w:t>
      </w:r>
      <w:r w:rsidR="003E1D64">
        <w:t>posters</w:t>
      </w:r>
      <w:r w:rsidR="001646FC">
        <w:t xml:space="preserve"> while </w:t>
      </w:r>
      <w:r w:rsidR="00140430">
        <w:t xml:space="preserve">their eye movements were </w:t>
      </w:r>
      <w:r w:rsidR="004330A7">
        <w:t>being monitored</w:t>
      </w:r>
      <w:r w:rsidR="001646FC">
        <w:t xml:space="preserve"> and were then asked to complete the TPT. This allowed us to more accurately determine how participants engag</w:t>
      </w:r>
      <w:r w:rsidR="0015071B">
        <w:t>ed</w:t>
      </w:r>
      <w:r w:rsidR="001646FC">
        <w:t xml:space="preserve"> with the posters</w:t>
      </w:r>
      <w:r w:rsidR="004330A7">
        <w:t xml:space="preserve"> </w:t>
      </w:r>
      <w:r w:rsidR="001646FC">
        <w:t>and to examine whether this more active engagement with the materials would have a different effect on consumption rates.</w:t>
      </w:r>
      <w:r w:rsidR="00140430">
        <w:t xml:space="preserve"> </w:t>
      </w:r>
      <w:r w:rsidR="00831EFC">
        <w:t xml:space="preserve"> </w:t>
      </w:r>
      <w:r w:rsidR="003E1D64">
        <w:t xml:space="preserve">In addition to presenting posters from the Drinkaware campaign, an additional set of posters </w:t>
      </w:r>
      <w:r w:rsidR="00AD16C8">
        <w:t xml:space="preserve">from a </w:t>
      </w:r>
      <w:r w:rsidR="00CC36EE">
        <w:t>UK health</w:t>
      </w:r>
      <w:r w:rsidR="00AD16C8">
        <w:t xml:space="preserve"> campaign</w:t>
      </w:r>
      <w:r w:rsidR="003E1D64">
        <w:t xml:space="preserve"> </w:t>
      </w:r>
      <w:r w:rsidR="00AD16C8">
        <w:t xml:space="preserve">(‘Change4Life’, National Health Service) </w:t>
      </w:r>
      <w:r w:rsidR="003E1D64">
        <w:t>was also included, allowing us to compare the impact of messages regarding responsible alcohol use and messages which promote healthy behaviour without direct reference to alcohol consumption.</w:t>
      </w:r>
    </w:p>
    <w:p w14:paraId="39CC67BF" w14:textId="77777777" w:rsidR="001646FC" w:rsidRPr="00AD16C8" w:rsidRDefault="001646FC" w:rsidP="001646FC">
      <w:pPr>
        <w:spacing w:line="480" w:lineRule="auto"/>
        <w:jc w:val="center"/>
        <w:rPr>
          <w:b/>
        </w:rPr>
      </w:pPr>
      <w:r w:rsidRPr="00AD16C8">
        <w:rPr>
          <w:b/>
        </w:rPr>
        <w:t>Method</w:t>
      </w:r>
    </w:p>
    <w:p w14:paraId="71B4CF3E" w14:textId="77777777" w:rsidR="001646FC" w:rsidRPr="00AD16C8" w:rsidRDefault="001646FC" w:rsidP="001646FC">
      <w:pPr>
        <w:spacing w:line="480" w:lineRule="auto"/>
        <w:rPr>
          <w:b/>
        </w:rPr>
      </w:pPr>
      <w:r w:rsidRPr="00AD16C8">
        <w:rPr>
          <w:b/>
        </w:rPr>
        <w:t>Participants</w:t>
      </w:r>
    </w:p>
    <w:p w14:paraId="407F7AF4" w14:textId="150E0CEF" w:rsidR="001646FC" w:rsidRPr="00F566E3" w:rsidRDefault="004330A7" w:rsidP="001646FC">
      <w:pPr>
        <w:spacing w:line="480" w:lineRule="auto"/>
      </w:pPr>
      <w:r>
        <w:tab/>
      </w:r>
      <w:r w:rsidR="006737F9">
        <w:t>Sixty non problem</w:t>
      </w:r>
      <w:r w:rsidR="001646FC">
        <w:t xml:space="preserve"> drinking participants (</w:t>
      </w:r>
      <w:r w:rsidR="007E59BE">
        <w:t>27 female;</w:t>
      </w:r>
      <w:r w:rsidR="006F12D6">
        <w:t xml:space="preserve"> 33 male</w:t>
      </w:r>
      <w:r w:rsidR="005C567B">
        <w:t xml:space="preserve">; </w:t>
      </w:r>
      <w:r w:rsidR="005C567B" w:rsidRPr="002B7757">
        <w:rPr>
          <w:i/>
        </w:rPr>
        <w:t>M</w:t>
      </w:r>
      <w:r w:rsidR="005C567B" w:rsidRPr="002B7757">
        <w:rPr>
          <w:i/>
          <w:vertAlign w:val="subscript"/>
        </w:rPr>
        <w:t>age</w:t>
      </w:r>
      <w:r w:rsidR="005C567B">
        <w:t xml:space="preserve">=22.3 years, </w:t>
      </w:r>
      <w:r w:rsidR="005C567B" w:rsidRPr="002B7757">
        <w:rPr>
          <w:i/>
        </w:rPr>
        <w:t>SD</w:t>
      </w:r>
      <w:r w:rsidR="005C567B">
        <w:t>=2.2</w:t>
      </w:r>
      <w:r w:rsidR="00024B1C">
        <w:t>; range=18-25</w:t>
      </w:r>
      <w:r w:rsidR="006F12D6">
        <w:t>)</w:t>
      </w:r>
      <w:r w:rsidR="007E59BE">
        <w:t xml:space="preserve"> </w:t>
      </w:r>
      <w:r w:rsidR="007B6732">
        <w:t>took</w:t>
      </w:r>
      <w:r w:rsidR="001646FC">
        <w:t xml:space="preserve"> part in a TPT in return for course credit. Potentially dependent drinkers were </w:t>
      </w:r>
      <w:r w:rsidR="007E59BE">
        <w:t xml:space="preserve">again </w:t>
      </w:r>
      <w:r w:rsidR="001646FC">
        <w:t xml:space="preserve">screened using </w:t>
      </w:r>
      <w:r w:rsidR="007E59BE">
        <w:t>AUDIT</w:t>
      </w:r>
      <w:r w:rsidR="009E38BF">
        <w:t xml:space="preserve"> (</w:t>
      </w:r>
      <w:r w:rsidR="009E38BF" w:rsidRPr="001E6059">
        <w:rPr>
          <w:i/>
        </w:rPr>
        <w:t>M</w:t>
      </w:r>
      <w:r w:rsidR="009E38BF">
        <w:t xml:space="preserve">=10.96, </w:t>
      </w:r>
      <w:r w:rsidR="009E38BF" w:rsidRPr="001E6059">
        <w:rPr>
          <w:i/>
        </w:rPr>
        <w:t>SD</w:t>
      </w:r>
      <w:r w:rsidR="009E38BF">
        <w:t>=5.28)</w:t>
      </w:r>
      <w:r w:rsidR="007E59BE">
        <w:t>, and two participants were subsequently excluded who had scores over 21.</w:t>
      </w:r>
      <w:r w:rsidR="009E38BF">
        <w:t xml:space="preserve"> </w:t>
      </w:r>
      <w:r w:rsidR="00F566E3">
        <w:t>A significant difference in AUDIT scores between the two poster conditions (D</w:t>
      </w:r>
      <w:r w:rsidR="005939D1">
        <w:t>rinkaware [D</w:t>
      </w:r>
      <w:r w:rsidR="00F566E3">
        <w:t>A</w:t>
      </w:r>
      <w:r w:rsidR="005939D1">
        <w:t>]</w:t>
      </w:r>
      <w:r w:rsidR="00F566E3">
        <w:t xml:space="preserve">: </w:t>
      </w:r>
      <w:r w:rsidR="00F566E3" w:rsidRPr="001E6059">
        <w:rPr>
          <w:i/>
        </w:rPr>
        <w:t>M</w:t>
      </w:r>
      <w:r w:rsidR="00F566E3">
        <w:t xml:space="preserve">=13.1, </w:t>
      </w:r>
      <w:r w:rsidR="00F566E3" w:rsidRPr="001E6059">
        <w:rPr>
          <w:i/>
        </w:rPr>
        <w:t>SD</w:t>
      </w:r>
      <w:r w:rsidR="00F566E3">
        <w:t xml:space="preserve">=5.3; </w:t>
      </w:r>
      <w:r w:rsidR="00E92FCF">
        <w:t>C</w:t>
      </w:r>
      <w:r w:rsidR="005939D1">
        <w:t>h</w:t>
      </w:r>
      <w:r w:rsidR="00E92FCF">
        <w:t>ange4</w:t>
      </w:r>
      <w:r w:rsidR="005939D1">
        <w:t>Life [</w:t>
      </w:r>
      <w:r w:rsidR="00F566E3">
        <w:t>C4L</w:t>
      </w:r>
      <w:r w:rsidR="005939D1">
        <w:t xml:space="preserve">]: </w:t>
      </w:r>
      <w:r w:rsidR="005939D1" w:rsidRPr="001E6059">
        <w:rPr>
          <w:i/>
        </w:rPr>
        <w:t>M</w:t>
      </w:r>
      <w:r w:rsidR="00F566E3">
        <w:t xml:space="preserve">=9.2, </w:t>
      </w:r>
      <w:r w:rsidR="00F566E3" w:rsidRPr="001E6059">
        <w:rPr>
          <w:i/>
        </w:rPr>
        <w:t>SD</w:t>
      </w:r>
      <w:r w:rsidR="00F566E3">
        <w:t>=4.6</w:t>
      </w:r>
      <w:r w:rsidR="00024B1C">
        <w:t xml:space="preserve">; Overall: </w:t>
      </w:r>
      <w:r w:rsidR="00024B1C" w:rsidRPr="001E6059">
        <w:rPr>
          <w:i/>
        </w:rPr>
        <w:t>M</w:t>
      </w:r>
      <w:r w:rsidR="00024B1C">
        <w:t xml:space="preserve">=11.5, </w:t>
      </w:r>
      <w:r w:rsidR="00024B1C" w:rsidRPr="001E6059">
        <w:rPr>
          <w:i/>
        </w:rPr>
        <w:t>SD</w:t>
      </w:r>
      <w:r w:rsidR="00024B1C">
        <w:t>=6.0</w:t>
      </w:r>
      <w:r w:rsidR="00F566E3">
        <w:t xml:space="preserve">) was observed, </w:t>
      </w:r>
      <w:r w:rsidR="00F566E3" w:rsidRPr="001E6059">
        <w:rPr>
          <w:i/>
        </w:rPr>
        <w:t>t</w:t>
      </w:r>
      <w:r w:rsidR="005939D1">
        <w:t xml:space="preserve"> </w:t>
      </w:r>
      <w:r w:rsidR="00F566E3">
        <w:t>(55)</w:t>
      </w:r>
      <w:r w:rsidR="005939D1">
        <w:t xml:space="preserve"> </w:t>
      </w:r>
      <w:r w:rsidR="00F566E3">
        <w:t>=</w:t>
      </w:r>
      <w:r w:rsidR="005939D1">
        <w:t xml:space="preserve"> </w:t>
      </w:r>
      <w:r w:rsidR="00F566E3">
        <w:t xml:space="preserve">3.01, </w:t>
      </w:r>
      <w:r w:rsidR="00F566E3" w:rsidRPr="001E6059">
        <w:rPr>
          <w:i/>
        </w:rPr>
        <w:t>p</w:t>
      </w:r>
      <w:r w:rsidR="005939D1">
        <w:t xml:space="preserve"> </w:t>
      </w:r>
      <w:r w:rsidR="00F566E3">
        <w:t>&lt;</w:t>
      </w:r>
      <w:r w:rsidR="005939D1">
        <w:t xml:space="preserve"> </w:t>
      </w:r>
      <w:r w:rsidR="00F566E3">
        <w:t>.01. As a result, AUDIT scor</w:t>
      </w:r>
      <w:r w:rsidR="007B6732">
        <w:t xml:space="preserve">es were included as a covariate/predictor in analyses. </w:t>
      </w:r>
      <w:r w:rsidR="00F566E3">
        <w:t xml:space="preserve">Analyses of the distribution of drinker types (light vs. heavy, based on </w:t>
      </w:r>
      <w:r w:rsidR="001F7326">
        <w:t xml:space="preserve">AUDIT cut-off scores suggested by </w:t>
      </w:r>
      <w:r w:rsidR="00F566E3">
        <w:t>A</w:t>
      </w:r>
      <w:r w:rsidR="00A31941">
        <w:t xml:space="preserve">alto, </w:t>
      </w:r>
      <w:proofErr w:type="spellStart"/>
      <w:r w:rsidR="00A31941">
        <w:t>Alho</w:t>
      </w:r>
      <w:proofErr w:type="spellEnd"/>
      <w:r w:rsidR="00A31941">
        <w:t xml:space="preserve">, </w:t>
      </w:r>
      <w:proofErr w:type="spellStart"/>
      <w:r w:rsidR="00A31941">
        <w:t>Halme</w:t>
      </w:r>
      <w:proofErr w:type="spellEnd"/>
      <w:r w:rsidR="00A31941">
        <w:t xml:space="preserve">, &amp; </w:t>
      </w:r>
      <w:proofErr w:type="spellStart"/>
      <w:r w:rsidR="00A31941">
        <w:t>Sepp</w:t>
      </w:r>
      <w:r w:rsidR="00A31941">
        <w:rPr>
          <w:rFonts w:cs="Times New Roman"/>
        </w:rPr>
        <w:t>ä</w:t>
      </w:r>
      <w:proofErr w:type="spellEnd"/>
      <w:r w:rsidR="00A31941">
        <w:t>, 2009</w:t>
      </w:r>
      <w:r w:rsidR="00F566E3">
        <w:t>) showed that there was no significant association between drinker type and poster condition,</w:t>
      </w:r>
      <w:r w:rsidR="00F566E3" w:rsidRPr="001E6059">
        <w:rPr>
          <w:i/>
        </w:rPr>
        <w:t xml:space="preserve"> </w:t>
      </w:r>
      <w:r w:rsidR="00F566E3" w:rsidRPr="001E6059">
        <w:rPr>
          <w:rFonts w:cs="Times New Roman"/>
          <w:i/>
        </w:rPr>
        <w:t>χ</w:t>
      </w:r>
      <w:r w:rsidR="00F566E3" w:rsidRPr="001E6059">
        <w:rPr>
          <w:rFonts w:cs="Times New Roman"/>
          <w:i/>
          <w:vertAlign w:val="superscript"/>
        </w:rPr>
        <w:t>2</w:t>
      </w:r>
      <w:r w:rsidR="005939D1">
        <w:rPr>
          <w:rFonts w:cs="Times New Roman"/>
          <w:vertAlign w:val="superscript"/>
        </w:rPr>
        <w:t xml:space="preserve"> </w:t>
      </w:r>
      <w:r w:rsidR="00F566E3">
        <w:rPr>
          <w:rFonts w:cs="Times New Roman"/>
        </w:rPr>
        <w:t>(1)</w:t>
      </w:r>
      <w:r w:rsidR="005939D1">
        <w:rPr>
          <w:rFonts w:cs="Times New Roman"/>
        </w:rPr>
        <w:t xml:space="preserve"> </w:t>
      </w:r>
      <w:r w:rsidR="00F566E3">
        <w:rPr>
          <w:rFonts w:cs="Times New Roman"/>
        </w:rPr>
        <w:t>=</w:t>
      </w:r>
      <w:r w:rsidR="005939D1">
        <w:rPr>
          <w:rFonts w:cs="Times New Roman"/>
        </w:rPr>
        <w:t xml:space="preserve"> </w:t>
      </w:r>
      <w:r w:rsidR="00F566E3">
        <w:rPr>
          <w:rFonts w:cs="Times New Roman"/>
        </w:rPr>
        <w:t xml:space="preserve">1.19, </w:t>
      </w:r>
      <w:r w:rsidR="00F566E3" w:rsidRPr="001E6059">
        <w:rPr>
          <w:rFonts w:cs="Times New Roman"/>
          <w:i/>
        </w:rPr>
        <w:t>p</w:t>
      </w:r>
      <w:r w:rsidR="005939D1">
        <w:rPr>
          <w:rFonts w:cs="Times New Roman"/>
        </w:rPr>
        <w:t xml:space="preserve"> </w:t>
      </w:r>
      <w:r w:rsidR="00F566E3">
        <w:rPr>
          <w:rFonts w:cs="Times New Roman"/>
        </w:rPr>
        <w:t>&lt;</w:t>
      </w:r>
      <w:r w:rsidR="005939D1">
        <w:rPr>
          <w:rFonts w:cs="Times New Roman"/>
        </w:rPr>
        <w:t xml:space="preserve"> </w:t>
      </w:r>
      <w:r w:rsidR="00F566E3">
        <w:rPr>
          <w:rFonts w:cs="Times New Roman"/>
        </w:rPr>
        <w:t xml:space="preserve">.05, </w:t>
      </w:r>
      <w:proofErr w:type="spellStart"/>
      <w:r w:rsidR="00F566E3">
        <w:rPr>
          <w:rFonts w:cs="Times New Roman"/>
        </w:rPr>
        <w:t>n.s</w:t>
      </w:r>
      <w:proofErr w:type="spellEnd"/>
      <w:r w:rsidR="00F566E3">
        <w:rPr>
          <w:rFonts w:cs="Times New Roman"/>
        </w:rPr>
        <w:t>.</w:t>
      </w:r>
    </w:p>
    <w:p w14:paraId="759CBF2D" w14:textId="77777777" w:rsidR="001646FC" w:rsidRPr="00AD16C8" w:rsidRDefault="001646FC" w:rsidP="001646FC">
      <w:pPr>
        <w:spacing w:line="480" w:lineRule="auto"/>
        <w:rPr>
          <w:b/>
        </w:rPr>
      </w:pPr>
      <w:r w:rsidRPr="00AD16C8">
        <w:rPr>
          <w:b/>
        </w:rPr>
        <w:t>Design</w:t>
      </w:r>
    </w:p>
    <w:p w14:paraId="195F07B4" w14:textId="77777777" w:rsidR="001646FC" w:rsidRDefault="005939D1" w:rsidP="001646FC">
      <w:pPr>
        <w:spacing w:line="480" w:lineRule="auto"/>
      </w:pPr>
      <w:r>
        <w:lastRenderedPageBreak/>
        <w:tab/>
      </w:r>
      <w:r w:rsidR="0015071B">
        <w:t>The independent variables in this study were Poster Type (</w:t>
      </w:r>
      <w:r w:rsidR="00373713">
        <w:t>DA</w:t>
      </w:r>
      <w:r w:rsidR="0015071B">
        <w:t xml:space="preserve"> vs. </w:t>
      </w:r>
      <w:r w:rsidR="00373713">
        <w:t>C4L</w:t>
      </w:r>
      <w:r w:rsidR="0015071B">
        <w:t xml:space="preserve">) and </w:t>
      </w:r>
      <w:r w:rsidR="009E38BF">
        <w:t>Elaboration</w:t>
      </w:r>
      <w:r w:rsidR="0015071B">
        <w:t xml:space="preserve"> Condition (Elaboration vs. No elaboration). </w:t>
      </w:r>
      <w:r w:rsidR="00373713">
        <w:t>The dependent variables were the amount of non-alcohol</w:t>
      </w:r>
      <w:r w:rsidR="001F7326">
        <w:t>ic</w:t>
      </w:r>
      <w:r w:rsidR="00373713">
        <w:t xml:space="preserve"> beer and wine and orange juice consumed (millilitres) during the TPT. The order in which beverages were presented was randomised across participants, as was the order in which posters were presented.</w:t>
      </w:r>
    </w:p>
    <w:p w14:paraId="6DB73CA9" w14:textId="77777777" w:rsidR="001646FC" w:rsidRPr="00AD16C8" w:rsidRDefault="001646FC" w:rsidP="001646FC">
      <w:pPr>
        <w:spacing w:line="480" w:lineRule="auto"/>
        <w:rPr>
          <w:b/>
        </w:rPr>
      </w:pPr>
      <w:r w:rsidRPr="00AD16C8">
        <w:rPr>
          <w:b/>
        </w:rPr>
        <w:t>Materials</w:t>
      </w:r>
    </w:p>
    <w:p w14:paraId="299F090C" w14:textId="77777777" w:rsidR="00425701" w:rsidRDefault="00373713" w:rsidP="003C7C30">
      <w:pPr>
        <w:spacing w:line="480" w:lineRule="auto"/>
        <w:ind w:firstLine="720"/>
      </w:pPr>
      <w:proofErr w:type="gramStart"/>
      <w:r w:rsidRPr="00AD16C8">
        <w:rPr>
          <w:b/>
        </w:rPr>
        <w:t>Posters</w:t>
      </w:r>
      <w:r w:rsidR="003C7C30" w:rsidRPr="00AD16C8">
        <w:rPr>
          <w:b/>
        </w:rPr>
        <w:t xml:space="preserve"> and </w:t>
      </w:r>
      <w:proofErr w:type="spellStart"/>
      <w:r w:rsidR="003C7C30" w:rsidRPr="00AD16C8">
        <w:rPr>
          <w:b/>
        </w:rPr>
        <w:t>e</w:t>
      </w:r>
      <w:r w:rsidR="00425701" w:rsidRPr="00AD16C8">
        <w:rPr>
          <w:b/>
        </w:rPr>
        <w:t>yetracker</w:t>
      </w:r>
      <w:proofErr w:type="spellEnd"/>
      <w:r w:rsidRPr="00AD16C8">
        <w:rPr>
          <w:b/>
        </w:rPr>
        <w:t>.</w:t>
      </w:r>
      <w:proofErr w:type="gramEnd"/>
      <w:r>
        <w:t xml:space="preserve"> The two types of poster used in this study were taken from national campaigns in the UK</w:t>
      </w:r>
      <w:r w:rsidR="00473E81">
        <w:t xml:space="preserve"> conducted during 2012</w:t>
      </w:r>
      <w:r>
        <w:t xml:space="preserve">. The first set of posters was the most recent iteration of those used in the Drinkaware Trust’s </w:t>
      </w:r>
      <w:proofErr w:type="gramStart"/>
      <w:r>
        <w:rPr>
          <w:i/>
        </w:rPr>
        <w:t>Why</w:t>
      </w:r>
      <w:proofErr w:type="gramEnd"/>
      <w:r>
        <w:rPr>
          <w:i/>
        </w:rPr>
        <w:t xml:space="preserve"> let the good times go bad?</w:t>
      </w:r>
      <w:r>
        <w:t xml:space="preserve"> </w:t>
      </w:r>
      <w:proofErr w:type="gramStart"/>
      <w:r>
        <w:t>campaign</w:t>
      </w:r>
      <w:proofErr w:type="gramEnd"/>
      <w:r>
        <w:t xml:space="preserve">. These posters comprised a ‘before and after’ format, with images depicting young people both having a good time, and ostensibly experiencing negative effects of drinking excessively. In addition, each poster also contained a piece of practical advice to encourage responsible drinking (e.g. ‘Alternate alcoholic drinks with soft ones’). An example of this type of poster is shown in figure </w:t>
      </w:r>
      <w:r w:rsidR="005000B1">
        <w:t>3</w:t>
      </w:r>
      <w:r>
        <w:t xml:space="preserve">. The second type of poster was taken from the </w:t>
      </w:r>
      <w:r w:rsidRPr="00AD16C8">
        <w:t>Change4Life</w:t>
      </w:r>
      <w:r>
        <w:t xml:space="preserve"> campaign</w:t>
      </w:r>
      <w:r w:rsidR="005000B1">
        <w:t xml:space="preserve"> (see figure 4)</w:t>
      </w:r>
      <w:r w:rsidR="00647216">
        <w:t xml:space="preserve"> </w:t>
      </w:r>
      <w:r>
        <w:t xml:space="preserve">encouraging a range of different health behaviours. These posters </w:t>
      </w:r>
      <w:r w:rsidR="00473E81">
        <w:t xml:space="preserve">are </w:t>
      </w:r>
      <w:r>
        <w:t>composed of a large illustration and a health message</w:t>
      </w:r>
      <w:r w:rsidR="00647216">
        <w:t>.</w:t>
      </w:r>
      <w:r>
        <w:t xml:space="preserve"> </w:t>
      </w:r>
      <w:r w:rsidR="00647216">
        <w:t xml:space="preserve">The Change4Life posters also </w:t>
      </w:r>
      <w:r>
        <w:t xml:space="preserve">contain a simple and practical message intended to encourage healthy behaviour (e.g. </w:t>
      </w:r>
      <w:r w:rsidR="00425701">
        <w:t>‘</w:t>
      </w:r>
      <w:proofErr w:type="gramStart"/>
      <w:r w:rsidR="00425701">
        <w:t>Try</w:t>
      </w:r>
      <w:proofErr w:type="gramEnd"/>
      <w:r w:rsidR="00425701">
        <w:t xml:space="preserve"> </w:t>
      </w:r>
      <w:r w:rsidR="00140430">
        <w:t>swapping 4 wheels for 2 feet’).</w:t>
      </w:r>
    </w:p>
    <w:p w14:paraId="552AC954" w14:textId="77777777" w:rsidR="00CB10A5" w:rsidRDefault="00CB10A5" w:rsidP="00CB10A5">
      <w:pPr>
        <w:spacing w:line="480" w:lineRule="auto"/>
        <w:ind w:firstLine="720"/>
        <w:jc w:val="center"/>
      </w:pPr>
      <w:r>
        <w:t>[INSERT FIGURES 3 AND 4 HERE]</w:t>
      </w:r>
    </w:p>
    <w:p w14:paraId="657A8FA7" w14:textId="77777777" w:rsidR="00373713" w:rsidRDefault="00473E81" w:rsidP="001646FC">
      <w:pPr>
        <w:spacing w:line="480" w:lineRule="auto"/>
      </w:pPr>
      <w:r>
        <w:tab/>
      </w:r>
      <w:r w:rsidR="00647216">
        <w:t>F</w:t>
      </w:r>
      <w:r w:rsidR="00425701">
        <w:t xml:space="preserve">ive posters from one of these campaigns </w:t>
      </w:r>
      <w:r>
        <w:t>were</w:t>
      </w:r>
      <w:r w:rsidR="00425701">
        <w:t xml:space="preserve"> presented to participants in each condition on a computer monitor while they were seated at an </w:t>
      </w:r>
      <w:r w:rsidR="001F7326">
        <w:t xml:space="preserve">Eyelink-1000 </w:t>
      </w:r>
      <w:r>
        <w:t xml:space="preserve">stationary </w:t>
      </w:r>
      <w:proofErr w:type="spellStart"/>
      <w:r w:rsidR="00425701">
        <w:t>eyetrac</w:t>
      </w:r>
      <w:r w:rsidR="003C2B5F">
        <w:t>k</w:t>
      </w:r>
      <w:r>
        <w:t>ing</w:t>
      </w:r>
      <w:proofErr w:type="spellEnd"/>
      <w:r>
        <w:t xml:space="preserve"> device</w:t>
      </w:r>
      <w:r w:rsidR="00425701">
        <w:t>. Each poster was presented for 10 seconds, with a 20 second interval between each</w:t>
      </w:r>
      <w:r>
        <w:t xml:space="preserve"> presentation</w:t>
      </w:r>
      <w:r w:rsidR="00425701">
        <w:t>. During the interval, participants were asked to note down everything the</w:t>
      </w:r>
      <w:r>
        <w:t>y could</w:t>
      </w:r>
      <w:r w:rsidR="00425701">
        <w:t xml:space="preserve"> remember seeing from each poster</w:t>
      </w:r>
      <w:r>
        <w:t>. T</w:t>
      </w:r>
      <w:r w:rsidR="00425701">
        <w:t>his task was included to try and motivate participants to attend to all aspects of each poster.</w:t>
      </w:r>
    </w:p>
    <w:p w14:paraId="29E5E857" w14:textId="77777777" w:rsidR="00425701" w:rsidRDefault="003C7C30" w:rsidP="003C7C30">
      <w:pPr>
        <w:spacing w:line="480" w:lineRule="auto"/>
        <w:ind w:firstLine="720"/>
      </w:pPr>
      <w:proofErr w:type="gramStart"/>
      <w:r w:rsidRPr="00AD16C8">
        <w:rPr>
          <w:b/>
        </w:rPr>
        <w:lastRenderedPageBreak/>
        <w:t>Elaboration t</w:t>
      </w:r>
      <w:r w:rsidR="00425701" w:rsidRPr="00AD16C8">
        <w:rPr>
          <w:b/>
        </w:rPr>
        <w:t>ask.</w:t>
      </w:r>
      <w:proofErr w:type="gramEnd"/>
      <w:r w:rsidR="0047128C">
        <w:t xml:space="preserve"> Participants in the e</w:t>
      </w:r>
      <w:r w:rsidR="00425701">
        <w:t>laboration</w:t>
      </w:r>
      <w:r w:rsidR="00140430">
        <w:t xml:space="preserve"> condition were asked to spend </w:t>
      </w:r>
      <w:r w:rsidR="00647216">
        <w:t>two</w:t>
      </w:r>
      <w:r w:rsidR="00425701">
        <w:t xml:space="preserve"> minutes verbalising what they thought the key message</w:t>
      </w:r>
      <w:r w:rsidR="00140430">
        <w:t>s</w:t>
      </w:r>
      <w:r w:rsidR="00425701">
        <w:t xml:space="preserve"> w</w:t>
      </w:r>
      <w:r w:rsidR="00140430">
        <w:t>ere</w:t>
      </w:r>
      <w:r w:rsidR="00425701">
        <w:t xml:space="preserve"> from the posters they had seen. This manipulation was intended to encourage these participants to consider the contents of the posters in greater depth</w:t>
      </w:r>
      <w:r w:rsidR="00473E81">
        <w:t xml:space="preserve"> and detail</w:t>
      </w:r>
      <w:r w:rsidR="00425701">
        <w:t>.</w:t>
      </w:r>
    </w:p>
    <w:p w14:paraId="740F0FF1" w14:textId="77777777" w:rsidR="00425701" w:rsidRDefault="00425701" w:rsidP="003C7C30">
      <w:pPr>
        <w:spacing w:line="480" w:lineRule="auto"/>
        <w:ind w:firstLine="720"/>
      </w:pPr>
      <w:r w:rsidRPr="00AD16C8">
        <w:rPr>
          <w:b/>
        </w:rPr>
        <w:t xml:space="preserve">Taste </w:t>
      </w:r>
      <w:r w:rsidR="003C7C30" w:rsidRPr="00AD16C8">
        <w:rPr>
          <w:b/>
        </w:rPr>
        <w:t>p</w:t>
      </w:r>
      <w:r w:rsidRPr="00AD16C8">
        <w:rPr>
          <w:b/>
        </w:rPr>
        <w:t xml:space="preserve">reference </w:t>
      </w:r>
      <w:r w:rsidR="003C7C30" w:rsidRPr="00AD16C8">
        <w:rPr>
          <w:b/>
        </w:rPr>
        <w:t>t</w:t>
      </w:r>
      <w:r w:rsidRPr="00AD16C8">
        <w:rPr>
          <w:b/>
        </w:rPr>
        <w:t>ask.</w:t>
      </w:r>
      <w:r>
        <w:t xml:space="preserve"> </w:t>
      </w:r>
      <w:r w:rsidR="001F4A01">
        <w:t>As in the previous experiments p</w:t>
      </w:r>
      <w:r>
        <w:t xml:space="preserve">articipants were presented with pairs of beer, wine and orange </w:t>
      </w:r>
      <w:r w:rsidR="00473E81">
        <w:t>juice</w:t>
      </w:r>
      <w:r>
        <w:t xml:space="preserve"> and the experimenter recorded the total volume consumed of each at the end of each session.</w:t>
      </w:r>
    </w:p>
    <w:p w14:paraId="00E3958D" w14:textId="77777777" w:rsidR="00647216" w:rsidRDefault="00425701" w:rsidP="00AD16C8">
      <w:pPr>
        <w:spacing w:line="480" w:lineRule="auto"/>
      </w:pPr>
      <w:r w:rsidRPr="00AD16C8">
        <w:rPr>
          <w:b/>
        </w:rPr>
        <w:t>Procedure</w:t>
      </w:r>
      <w:r w:rsidR="00473E81">
        <w:tab/>
      </w:r>
    </w:p>
    <w:p w14:paraId="35ED0596" w14:textId="77777777" w:rsidR="00425701" w:rsidRPr="00373713" w:rsidRDefault="00647216" w:rsidP="00AD16C8">
      <w:pPr>
        <w:spacing w:line="480" w:lineRule="auto"/>
      </w:pPr>
      <w:r>
        <w:tab/>
      </w:r>
      <w:r w:rsidR="00425701">
        <w:t>On arrival in the laboratory participants were briefed on</w:t>
      </w:r>
      <w:r w:rsidR="00B5598A">
        <w:t xml:space="preserve"> the nature of the study and consent </w:t>
      </w:r>
      <w:r w:rsidR="00473E81">
        <w:t>requested</w:t>
      </w:r>
      <w:r w:rsidR="00B5598A">
        <w:t xml:space="preserve">. </w:t>
      </w:r>
      <w:r w:rsidR="00473E81">
        <w:t>P</w:t>
      </w:r>
      <w:r w:rsidR="00B5598A">
        <w:t>articipant</w:t>
      </w:r>
      <w:r w:rsidR="00473E81">
        <w:t>s</w:t>
      </w:r>
      <w:r w:rsidR="00B5598A">
        <w:t xml:space="preserve"> w</w:t>
      </w:r>
      <w:r w:rsidR="00473E81">
        <w:t>ere</w:t>
      </w:r>
      <w:r w:rsidR="00B5598A">
        <w:t xml:space="preserve"> then asked to sit down at the </w:t>
      </w:r>
      <w:proofErr w:type="spellStart"/>
      <w:r w:rsidR="00B5598A">
        <w:t>eyetracker</w:t>
      </w:r>
      <w:proofErr w:type="spellEnd"/>
      <w:r w:rsidR="00B5598A">
        <w:t xml:space="preserve">, and calibration checks were performed to ensure that accurate eye movement data was recorded. Calibration checks were carried out in between the presentation of each of the five posters to correct any drift which might occur. </w:t>
      </w:r>
      <w:r w:rsidR="00473E81">
        <w:t>T</w:t>
      </w:r>
      <w:r w:rsidR="00B5598A">
        <w:t xml:space="preserve">hose participants in the elaboration condition were asked to speak for up to two minutes regarding ‘responsible alcohol use’ or ‘healthy </w:t>
      </w:r>
      <w:proofErr w:type="gramStart"/>
      <w:r w:rsidR="00B5598A">
        <w:t>living’,</w:t>
      </w:r>
      <w:proofErr w:type="gramEnd"/>
      <w:r w:rsidR="00B5598A">
        <w:t xml:space="preserve"> depending on the posters they had been exposed to. All participants then completed the TPT and completed the preference ratings for each type of beverage. Finally, a funnelled debriefing was carried out before participants were fully debriefed on the nature and aims of the study.</w:t>
      </w:r>
    </w:p>
    <w:p w14:paraId="60FC0A48" w14:textId="77777777" w:rsidR="001646FC" w:rsidRPr="00AD16C8" w:rsidRDefault="007E59BE" w:rsidP="00357970">
      <w:pPr>
        <w:spacing w:line="480" w:lineRule="auto"/>
        <w:jc w:val="center"/>
        <w:rPr>
          <w:b/>
        </w:rPr>
      </w:pPr>
      <w:r w:rsidRPr="00AD16C8">
        <w:rPr>
          <w:b/>
        </w:rPr>
        <w:t>Results</w:t>
      </w:r>
      <w:r w:rsidR="001F4A01">
        <w:rPr>
          <w:b/>
        </w:rPr>
        <w:t xml:space="preserve"> and Discussion</w:t>
      </w:r>
    </w:p>
    <w:p w14:paraId="402359B4" w14:textId="77777777" w:rsidR="00DC70FB" w:rsidRDefault="00E3414C" w:rsidP="00E3414C">
      <w:pPr>
        <w:spacing w:line="480" w:lineRule="auto"/>
        <w:rPr>
          <w:rFonts w:cs="Times New Roman"/>
        </w:rPr>
      </w:pPr>
      <w:proofErr w:type="gramStart"/>
      <w:r w:rsidRPr="00AD16C8">
        <w:rPr>
          <w:rFonts w:cs="Times New Roman"/>
          <w:b/>
        </w:rPr>
        <w:t xml:space="preserve">Effects </w:t>
      </w:r>
      <w:r w:rsidR="003C7C30" w:rsidRPr="00AD16C8">
        <w:rPr>
          <w:rFonts w:cs="Times New Roman"/>
          <w:b/>
        </w:rPr>
        <w:t xml:space="preserve">of Poster Type and Elaboration on Consumption in the </w:t>
      </w:r>
      <w:r w:rsidRPr="00AD16C8">
        <w:rPr>
          <w:rFonts w:cs="Times New Roman"/>
          <w:b/>
        </w:rPr>
        <w:t>TPT</w:t>
      </w:r>
      <w:r w:rsidR="000F23A2">
        <w:rPr>
          <w:rFonts w:cs="Times New Roman"/>
          <w:b/>
        </w:rPr>
        <w:t>.</w:t>
      </w:r>
      <w:proofErr w:type="gramEnd"/>
      <w:r w:rsidR="000F23A2">
        <w:rPr>
          <w:rFonts w:cs="Times New Roman"/>
          <w:b/>
        </w:rPr>
        <w:t xml:space="preserve"> </w:t>
      </w:r>
      <w:r w:rsidR="00E92FCF">
        <w:rPr>
          <w:rFonts w:cs="Times New Roman"/>
        </w:rPr>
        <w:tab/>
      </w:r>
    </w:p>
    <w:p w14:paraId="2735174C" w14:textId="77777777" w:rsidR="00E3414C" w:rsidRDefault="00DC70FB" w:rsidP="00E3414C">
      <w:pPr>
        <w:spacing w:line="480" w:lineRule="auto"/>
        <w:rPr>
          <w:rFonts w:cs="Times New Roman"/>
        </w:rPr>
      </w:pPr>
      <w:r>
        <w:rPr>
          <w:rFonts w:cs="Times New Roman"/>
        </w:rPr>
        <w:tab/>
      </w:r>
      <w:r w:rsidR="00E3414C" w:rsidRPr="00E3414C">
        <w:rPr>
          <w:rFonts w:cs="Times New Roman"/>
        </w:rPr>
        <w:t xml:space="preserve">A two-way ANOVA was conducted on the consumption data with poster type (DA vs. C4L) and </w:t>
      </w:r>
      <w:r w:rsidR="000F23A2">
        <w:rPr>
          <w:rFonts w:cs="Times New Roman"/>
        </w:rPr>
        <w:t>E</w:t>
      </w:r>
      <w:r w:rsidR="00E3414C" w:rsidRPr="00E3414C">
        <w:rPr>
          <w:rFonts w:cs="Times New Roman"/>
        </w:rPr>
        <w:t xml:space="preserve">laboration </w:t>
      </w:r>
      <w:r w:rsidR="000F23A2">
        <w:rPr>
          <w:rFonts w:cs="Times New Roman"/>
        </w:rPr>
        <w:t>C</w:t>
      </w:r>
      <w:r w:rsidR="00E3414C" w:rsidRPr="00E3414C">
        <w:rPr>
          <w:rFonts w:cs="Times New Roman"/>
        </w:rPr>
        <w:t>ondition (elaboration vs. no elaboration) as</w:t>
      </w:r>
      <w:r w:rsidR="00E3414C">
        <w:rPr>
          <w:rFonts w:cs="Times New Roman"/>
        </w:rPr>
        <w:t xml:space="preserve"> </w:t>
      </w:r>
      <w:r w:rsidR="001F4A01">
        <w:rPr>
          <w:rFonts w:cs="Times New Roman"/>
        </w:rPr>
        <w:t>between-</w:t>
      </w:r>
      <w:r w:rsidR="00E3414C" w:rsidRPr="00E3414C">
        <w:rPr>
          <w:rFonts w:cs="Times New Roman"/>
        </w:rPr>
        <w:t>participants factors</w:t>
      </w:r>
      <w:r w:rsidR="00C12724">
        <w:rPr>
          <w:rFonts w:cs="Times New Roman"/>
        </w:rPr>
        <w:t xml:space="preserve"> </w:t>
      </w:r>
      <w:r w:rsidR="000F23A2">
        <w:rPr>
          <w:rFonts w:cs="Times New Roman"/>
        </w:rPr>
        <w:t xml:space="preserve">and </w:t>
      </w:r>
      <w:r w:rsidR="00C12724">
        <w:rPr>
          <w:rFonts w:cs="Times New Roman"/>
        </w:rPr>
        <w:t>AUDIT score entered as a covariate</w:t>
      </w:r>
      <w:r w:rsidR="00E3414C" w:rsidRPr="00E3414C">
        <w:rPr>
          <w:rFonts w:cs="Times New Roman"/>
        </w:rPr>
        <w:t xml:space="preserve">. Consumption data for each group is shown in table </w:t>
      </w:r>
      <w:r w:rsidR="005D2986">
        <w:rPr>
          <w:rFonts w:cs="Times New Roman"/>
        </w:rPr>
        <w:t>2</w:t>
      </w:r>
      <w:r w:rsidR="00E3414C" w:rsidRPr="00E3414C">
        <w:rPr>
          <w:rFonts w:cs="Times New Roman"/>
        </w:rPr>
        <w:t>.</w:t>
      </w:r>
    </w:p>
    <w:p w14:paraId="3ACB8E55" w14:textId="77777777" w:rsidR="00A23D6A" w:rsidRPr="00E3414C" w:rsidRDefault="00A23D6A" w:rsidP="00A23D6A">
      <w:pPr>
        <w:spacing w:line="480" w:lineRule="auto"/>
        <w:jc w:val="center"/>
        <w:rPr>
          <w:rFonts w:cs="Times New Roman"/>
        </w:rPr>
      </w:pPr>
      <w:r>
        <w:rPr>
          <w:rFonts w:cs="Times New Roman"/>
        </w:rPr>
        <w:t xml:space="preserve">[TABLE </w:t>
      </w:r>
      <w:r w:rsidR="0047128C">
        <w:rPr>
          <w:rFonts w:cs="Times New Roman"/>
        </w:rPr>
        <w:t>1</w:t>
      </w:r>
      <w:r>
        <w:rPr>
          <w:rFonts w:cs="Times New Roman"/>
        </w:rPr>
        <w:t xml:space="preserve"> HERE]</w:t>
      </w:r>
    </w:p>
    <w:p w14:paraId="2E2036E9" w14:textId="77777777" w:rsidR="00E3414C" w:rsidRPr="00E3414C" w:rsidRDefault="000F23A2" w:rsidP="00E3414C">
      <w:pPr>
        <w:spacing w:line="480" w:lineRule="auto"/>
        <w:rPr>
          <w:rFonts w:cs="Times New Roman"/>
        </w:rPr>
      </w:pPr>
      <w:r>
        <w:rPr>
          <w:rFonts w:cs="Times New Roman"/>
        </w:rPr>
        <w:lastRenderedPageBreak/>
        <w:tab/>
      </w:r>
      <w:r w:rsidR="00E3414C" w:rsidRPr="00E3414C">
        <w:rPr>
          <w:rFonts w:cs="Times New Roman"/>
        </w:rPr>
        <w:t xml:space="preserve">Results showed a significant main effect of poster type on </w:t>
      </w:r>
      <w:r w:rsidR="006C2A9F">
        <w:rPr>
          <w:rFonts w:cs="Times New Roman"/>
        </w:rPr>
        <w:t>consumption</w:t>
      </w:r>
      <w:r w:rsidR="00E3414C" w:rsidRPr="00E3414C">
        <w:rPr>
          <w:rFonts w:cs="Times New Roman"/>
        </w:rPr>
        <w:t xml:space="preserve">, </w:t>
      </w:r>
      <w:r w:rsidR="00E3414C" w:rsidRPr="001E6059">
        <w:rPr>
          <w:rFonts w:cs="Times New Roman"/>
          <w:i/>
        </w:rPr>
        <w:t>F</w:t>
      </w:r>
      <w:r w:rsidR="00E92FCF">
        <w:rPr>
          <w:rFonts w:cs="Times New Roman"/>
        </w:rPr>
        <w:t xml:space="preserve"> </w:t>
      </w:r>
      <w:r w:rsidR="00E3414C" w:rsidRPr="00E3414C">
        <w:rPr>
          <w:rFonts w:cs="Times New Roman"/>
        </w:rPr>
        <w:t>(1</w:t>
      </w:r>
      <w:proofErr w:type="gramStart"/>
      <w:r w:rsidR="00E3414C" w:rsidRPr="00E3414C">
        <w:rPr>
          <w:rFonts w:cs="Times New Roman"/>
        </w:rPr>
        <w:t>,57</w:t>
      </w:r>
      <w:proofErr w:type="gramEnd"/>
      <w:r w:rsidR="00E3414C" w:rsidRPr="00E3414C">
        <w:rPr>
          <w:rFonts w:cs="Times New Roman"/>
        </w:rPr>
        <w:t>)</w:t>
      </w:r>
      <w:r w:rsidR="00E92FCF">
        <w:rPr>
          <w:rFonts w:cs="Times New Roman"/>
        </w:rPr>
        <w:t xml:space="preserve"> </w:t>
      </w:r>
      <w:r w:rsidR="00E3414C" w:rsidRPr="00E3414C">
        <w:rPr>
          <w:rFonts w:cs="Times New Roman"/>
        </w:rPr>
        <w:t>=</w:t>
      </w:r>
      <w:r w:rsidR="00E92FCF">
        <w:rPr>
          <w:rFonts w:cs="Times New Roman"/>
        </w:rPr>
        <w:t xml:space="preserve"> </w:t>
      </w:r>
      <w:r w:rsidR="00E3414C" w:rsidRPr="00E3414C">
        <w:rPr>
          <w:rFonts w:cs="Times New Roman"/>
        </w:rPr>
        <w:t xml:space="preserve">12.67, </w:t>
      </w:r>
      <w:r w:rsidR="00E3414C" w:rsidRPr="001E6059">
        <w:rPr>
          <w:rFonts w:cs="Times New Roman"/>
          <w:i/>
        </w:rPr>
        <w:t>p</w:t>
      </w:r>
      <w:r w:rsidR="00E92FCF">
        <w:rPr>
          <w:rFonts w:cs="Times New Roman"/>
        </w:rPr>
        <w:t xml:space="preserve"> </w:t>
      </w:r>
      <w:r w:rsidR="00E3414C" w:rsidRPr="00E3414C">
        <w:rPr>
          <w:rFonts w:cs="Times New Roman"/>
        </w:rPr>
        <w:t>&lt;</w:t>
      </w:r>
      <w:r w:rsidR="00E92FCF">
        <w:rPr>
          <w:rFonts w:cs="Times New Roman"/>
        </w:rPr>
        <w:t xml:space="preserve"> </w:t>
      </w:r>
      <w:r w:rsidR="00E3414C" w:rsidRPr="00E3414C">
        <w:rPr>
          <w:rFonts w:cs="Times New Roman"/>
        </w:rPr>
        <w:t xml:space="preserve">.01, 95% CI = </w:t>
      </w:r>
      <w:r w:rsidR="00C12724">
        <w:rPr>
          <w:rFonts w:cs="Times New Roman"/>
        </w:rPr>
        <w:t>8.39</w:t>
      </w:r>
      <w:r w:rsidR="00E3414C" w:rsidRPr="00E3414C">
        <w:rPr>
          <w:rFonts w:cs="Times New Roman"/>
        </w:rPr>
        <w:t xml:space="preserve"> to </w:t>
      </w:r>
      <w:r w:rsidR="00C12724">
        <w:rPr>
          <w:rFonts w:cs="Times New Roman"/>
        </w:rPr>
        <w:t>132.78</w:t>
      </w:r>
      <w:r w:rsidR="00E3414C" w:rsidRPr="00E3414C">
        <w:rPr>
          <w:rFonts w:cs="Times New Roman"/>
        </w:rPr>
        <w:t>)</w:t>
      </w:r>
      <w:r w:rsidR="00E92FCF">
        <w:rPr>
          <w:rFonts w:cs="Times New Roman"/>
        </w:rPr>
        <w:t>.</w:t>
      </w:r>
      <w:r w:rsidR="00E3414C" w:rsidRPr="00E3414C">
        <w:rPr>
          <w:rFonts w:cs="Times New Roman"/>
        </w:rPr>
        <w:t xml:space="preserve"> </w:t>
      </w:r>
      <w:r w:rsidR="00E92FCF">
        <w:rPr>
          <w:rFonts w:cs="Times New Roman"/>
        </w:rPr>
        <w:t>P</w:t>
      </w:r>
      <w:r w:rsidR="00E3414C" w:rsidRPr="00E3414C">
        <w:rPr>
          <w:rFonts w:cs="Times New Roman"/>
        </w:rPr>
        <w:t xml:space="preserve">articipants exposed to the DA posters drank significantly more than those exposed to the C4L posters. There was no significant main effect of </w:t>
      </w:r>
      <w:r w:rsidR="00E92FCF">
        <w:rPr>
          <w:rFonts w:cs="Times New Roman"/>
        </w:rPr>
        <w:t>E</w:t>
      </w:r>
      <w:r w:rsidR="00E3414C" w:rsidRPr="00E3414C">
        <w:rPr>
          <w:rFonts w:cs="Times New Roman"/>
        </w:rPr>
        <w:t>laboration</w:t>
      </w:r>
      <w:r w:rsidR="00E92FCF">
        <w:rPr>
          <w:rFonts w:cs="Times New Roman"/>
        </w:rPr>
        <w:t xml:space="preserve"> Condition</w:t>
      </w:r>
      <w:r w:rsidR="00E3414C" w:rsidRPr="00E3414C">
        <w:rPr>
          <w:rFonts w:cs="Times New Roman"/>
        </w:rPr>
        <w:t xml:space="preserve">, </w:t>
      </w:r>
      <w:r w:rsidR="00E3414C" w:rsidRPr="001E6059">
        <w:rPr>
          <w:rFonts w:cs="Times New Roman"/>
          <w:i/>
        </w:rPr>
        <w:t>F</w:t>
      </w:r>
      <w:r w:rsidR="00E92FCF">
        <w:rPr>
          <w:rFonts w:cs="Times New Roman"/>
        </w:rPr>
        <w:t xml:space="preserve"> </w:t>
      </w:r>
      <w:r w:rsidR="00E3414C" w:rsidRPr="00E3414C">
        <w:rPr>
          <w:rFonts w:cs="Times New Roman"/>
        </w:rPr>
        <w:t>(1, 57)</w:t>
      </w:r>
      <w:r w:rsidR="00E92FCF">
        <w:rPr>
          <w:rFonts w:cs="Times New Roman"/>
        </w:rPr>
        <w:t xml:space="preserve"> </w:t>
      </w:r>
      <w:r w:rsidR="00E3414C" w:rsidRPr="00E3414C">
        <w:rPr>
          <w:rFonts w:cs="Times New Roman"/>
        </w:rPr>
        <w:t>=</w:t>
      </w:r>
      <w:r w:rsidR="00E92FCF">
        <w:rPr>
          <w:rFonts w:cs="Times New Roman"/>
        </w:rPr>
        <w:t xml:space="preserve"> </w:t>
      </w:r>
      <w:r w:rsidR="00E3414C" w:rsidRPr="00E3414C">
        <w:rPr>
          <w:rFonts w:cs="Times New Roman"/>
        </w:rPr>
        <w:t>0.0</w:t>
      </w:r>
      <w:r w:rsidR="00C12724">
        <w:rPr>
          <w:rFonts w:cs="Times New Roman"/>
        </w:rPr>
        <w:t>04</w:t>
      </w:r>
      <w:r w:rsidR="00E3414C" w:rsidRPr="00E3414C">
        <w:rPr>
          <w:rFonts w:cs="Times New Roman"/>
        </w:rPr>
        <w:t xml:space="preserve">, </w:t>
      </w:r>
      <w:r w:rsidR="00E3414C" w:rsidRPr="001E6059">
        <w:rPr>
          <w:rFonts w:cs="Times New Roman"/>
          <w:i/>
        </w:rPr>
        <w:t>p</w:t>
      </w:r>
      <w:r w:rsidR="00E92FCF">
        <w:rPr>
          <w:rFonts w:cs="Times New Roman"/>
        </w:rPr>
        <w:t xml:space="preserve"> </w:t>
      </w:r>
      <w:r w:rsidR="00E3414C" w:rsidRPr="00E3414C">
        <w:rPr>
          <w:rFonts w:cs="Times New Roman"/>
        </w:rPr>
        <w:t>&gt;</w:t>
      </w:r>
      <w:r w:rsidR="00E92FCF">
        <w:rPr>
          <w:rFonts w:cs="Times New Roman"/>
        </w:rPr>
        <w:t xml:space="preserve"> </w:t>
      </w:r>
      <w:r w:rsidR="00E3414C" w:rsidRPr="00E3414C">
        <w:rPr>
          <w:rFonts w:cs="Times New Roman"/>
        </w:rPr>
        <w:t xml:space="preserve">.05, </w:t>
      </w:r>
      <w:proofErr w:type="spellStart"/>
      <w:r w:rsidR="00E3414C" w:rsidRPr="00E3414C">
        <w:rPr>
          <w:rFonts w:cs="Times New Roman"/>
        </w:rPr>
        <w:t>n.s</w:t>
      </w:r>
      <w:proofErr w:type="spellEnd"/>
      <w:r w:rsidR="00E3414C" w:rsidRPr="00E3414C">
        <w:rPr>
          <w:rFonts w:cs="Times New Roman"/>
        </w:rPr>
        <w:t xml:space="preserve">., nor a significant </w:t>
      </w:r>
      <w:r w:rsidR="00E92FCF">
        <w:rPr>
          <w:rFonts w:cs="Times New Roman"/>
        </w:rPr>
        <w:t>P</w:t>
      </w:r>
      <w:r w:rsidR="00E3414C" w:rsidRPr="00E3414C">
        <w:rPr>
          <w:rFonts w:cs="Times New Roman"/>
        </w:rPr>
        <w:t xml:space="preserve">oster </w:t>
      </w:r>
      <w:r w:rsidR="00E92FCF">
        <w:rPr>
          <w:rFonts w:cs="Times New Roman"/>
        </w:rPr>
        <w:t>T</w:t>
      </w:r>
      <w:r w:rsidR="00E3414C" w:rsidRPr="00E3414C">
        <w:rPr>
          <w:rFonts w:cs="Times New Roman"/>
        </w:rPr>
        <w:t xml:space="preserve">ype X </w:t>
      </w:r>
      <w:r w:rsidR="00E92FCF">
        <w:rPr>
          <w:rFonts w:cs="Times New Roman"/>
        </w:rPr>
        <w:t>E</w:t>
      </w:r>
      <w:r w:rsidR="00E3414C" w:rsidRPr="00E3414C">
        <w:rPr>
          <w:rFonts w:cs="Times New Roman"/>
        </w:rPr>
        <w:t xml:space="preserve">laboration interaction, </w:t>
      </w:r>
      <w:proofErr w:type="gramStart"/>
      <w:r w:rsidR="00E3414C" w:rsidRPr="001E6059">
        <w:rPr>
          <w:rFonts w:cs="Times New Roman"/>
          <w:i/>
        </w:rPr>
        <w:t>F</w:t>
      </w:r>
      <w:r w:rsidR="00E3414C" w:rsidRPr="00E3414C">
        <w:rPr>
          <w:rFonts w:cs="Times New Roman"/>
        </w:rPr>
        <w:t>(</w:t>
      </w:r>
      <w:proofErr w:type="gramEnd"/>
      <w:r w:rsidR="00E3414C" w:rsidRPr="00E3414C">
        <w:rPr>
          <w:rFonts w:cs="Times New Roman"/>
        </w:rPr>
        <w:t>1, 57)=0.1</w:t>
      </w:r>
      <w:r w:rsidR="00C12724">
        <w:rPr>
          <w:rFonts w:cs="Times New Roman"/>
        </w:rPr>
        <w:t>2</w:t>
      </w:r>
      <w:r w:rsidR="00E3414C" w:rsidRPr="00E3414C">
        <w:rPr>
          <w:rFonts w:cs="Times New Roman"/>
        </w:rPr>
        <w:t xml:space="preserve">, </w:t>
      </w:r>
      <w:r w:rsidR="00E3414C" w:rsidRPr="001E6059">
        <w:rPr>
          <w:rFonts w:cs="Times New Roman"/>
          <w:i/>
        </w:rPr>
        <w:t>p</w:t>
      </w:r>
      <w:r w:rsidR="00E3414C" w:rsidRPr="00E3414C">
        <w:rPr>
          <w:rFonts w:cs="Times New Roman"/>
        </w:rPr>
        <w:t>&gt;.05, ns.</w:t>
      </w:r>
      <w:r w:rsidR="00C12724">
        <w:rPr>
          <w:rFonts w:cs="Times New Roman"/>
        </w:rPr>
        <w:t xml:space="preserve"> Finally, AUDIT scores did not significantly adjust the dependent variable in the model, </w:t>
      </w:r>
      <w:r w:rsidR="00C12724" w:rsidRPr="001E6059">
        <w:rPr>
          <w:rFonts w:cs="Times New Roman"/>
          <w:i/>
        </w:rPr>
        <w:t>F</w:t>
      </w:r>
      <w:r w:rsidR="00E92FCF">
        <w:rPr>
          <w:rFonts w:cs="Times New Roman"/>
        </w:rPr>
        <w:t xml:space="preserve"> </w:t>
      </w:r>
      <w:r w:rsidR="00C12724">
        <w:rPr>
          <w:rFonts w:cs="Times New Roman"/>
        </w:rPr>
        <w:t>(1, 57)</w:t>
      </w:r>
      <w:r w:rsidR="00E92FCF">
        <w:rPr>
          <w:rFonts w:cs="Times New Roman"/>
        </w:rPr>
        <w:t xml:space="preserve"> </w:t>
      </w:r>
      <w:r w:rsidR="00C12724">
        <w:rPr>
          <w:rFonts w:cs="Times New Roman"/>
        </w:rPr>
        <w:t>=</w:t>
      </w:r>
      <w:r w:rsidR="00E92FCF">
        <w:rPr>
          <w:rFonts w:cs="Times New Roman"/>
        </w:rPr>
        <w:t xml:space="preserve"> </w:t>
      </w:r>
      <w:r w:rsidR="00C12724">
        <w:rPr>
          <w:rFonts w:cs="Times New Roman"/>
        </w:rPr>
        <w:t xml:space="preserve">2.81, </w:t>
      </w:r>
      <w:r w:rsidR="00C12724" w:rsidRPr="001E6059">
        <w:rPr>
          <w:rFonts w:cs="Times New Roman"/>
          <w:i/>
        </w:rPr>
        <w:t>p</w:t>
      </w:r>
      <w:r w:rsidR="00E92FCF">
        <w:rPr>
          <w:rFonts w:cs="Times New Roman"/>
        </w:rPr>
        <w:t xml:space="preserve"> </w:t>
      </w:r>
      <w:r w:rsidR="00C12724">
        <w:rPr>
          <w:rFonts w:cs="Times New Roman"/>
        </w:rPr>
        <w:t>&gt;</w:t>
      </w:r>
      <w:r w:rsidR="00E92FCF">
        <w:rPr>
          <w:rFonts w:cs="Times New Roman"/>
        </w:rPr>
        <w:t xml:space="preserve"> </w:t>
      </w:r>
      <w:r w:rsidR="00C12724">
        <w:rPr>
          <w:rFonts w:cs="Times New Roman"/>
        </w:rPr>
        <w:t xml:space="preserve">.05, </w:t>
      </w:r>
      <w:proofErr w:type="spellStart"/>
      <w:r w:rsidR="00C12724">
        <w:rPr>
          <w:rFonts w:cs="Times New Roman"/>
        </w:rPr>
        <w:t>n.s</w:t>
      </w:r>
      <w:proofErr w:type="spellEnd"/>
      <w:r w:rsidR="00C12724">
        <w:rPr>
          <w:rFonts w:cs="Times New Roman"/>
        </w:rPr>
        <w:t>.</w:t>
      </w:r>
    </w:p>
    <w:p w14:paraId="24E74EEE" w14:textId="77777777" w:rsidR="00E3414C" w:rsidRPr="00AD16C8" w:rsidRDefault="00E3414C" w:rsidP="00E3414C">
      <w:pPr>
        <w:spacing w:line="480" w:lineRule="auto"/>
        <w:rPr>
          <w:rFonts w:cs="Times New Roman"/>
          <w:b/>
        </w:rPr>
      </w:pPr>
      <w:proofErr w:type="spellStart"/>
      <w:r w:rsidRPr="00AD16C8">
        <w:rPr>
          <w:rFonts w:cs="Times New Roman"/>
          <w:b/>
        </w:rPr>
        <w:t>Eyetracking</w:t>
      </w:r>
      <w:proofErr w:type="spellEnd"/>
      <w:r w:rsidRPr="00AD16C8">
        <w:rPr>
          <w:rFonts w:cs="Times New Roman"/>
          <w:b/>
        </w:rPr>
        <w:t xml:space="preserve"> </w:t>
      </w:r>
      <w:r w:rsidR="003C7C30" w:rsidRPr="00AD16C8">
        <w:rPr>
          <w:rFonts w:cs="Times New Roman"/>
          <w:b/>
        </w:rPr>
        <w:t>D</w:t>
      </w:r>
      <w:r w:rsidRPr="00AD16C8">
        <w:rPr>
          <w:rFonts w:cs="Times New Roman"/>
          <w:b/>
        </w:rPr>
        <w:t>ata</w:t>
      </w:r>
    </w:p>
    <w:p w14:paraId="58CBC279" w14:textId="63D34F38" w:rsidR="006C2A9F" w:rsidRPr="00E3414C" w:rsidRDefault="00E92FCF" w:rsidP="00E3414C">
      <w:pPr>
        <w:spacing w:line="480" w:lineRule="auto"/>
        <w:rPr>
          <w:rFonts w:cs="Times New Roman"/>
        </w:rPr>
      </w:pPr>
      <w:r>
        <w:rPr>
          <w:rFonts w:cs="Times New Roman"/>
        </w:rPr>
        <w:tab/>
        <w:t>T</w:t>
      </w:r>
      <w:r w:rsidRPr="00E92FCF">
        <w:rPr>
          <w:rFonts w:cs="Times New Roman"/>
        </w:rPr>
        <w:t xml:space="preserve">o allow for an analysis of the areas of each poster type which participants were attending to </w:t>
      </w:r>
      <w:r w:rsidR="00E3414C" w:rsidRPr="00E3414C">
        <w:rPr>
          <w:rFonts w:cs="Times New Roman"/>
        </w:rPr>
        <w:t xml:space="preserve">a number of interest areas were defined </w:t>
      </w:r>
      <w:r>
        <w:rPr>
          <w:rFonts w:cs="Times New Roman"/>
        </w:rPr>
        <w:t>for each type of poster</w:t>
      </w:r>
      <w:r w:rsidR="00E3414C" w:rsidRPr="00E3414C">
        <w:rPr>
          <w:rFonts w:cs="Times New Roman"/>
        </w:rPr>
        <w:t xml:space="preserve">. Within each type of poster the same interest areas were defined for each of the five posters, though obviously the interest areas for each poster type differed. Figures </w:t>
      </w:r>
      <w:r w:rsidR="0005691B">
        <w:rPr>
          <w:rFonts w:cs="Times New Roman"/>
        </w:rPr>
        <w:t>3</w:t>
      </w:r>
      <w:r w:rsidR="00E3414C" w:rsidRPr="00E3414C">
        <w:rPr>
          <w:rFonts w:cs="Times New Roman"/>
        </w:rPr>
        <w:t xml:space="preserve"> and </w:t>
      </w:r>
      <w:r w:rsidR="0005691B">
        <w:rPr>
          <w:rFonts w:cs="Times New Roman"/>
        </w:rPr>
        <w:t>4</w:t>
      </w:r>
      <w:r w:rsidR="00E3414C" w:rsidRPr="00E3414C">
        <w:rPr>
          <w:rFonts w:cs="Times New Roman"/>
        </w:rPr>
        <w:t xml:space="preserve"> highlight the interest areas which were defined for each type of poster. </w:t>
      </w:r>
    </w:p>
    <w:p w14:paraId="1BF076C6" w14:textId="77777777" w:rsidR="00E3414C" w:rsidRPr="00E3414C" w:rsidRDefault="00E92FCF" w:rsidP="00E3414C">
      <w:pPr>
        <w:spacing w:line="480" w:lineRule="auto"/>
        <w:rPr>
          <w:rFonts w:cs="Times New Roman"/>
        </w:rPr>
      </w:pPr>
      <w:r>
        <w:rPr>
          <w:rFonts w:cs="Times New Roman"/>
        </w:rPr>
        <w:tab/>
      </w:r>
      <w:r w:rsidR="00E3414C" w:rsidRPr="00E3414C">
        <w:rPr>
          <w:rFonts w:cs="Times New Roman"/>
        </w:rPr>
        <w:t xml:space="preserve">Each of the five posters </w:t>
      </w:r>
      <w:r w:rsidRPr="00E3414C">
        <w:rPr>
          <w:rFonts w:cs="Times New Roman"/>
        </w:rPr>
        <w:t>was</w:t>
      </w:r>
      <w:r w:rsidR="00E3414C" w:rsidRPr="00E3414C">
        <w:rPr>
          <w:rFonts w:cs="Times New Roman"/>
        </w:rPr>
        <w:t xml:space="preserve"> displayed for 10 seconds</w:t>
      </w:r>
      <w:r>
        <w:rPr>
          <w:rFonts w:cs="Times New Roman"/>
        </w:rPr>
        <w:t xml:space="preserve"> for </w:t>
      </w:r>
      <w:r w:rsidR="00A6241F">
        <w:rPr>
          <w:rFonts w:cs="Times New Roman"/>
        </w:rPr>
        <w:t>DA and C4L poster conditions</w:t>
      </w:r>
      <w:r w:rsidR="00E3414C" w:rsidRPr="00E3414C">
        <w:rPr>
          <w:rFonts w:cs="Times New Roman"/>
        </w:rPr>
        <w:t xml:space="preserve">. As interest areas did not cover the entirety of each poster, an </w:t>
      </w:r>
      <w:r w:rsidR="006C2A9F" w:rsidRPr="00E3414C">
        <w:rPr>
          <w:rFonts w:cs="Times New Roman"/>
        </w:rPr>
        <w:t>independent</w:t>
      </w:r>
      <w:r w:rsidR="00E3414C" w:rsidRPr="00E3414C">
        <w:rPr>
          <w:rFonts w:cs="Times New Roman"/>
        </w:rPr>
        <w:t xml:space="preserve"> samples t-test was conducted to see if there was a significant difference in the total amount of time participants spent attending to interest areas across </w:t>
      </w:r>
      <w:r>
        <w:rPr>
          <w:rFonts w:cs="Times New Roman"/>
        </w:rPr>
        <w:t>poster type conditions</w:t>
      </w:r>
      <w:r w:rsidR="00E3414C" w:rsidRPr="00E3414C">
        <w:rPr>
          <w:rFonts w:cs="Times New Roman"/>
        </w:rPr>
        <w:t>. Results showed that there was no significant difference in overall dwell times in the DA (</w:t>
      </w:r>
      <w:r w:rsidR="00E3414C" w:rsidRPr="001E6059">
        <w:rPr>
          <w:rFonts w:cs="Times New Roman"/>
          <w:i/>
        </w:rPr>
        <w:t>M</w:t>
      </w:r>
      <w:r>
        <w:rPr>
          <w:rFonts w:cs="Times New Roman"/>
        </w:rPr>
        <w:t xml:space="preserve"> </w:t>
      </w:r>
      <w:r w:rsidR="00E3414C" w:rsidRPr="00E3414C">
        <w:rPr>
          <w:rFonts w:cs="Times New Roman"/>
        </w:rPr>
        <w:t>=</w:t>
      </w:r>
      <w:r>
        <w:rPr>
          <w:rFonts w:cs="Times New Roman"/>
        </w:rPr>
        <w:t xml:space="preserve"> </w:t>
      </w:r>
      <w:r w:rsidR="00E3414C" w:rsidRPr="00E3414C">
        <w:rPr>
          <w:rFonts w:cs="Times New Roman"/>
        </w:rPr>
        <w:t xml:space="preserve">40.31 seconds, </w:t>
      </w:r>
      <w:r w:rsidR="00E3414C" w:rsidRPr="001E6059">
        <w:rPr>
          <w:rFonts w:cs="Times New Roman"/>
          <w:i/>
        </w:rPr>
        <w:t>SD</w:t>
      </w:r>
      <w:r>
        <w:rPr>
          <w:rFonts w:cs="Times New Roman"/>
        </w:rPr>
        <w:t xml:space="preserve"> </w:t>
      </w:r>
      <w:r w:rsidR="00E3414C" w:rsidRPr="00E3414C">
        <w:rPr>
          <w:rFonts w:cs="Times New Roman"/>
        </w:rPr>
        <w:t>=</w:t>
      </w:r>
      <w:r>
        <w:rPr>
          <w:rFonts w:cs="Times New Roman"/>
        </w:rPr>
        <w:t xml:space="preserve"> </w:t>
      </w:r>
      <w:r w:rsidR="00E3414C" w:rsidRPr="00E3414C">
        <w:rPr>
          <w:rFonts w:cs="Times New Roman"/>
        </w:rPr>
        <w:t>4.82) and C4L (</w:t>
      </w:r>
      <w:r w:rsidR="00E3414C" w:rsidRPr="001E6059">
        <w:rPr>
          <w:rFonts w:cs="Times New Roman"/>
          <w:i/>
        </w:rPr>
        <w:t>M</w:t>
      </w:r>
      <w:r>
        <w:rPr>
          <w:rFonts w:cs="Times New Roman"/>
        </w:rPr>
        <w:t xml:space="preserve"> </w:t>
      </w:r>
      <w:r w:rsidR="00E3414C" w:rsidRPr="00E3414C">
        <w:rPr>
          <w:rFonts w:cs="Times New Roman"/>
        </w:rPr>
        <w:t>=</w:t>
      </w:r>
      <w:r>
        <w:rPr>
          <w:rFonts w:cs="Times New Roman"/>
        </w:rPr>
        <w:t xml:space="preserve"> </w:t>
      </w:r>
      <w:r w:rsidR="00E3414C" w:rsidRPr="00E3414C">
        <w:rPr>
          <w:rFonts w:cs="Times New Roman"/>
        </w:rPr>
        <w:t xml:space="preserve">38.34, </w:t>
      </w:r>
      <w:r w:rsidR="00E3414C" w:rsidRPr="001E6059">
        <w:rPr>
          <w:rFonts w:cs="Times New Roman"/>
          <w:i/>
        </w:rPr>
        <w:t>SD</w:t>
      </w:r>
      <w:r>
        <w:rPr>
          <w:rFonts w:cs="Times New Roman"/>
        </w:rPr>
        <w:t xml:space="preserve"> </w:t>
      </w:r>
      <w:r w:rsidR="00E3414C" w:rsidRPr="00E3414C">
        <w:rPr>
          <w:rFonts w:cs="Times New Roman"/>
        </w:rPr>
        <w:t>=</w:t>
      </w:r>
      <w:r>
        <w:rPr>
          <w:rFonts w:cs="Times New Roman"/>
        </w:rPr>
        <w:t xml:space="preserve"> </w:t>
      </w:r>
      <w:r w:rsidR="00E3414C" w:rsidRPr="00E3414C">
        <w:rPr>
          <w:rFonts w:cs="Times New Roman"/>
        </w:rPr>
        <w:t xml:space="preserve">7.34) conditions, </w:t>
      </w:r>
      <w:r w:rsidR="00E3414C" w:rsidRPr="001E6059">
        <w:rPr>
          <w:rFonts w:cs="Times New Roman"/>
          <w:i/>
        </w:rPr>
        <w:t>t</w:t>
      </w:r>
      <w:r>
        <w:rPr>
          <w:rFonts w:cs="Times New Roman"/>
        </w:rPr>
        <w:t xml:space="preserve"> </w:t>
      </w:r>
      <w:r w:rsidR="00E3414C" w:rsidRPr="00E3414C">
        <w:rPr>
          <w:rFonts w:cs="Times New Roman"/>
        </w:rPr>
        <w:t>(56)</w:t>
      </w:r>
      <w:r>
        <w:rPr>
          <w:rFonts w:cs="Times New Roman"/>
        </w:rPr>
        <w:t xml:space="preserve"> </w:t>
      </w:r>
      <w:r w:rsidR="00E3414C" w:rsidRPr="00E3414C">
        <w:rPr>
          <w:rFonts w:cs="Times New Roman"/>
        </w:rPr>
        <w:t>=</w:t>
      </w:r>
      <w:r>
        <w:rPr>
          <w:rFonts w:cs="Times New Roman"/>
        </w:rPr>
        <w:t xml:space="preserve"> </w:t>
      </w:r>
      <w:r w:rsidR="00E3414C" w:rsidRPr="00E3414C">
        <w:rPr>
          <w:rFonts w:cs="Times New Roman"/>
        </w:rPr>
        <w:t xml:space="preserve">1.22, </w:t>
      </w:r>
      <w:r w:rsidR="00E3414C" w:rsidRPr="001E6059">
        <w:rPr>
          <w:rFonts w:cs="Times New Roman"/>
          <w:i/>
        </w:rPr>
        <w:t>p</w:t>
      </w:r>
      <w:r>
        <w:rPr>
          <w:rFonts w:cs="Times New Roman"/>
        </w:rPr>
        <w:t xml:space="preserve"> </w:t>
      </w:r>
      <w:r w:rsidR="00E3414C" w:rsidRPr="00E3414C">
        <w:rPr>
          <w:rFonts w:cs="Times New Roman"/>
        </w:rPr>
        <w:t>&gt;</w:t>
      </w:r>
      <w:r>
        <w:rPr>
          <w:rFonts w:cs="Times New Roman"/>
        </w:rPr>
        <w:t xml:space="preserve"> </w:t>
      </w:r>
      <w:r w:rsidR="00E3414C" w:rsidRPr="00E3414C">
        <w:rPr>
          <w:rFonts w:cs="Times New Roman"/>
        </w:rPr>
        <w:t>.05.</w:t>
      </w:r>
    </w:p>
    <w:p w14:paraId="73094319" w14:textId="77777777" w:rsidR="00E3414C" w:rsidRDefault="003C7C30" w:rsidP="003C7C30">
      <w:pPr>
        <w:spacing w:line="480" w:lineRule="auto"/>
        <w:ind w:firstLine="720"/>
        <w:rPr>
          <w:rFonts w:cs="Times New Roman"/>
        </w:rPr>
      </w:pPr>
      <w:proofErr w:type="gramStart"/>
      <w:r w:rsidRPr="00AD16C8">
        <w:rPr>
          <w:rFonts w:cs="Times New Roman"/>
          <w:b/>
        </w:rPr>
        <w:t>Initial f</w:t>
      </w:r>
      <w:r w:rsidR="00E3414C" w:rsidRPr="00AD16C8">
        <w:rPr>
          <w:rFonts w:cs="Times New Roman"/>
          <w:b/>
        </w:rPr>
        <w:t>ixations</w:t>
      </w:r>
      <w:r w:rsidRPr="003C7C30">
        <w:rPr>
          <w:rFonts w:cs="Times New Roman"/>
          <w:i/>
        </w:rPr>
        <w:t>.</w:t>
      </w:r>
      <w:proofErr w:type="gramEnd"/>
      <w:r>
        <w:rPr>
          <w:rFonts w:cs="Times New Roman"/>
          <w:b/>
        </w:rPr>
        <w:t xml:space="preserve"> </w:t>
      </w:r>
      <w:r w:rsidR="00E3414C" w:rsidRPr="00E3414C">
        <w:rPr>
          <w:rFonts w:cs="Times New Roman"/>
        </w:rPr>
        <w:t xml:space="preserve">We first examined initial fixation data which shows the areas of each poster type which were attended to first by participants. </w:t>
      </w:r>
      <w:r w:rsidR="001B3141">
        <w:rPr>
          <w:rFonts w:cs="Times New Roman"/>
        </w:rPr>
        <w:t>As all participants were required to orient attention centrally to the screen prior to each poster being displayed, i</w:t>
      </w:r>
      <w:r w:rsidR="001B3141" w:rsidRPr="00E3414C">
        <w:rPr>
          <w:rFonts w:cs="Times New Roman"/>
        </w:rPr>
        <w:t xml:space="preserve">nitial </w:t>
      </w:r>
      <w:r w:rsidR="00E3414C" w:rsidRPr="00E3414C">
        <w:rPr>
          <w:rFonts w:cs="Times New Roman"/>
        </w:rPr>
        <w:t>fixations were defined as the first fixation made within 500ms of each poster being displayed.</w:t>
      </w:r>
      <w:r w:rsidR="001B3141">
        <w:rPr>
          <w:rFonts w:cs="Times New Roman"/>
        </w:rPr>
        <w:t xml:space="preserve"> This allowed </w:t>
      </w:r>
      <w:r w:rsidR="00DE3A5B">
        <w:rPr>
          <w:rFonts w:cs="Times New Roman"/>
        </w:rPr>
        <w:t xml:space="preserve">us to explore which area participants were drawn to immediately after each stimulus was </w:t>
      </w:r>
      <w:r w:rsidR="001273AB">
        <w:rPr>
          <w:rFonts w:cs="Times New Roman"/>
        </w:rPr>
        <w:t>presented</w:t>
      </w:r>
      <w:r w:rsidR="00DE3A5B">
        <w:rPr>
          <w:rFonts w:cs="Times New Roman"/>
        </w:rPr>
        <w:t xml:space="preserve">. </w:t>
      </w:r>
      <w:r w:rsidR="001273AB">
        <w:rPr>
          <w:rFonts w:cs="Times New Roman"/>
        </w:rPr>
        <w:t>Figures 5 and 6</w:t>
      </w:r>
      <w:r w:rsidR="00E3414C" w:rsidRPr="00E3414C">
        <w:rPr>
          <w:rFonts w:cs="Times New Roman"/>
        </w:rPr>
        <w:t xml:space="preserve"> </w:t>
      </w:r>
      <w:proofErr w:type="gramStart"/>
      <w:r w:rsidR="00E3414C" w:rsidRPr="00E3414C">
        <w:rPr>
          <w:rFonts w:cs="Times New Roman"/>
        </w:rPr>
        <w:t>show</w:t>
      </w:r>
      <w:proofErr w:type="gramEnd"/>
      <w:r w:rsidR="00E3414C" w:rsidRPr="00E3414C">
        <w:rPr>
          <w:rFonts w:cs="Times New Roman"/>
        </w:rPr>
        <w:t xml:space="preserve"> the percentage of first fixations for each interest area. The comparable interest areas across each poster type are the areas which </w:t>
      </w:r>
      <w:r w:rsidR="00E3414C" w:rsidRPr="00E3414C">
        <w:rPr>
          <w:rFonts w:cs="Times New Roman"/>
        </w:rPr>
        <w:lastRenderedPageBreak/>
        <w:t>contain the key health message (in the DA posters, the RDM message</w:t>
      </w:r>
      <w:r w:rsidR="00DE3A5B">
        <w:rPr>
          <w:rFonts w:cs="Times New Roman"/>
        </w:rPr>
        <w:t>;</w:t>
      </w:r>
      <w:r w:rsidR="00DE3A5B" w:rsidRPr="00E3414C">
        <w:rPr>
          <w:rFonts w:cs="Times New Roman"/>
        </w:rPr>
        <w:t xml:space="preserve"> </w:t>
      </w:r>
      <w:r w:rsidR="00E3414C" w:rsidRPr="00E3414C">
        <w:rPr>
          <w:rFonts w:cs="Times New Roman"/>
        </w:rPr>
        <w:t xml:space="preserve">in the C4L posters, the healthy behaviour message). It is evident from this data that substantially more initial fixations were towards the key message in the C4L posters (48%), compared with just 3% in the DA poster condition. Also of interest is that within the DA poster condition, 69% of initial fixations were towards the positive </w:t>
      </w:r>
      <w:r w:rsidR="00DE3A5B">
        <w:rPr>
          <w:rFonts w:cs="Times New Roman"/>
        </w:rPr>
        <w:t>imagery</w:t>
      </w:r>
      <w:r w:rsidR="00DE3A5B" w:rsidRPr="00E3414C">
        <w:rPr>
          <w:rFonts w:cs="Times New Roman"/>
        </w:rPr>
        <w:t xml:space="preserve"> </w:t>
      </w:r>
      <w:r w:rsidR="00DE3A5B">
        <w:rPr>
          <w:rFonts w:cs="Times New Roman"/>
        </w:rPr>
        <w:t>within</w:t>
      </w:r>
      <w:r w:rsidR="00DE3A5B" w:rsidRPr="00E3414C">
        <w:rPr>
          <w:rFonts w:cs="Times New Roman"/>
        </w:rPr>
        <w:t xml:space="preserve"> </w:t>
      </w:r>
      <w:r w:rsidR="00E3414C" w:rsidRPr="00E3414C">
        <w:rPr>
          <w:rFonts w:cs="Times New Roman"/>
        </w:rPr>
        <w:t>the posters.</w:t>
      </w:r>
    </w:p>
    <w:p w14:paraId="456006A0" w14:textId="77777777" w:rsidR="00CB10A5" w:rsidRPr="00E3414C" w:rsidRDefault="00CB10A5" w:rsidP="00CB10A5">
      <w:pPr>
        <w:spacing w:line="480" w:lineRule="auto"/>
        <w:ind w:firstLine="720"/>
        <w:jc w:val="center"/>
        <w:rPr>
          <w:rFonts w:cs="Times New Roman"/>
        </w:rPr>
      </w:pPr>
      <w:r>
        <w:rPr>
          <w:rFonts w:cs="Times New Roman"/>
        </w:rPr>
        <w:t>[INSERT FIGURES 5 AND 6 HERE]</w:t>
      </w:r>
    </w:p>
    <w:p w14:paraId="0FEAFB60" w14:textId="18173B84" w:rsidR="00E3414C" w:rsidRPr="00E3414C" w:rsidRDefault="00E3414C" w:rsidP="003C7C30">
      <w:pPr>
        <w:spacing w:line="480" w:lineRule="auto"/>
        <w:ind w:firstLine="720"/>
        <w:rPr>
          <w:rFonts w:cs="Times New Roman"/>
        </w:rPr>
      </w:pPr>
      <w:r w:rsidRPr="00AD16C8">
        <w:rPr>
          <w:rFonts w:cs="Times New Roman"/>
          <w:b/>
        </w:rPr>
        <w:t>Overall time spent looking at the health message in each poster condition</w:t>
      </w:r>
      <w:r w:rsidR="003C7C30" w:rsidRPr="00AD16C8">
        <w:rPr>
          <w:rFonts w:cs="Times New Roman"/>
          <w:b/>
        </w:rPr>
        <w:t>.</w:t>
      </w:r>
      <w:r w:rsidR="003C7C30" w:rsidRPr="00105BED">
        <w:rPr>
          <w:rFonts w:cs="Times New Roman"/>
          <w:b/>
        </w:rPr>
        <w:t xml:space="preserve"> </w:t>
      </w:r>
      <w:r w:rsidRPr="00105BED">
        <w:rPr>
          <w:rFonts w:cs="Times New Roman"/>
        </w:rPr>
        <w:t>While</w:t>
      </w:r>
      <w:r w:rsidRPr="00E3414C">
        <w:rPr>
          <w:rFonts w:cs="Times New Roman"/>
        </w:rPr>
        <w:t xml:space="preserve"> initial the fixation data would suggest that the health message in the C4L posters is more attention grabbing than in the DA posters, of arguably greater importance is the total amount of time spent attending to the health message during the 10 seconds that each poster was displayed. For each participant the total amount of time spent attending to the health message across all 5 posters was calculated</w:t>
      </w:r>
      <w:r w:rsidR="00105BED">
        <w:rPr>
          <w:rFonts w:cs="Times New Roman"/>
        </w:rPr>
        <w:t xml:space="preserve"> and</w:t>
      </w:r>
      <w:r w:rsidR="002B38B8">
        <w:rPr>
          <w:rFonts w:cs="Times New Roman"/>
        </w:rPr>
        <w:t xml:space="preserve"> </w:t>
      </w:r>
      <w:r w:rsidR="00105BED">
        <w:rPr>
          <w:rFonts w:cs="Times New Roman"/>
        </w:rPr>
        <w:t>a</w:t>
      </w:r>
      <w:r w:rsidRPr="00E3414C">
        <w:rPr>
          <w:rFonts w:cs="Times New Roman"/>
        </w:rPr>
        <w:t xml:space="preserve">n independent samples t-test carried out to compare </w:t>
      </w:r>
      <w:r w:rsidR="00105BED">
        <w:rPr>
          <w:rFonts w:cs="Times New Roman"/>
        </w:rPr>
        <w:t xml:space="preserve">poster </w:t>
      </w:r>
      <w:proofErr w:type="gramStart"/>
      <w:r w:rsidR="00105BED">
        <w:rPr>
          <w:rFonts w:cs="Times New Roman"/>
        </w:rPr>
        <w:t xml:space="preserve">type </w:t>
      </w:r>
      <w:r w:rsidRPr="00E3414C">
        <w:rPr>
          <w:rFonts w:cs="Times New Roman"/>
        </w:rPr>
        <w:t xml:space="preserve"> difference</w:t>
      </w:r>
      <w:r w:rsidR="00105BED">
        <w:rPr>
          <w:rFonts w:cs="Times New Roman"/>
        </w:rPr>
        <w:t>s</w:t>
      </w:r>
      <w:proofErr w:type="gramEnd"/>
      <w:r w:rsidRPr="00E3414C">
        <w:rPr>
          <w:rFonts w:cs="Times New Roman"/>
        </w:rPr>
        <w:t xml:space="preserve"> in these times. Results showed that participants in the C4L condition spent significantly more time (</w:t>
      </w:r>
      <w:r w:rsidRPr="001E6059">
        <w:rPr>
          <w:rFonts w:cs="Times New Roman"/>
          <w:i/>
        </w:rPr>
        <w:t>M</w:t>
      </w:r>
      <w:r w:rsidR="00105BED">
        <w:rPr>
          <w:rFonts w:cs="Times New Roman"/>
        </w:rPr>
        <w:t xml:space="preserve"> </w:t>
      </w:r>
      <w:r w:rsidRPr="00E3414C">
        <w:rPr>
          <w:rFonts w:cs="Times New Roman"/>
        </w:rPr>
        <w:t>=</w:t>
      </w:r>
      <w:r w:rsidR="00105BED">
        <w:rPr>
          <w:rFonts w:cs="Times New Roman"/>
        </w:rPr>
        <w:t xml:space="preserve"> </w:t>
      </w:r>
      <w:r w:rsidRPr="00E3414C">
        <w:rPr>
          <w:rFonts w:cs="Times New Roman"/>
        </w:rPr>
        <w:t xml:space="preserve">14.82 seconds, </w:t>
      </w:r>
      <w:r w:rsidRPr="001E6059">
        <w:rPr>
          <w:rFonts w:cs="Times New Roman"/>
          <w:i/>
        </w:rPr>
        <w:t>SD</w:t>
      </w:r>
      <w:r w:rsidR="00105BED">
        <w:rPr>
          <w:rFonts w:cs="Times New Roman"/>
        </w:rPr>
        <w:t xml:space="preserve"> </w:t>
      </w:r>
      <w:r w:rsidRPr="00E3414C">
        <w:rPr>
          <w:rFonts w:cs="Times New Roman"/>
        </w:rPr>
        <w:t>=</w:t>
      </w:r>
      <w:r w:rsidR="00105BED">
        <w:rPr>
          <w:rFonts w:cs="Times New Roman"/>
        </w:rPr>
        <w:t xml:space="preserve"> </w:t>
      </w:r>
      <w:r w:rsidRPr="00E3414C">
        <w:rPr>
          <w:rFonts w:cs="Times New Roman"/>
        </w:rPr>
        <w:t>5.81) attending to the health message compared to those in the DA condition (</w:t>
      </w:r>
      <w:r w:rsidRPr="001E6059">
        <w:rPr>
          <w:rFonts w:cs="Times New Roman"/>
          <w:i/>
        </w:rPr>
        <w:t>M</w:t>
      </w:r>
      <w:r w:rsidR="00105BED">
        <w:rPr>
          <w:rFonts w:cs="Times New Roman"/>
        </w:rPr>
        <w:t xml:space="preserve"> </w:t>
      </w:r>
      <w:r w:rsidRPr="00E3414C">
        <w:rPr>
          <w:rFonts w:cs="Times New Roman"/>
        </w:rPr>
        <w:t>=</w:t>
      </w:r>
      <w:r w:rsidR="00105BED">
        <w:rPr>
          <w:rFonts w:cs="Times New Roman"/>
        </w:rPr>
        <w:t xml:space="preserve"> </w:t>
      </w:r>
      <w:r w:rsidRPr="00E3414C">
        <w:rPr>
          <w:rFonts w:cs="Times New Roman"/>
        </w:rPr>
        <w:t xml:space="preserve">7.99, </w:t>
      </w:r>
      <w:r w:rsidRPr="001E6059">
        <w:rPr>
          <w:rFonts w:cs="Times New Roman"/>
          <w:i/>
        </w:rPr>
        <w:t>SD</w:t>
      </w:r>
      <w:r w:rsidR="00105BED">
        <w:rPr>
          <w:rFonts w:cs="Times New Roman"/>
        </w:rPr>
        <w:t xml:space="preserve"> </w:t>
      </w:r>
      <w:r w:rsidRPr="00E3414C">
        <w:rPr>
          <w:rFonts w:cs="Times New Roman"/>
        </w:rPr>
        <w:t>=</w:t>
      </w:r>
      <w:r w:rsidR="00105BED">
        <w:rPr>
          <w:rFonts w:cs="Times New Roman"/>
        </w:rPr>
        <w:t xml:space="preserve"> </w:t>
      </w:r>
      <w:r w:rsidRPr="00E3414C">
        <w:rPr>
          <w:rFonts w:cs="Times New Roman"/>
        </w:rPr>
        <w:t xml:space="preserve">5.64), </w:t>
      </w:r>
      <w:r w:rsidRPr="001E6059">
        <w:rPr>
          <w:rFonts w:cs="Times New Roman"/>
          <w:i/>
        </w:rPr>
        <w:t>t</w:t>
      </w:r>
      <w:r w:rsidR="00105BED">
        <w:rPr>
          <w:rFonts w:cs="Times New Roman"/>
        </w:rPr>
        <w:t xml:space="preserve"> </w:t>
      </w:r>
      <w:r w:rsidRPr="00E3414C">
        <w:rPr>
          <w:rFonts w:cs="Times New Roman"/>
        </w:rPr>
        <w:t>(56</w:t>
      </w:r>
      <w:r w:rsidR="00105BED">
        <w:rPr>
          <w:rFonts w:cs="Times New Roman"/>
        </w:rPr>
        <w:t xml:space="preserve">) </w:t>
      </w:r>
      <w:r w:rsidRPr="00E3414C">
        <w:rPr>
          <w:rFonts w:cs="Times New Roman"/>
        </w:rPr>
        <w:t>=</w:t>
      </w:r>
      <w:r w:rsidR="00105BED">
        <w:rPr>
          <w:rFonts w:cs="Times New Roman"/>
        </w:rPr>
        <w:t xml:space="preserve"> </w:t>
      </w:r>
      <w:r w:rsidRPr="00E3414C">
        <w:rPr>
          <w:rFonts w:cs="Times New Roman"/>
        </w:rPr>
        <w:t xml:space="preserve">4.55, </w:t>
      </w:r>
      <w:r w:rsidRPr="001E6059">
        <w:rPr>
          <w:rFonts w:cs="Times New Roman"/>
          <w:i/>
        </w:rPr>
        <w:t>p</w:t>
      </w:r>
      <w:r w:rsidR="00105BED">
        <w:rPr>
          <w:rFonts w:cs="Times New Roman"/>
        </w:rPr>
        <w:t xml:space="preserve"> </w:t>
      </w:r>
      <w:r w:rsidRPr="00E3414C">
        <w:rPr>
          <w:rFonts w:cs="Times New Roman"/>
        </w:rPr>
        <w:t>&lt;</w:t>
      </w:r>
      <w:r w:rsidR="00105BED">
        <w:rPr>
          <w:rFonts w:cs="Times New Roman"/>
        </w:rPr>
        <w:t xml:space="preserve"> </w:t>
      </w:r>
      <w:r w:rsidRPr="00E3414C">
        <w:rPr>
          <w:rFonts w:cs="Times New Roman"/>
        </w:rPr>
        <w:t xml:space="preserve">.001). </w:t>
      </w:r>
      <w:r w:rsidR="00105BED">
        <w:rPr>
          <w:rFonts w:cs="Times New Roman"/>
        </w:rPr>
        <w:t>T</w:t>
      </w:r>
      <w:r w:rsidRPr="00E3414C">
        <w:rPr>
          <w:rFonts w:cs="Times New Roman"/>
        </w:rPr>
        <w:t xml:space="preserve">his translates as participants spending </w:t>
      </w:r>
      <w:r w:rsidR="00105BED">
        <w:rPr>
          <w:rFonts w:cs="Times New Roman"/>
        </w:rPr>
        <w:t xml:space="preserve">on average </w:t>
      </w:r>
      <w:r w:rsidRPr="00E3414C">
        <w:rPr>
          <w:rFonts w:cs="Times New Roman"/>
        </w:rPr>
        <w:t>2.96 seconds out of a possible 10 seconds attending to the health message in each C4L poster, and 1.6 seconds attending to the responsible drinking message in the DA posters.</w:t>
      </w:r>
    </w:p>
    <w:p w14:paraId="44BA3DC8" w14:textId="77777777" w:rsidR="00E3414C" w:rsidRDefault="00E3414C" w:rsidP="00554953">
      <w:pPr>
        <w:spacing w:line="480" w:lineRule="auto"/>
        <w:ind w:firstLine="720"/>
        <w:rPr>
          <w:rFonts w:cs="Times New Roman"/>
        </w:rPr>
      </w:pPr>
      <w:r w:rsidRPr="00AD16C8">
        <w:rPr>
          <w:rFonts w:cs="Times New Roman"/>
          <w:b/>
        </w:rPr>
        <w:t xml:space="preserve">Time spent attending to each interest area </w:t>
      </w:r>
      <w:r w:rsidR="00FF78F5">
        <w:rPr>
          <w:rFonts w:cs="Times New Roman"/>
          <w:b/>
        </w:rPr>
        <w:t>by</w:t>
      </w:r>
      <w:r w:rsidRPr="00AD16C8">
        <w:rPr>
          <w:rFonts w:cs="Times New Roman"/>
          <w:b/>
        </w:rPr>
        <w:t xml:space="preserve"> poster type</w:t>
      </w:r>
      <w:r w:rsidR="003C7C30" w:rsidRPr="00AD16C8">
        <w:rPr>
          <w:rFonts w:cs="Times New Roman"/>
          <w:b/>
        </w:rPr>
        <w:t>.</w:t>
      </w:r>
      <w:r w:rsidR="003C7C30">
        <w:rPr>
          <w:rFonts w:cs="Times New Roman"/>
          <w:b/>
        </w:rPr>
        <w:t xml:space="preserve"> </w:t>
      </w:r>
      <w:r w:rsidRPr="00E3414C">
        <w:rPr>
          <w:rFonts w:cs="Times New Roman"/>
        </w:rPr>
        <w:t xml:space="preserve">For each poster type a one-way </w:t>
      </w:r>
      <w:r w:rsidR="00554953">
        <w:rPr>
          <w:rFonts w:cs="Times New Roman"/>
        </w:rPr>
        <w:t xml:space="preserve">repeated measures </w:t>
      </w:r>
      <w:r w:rsidRPr="00E3414C">
        <w:rPr>
          <w:rFonts w:cs="Times New Roman"/>
        </w:rPr>
        <w:t xml:space="preserve">ANOVA was conducted using interest area </w:t>
      </w:r>
      <w:r w:rsidR="00554953">
        <w:rPr>
          <w:rFonts w:cs="Times New Roman"/>
        </w:rPr>
        <w:t xml:space="preserve">location </w:t>
      </w:r>
      <w:r w:rsidRPr="00E3414C">
        <w:rPr>
          <w:rFonts w:cs="Times New Roman"/>
        </w:rPr>
        <w:t xml:space="preserve">as a within participants factor and total dwell time as the dependent variable. </w:t>
      </w:r>
      <w:r w:rsidR="00554953">
        <w:rPr>
          <w:rFonts w:cs="Times New Roman"/>
        </w:rPr>
        <w:t>For the DA posters the interest areas were the responsible drinking message</w:t>
      </w:r>
      <w:r w:rsidR="00DF007C">
        <w:rPr>
          <w:rFonts w:cs="Times New Roman"/>
        </w:rPr>
        <w:t xml:space="preserve"> (RDM)</w:t>
      </w:r>
      <w:r w:rsidR="00554953">
        <w:rPr>
          <w:rFonts w:cs="Times New Roman"/>
        </w:rPr>
        <w:t>, p</w:t>
      </w:r>
      <w:r w:rsidR="00554953" w:rsidRPr="00554953">
        <w:rPr>
          <w:rFonts w:cs="Times New Roman"/>
        </w:rPr>
        <w:t>ositive imagery</w:t>
      </w:r>
      <w:r w:rsidR="00554953">
        <w:rPr>
          <w:rFonts w:cs="Times New Roman"/>
        </w:rPr>
        <w:t>, n</w:t>
      </w:r>
      <w:r w:rsidR="00554953" w:rsidRPr="00554953">
        <w:rPr>
          <w:rFonts w:cs="Times New Roman"/>
        </w:rPr>
        <w:t>egative imagery</w:t>
      </w:r>
      <w:r w:rsidR="00554953">
        <w:rPr>
          <w:rFonts w:cs="Times New Roman"/>
        </w:rPr>
        <w:t xml:space="preserve"> and the </w:t>
      </w:r>
      <w:r w:rsidR="00554953" w:rsidRPr="00554953">
        <w:rPr>
          <w:rFonts w:cs="Times New Roman"/>
        </w:rPr>
        <w:t>Drinkaware URL</w:t>
      </w:r>
      <w:r w:rsidR="00554953">
        <w:rPr>
          <w:rFonts w:cs="Times New Roman"/>
        </w:rPr>
        <w:t>. For the C4L posters the interest areas were the h</w:t>
      </w:r>
      <w:r w:rsidR="00554953" w:rsidRPr="00554953">
        <w:rPr>
          <w:rFonts w:cs="Times New Roman"/>
        </w:rPr>
        <w:t>ealth message</w:t>
      </w:r>
      <w:r w:rsidR="00554953">
        <w:rPr>
          <w:rFonts w:cs="Times New Roman"/>
        </w:rPr>
        <w:t>, the i</w:t>
      </w:r>
      <w:r w:rsidR="00554953" w:rsidRPr="00554953">
        <w:rPr>
          <w:rFonts w:cs="Times New Roman"/>
        </w:rPr>
        <w:t>llustration</w:t>
      </w:r>
      <w:r w:rsidR="00554953">
        <w:rPr>
          <w:rFonts w:cs="Times New Roman"/>
        </w:rPr>
        <w:t>, f</w:t>
      </w:r>
      <w:r w:rsidR="00554953" w:rsidRPr="00554953">
        <w:rPr>
          <w:rFonts w:cs="Times New Roman"/>
        </w:rPr>
        <w:t>urther info</w:t>
      </w:r>
      <w:r w:rsidR="00554953">
        <w:rPr>
          <w:rFonts w:cs="Times New Roman"/>
        </w:rPr>
        <w:t>rmation</w:t>
      </w:r>
      <w:r w:rsidR="00554953" w:rsidRPr="00554953">
        <w:rPr>
          <w:rFonts w:cs="Times New Roman"/>
        </w:rPr>
        <w:t xml:space="preserve"> link</w:t>
      </w:r>
      <w:r w:rsidR="00554953">
        <w:rPr>
          <w:rFonts w:cs="Times New Roman"/>
        </w:rPr>
        <w:t xml:space="preserve"> and the </w:t>
      </w:r>
      <w:r w:rsidR="00554953" w:rsidRPr="00554953">
        <w:rPr>
          <w:rFonts w:cs="Times New Roman"/>
        </w:rPr>
        <w:t>C4L logo</w:t>
      </w:r>
      <w:r w:rsidR="00554953">
        <w:rPr>
          <w:rFonts w:cs="Times New Roman"/>
        </w:rPr>
        <w:t xml:space="preserve">. </w:t>
      </w:r>
      <w:r w:rsidR="00A21D11">
        <w:rPr>
          <w:rFonts w:cs="Times New Roman"/>
        </w:rPr>
        <w:t>Results showed significant main effects for interest</w:t>
      </w:r>
      <w:r w:rsidR="00A21D11" w:rsidRPr="00A21D11">
        <w:rPr>
          <w:rFonts w:cs="Times New Roman"/>
        </w:rPr>
        <w:t xml:space="preserve"> area </w:t>
      </w:r>
      <w:r w:rsidR="00A21D11">
        <w:rPr>
          <w:rFonts w:cs="Times New Roman"/>
        </w:rPr>
        <w:t xml:space="preserve">type for both the DA posters, </w:t>
      </w:r>
      <w:r w:rsidR="00A21D11">
        <w:rPr>
          <w:rFonts w:cs="Times New Roman"/>
          <w:i/>
        </w:rPr>
        <w:t>F</w:t>
      </w:r>
      <w:r w:rsidR="00A21D11">
        <w:rPr>
          <w:rFonts w:cs="Times New Roman"/>
        </w:rPr>
        <w:t xml:space="preserve"> (</w:t>
      </w:r>
      <w:r w:rsidR="00DF007C">
        <w:rPr>
          <w:rFonts w:cs="Times New Roman"/>
        </w:rPr>
        <w:t xml:space="preserve">3, 78) = 40.79, </w:t>
      </w:r>
      <w:r w:rsidR="00DF007C" w:rsidRPr="001E6059">
        <w:rPr>
          <w:rFonts w:cs="Times New Roman"/>
          <w:i/>
        </w:rPr>
        <w:t>p</w:t>
      </w:r>
      <w:r w:rsidR="00DF007C">
        <w:rPr>
          <w:rFonts w:cs="Times New Roman"/>
        </w:rPr>
        <w:t xml:space="preserve"> &lt; </w:t>
      </w:r>
      <w:r w:rsidR="00DF007C">
        <w:rPr>
          <w:rFonts w:cs="Times New Roman"/>
        </w:rPr>
        <w:lastRenderedPageBreak/>
        <w:t xml:space="preserve">.001, and the C4L posters, </w:t>
      </w:r>
      <w:r w:rsidR="00DF007C">
        <w:rPr>
          <w:rFonts w:cs="Times New Roman"/>
          <w:i/>
        </w:rPr>
        <w:t xml:space="preserve">F </w:t>
      </w:r>
      <w:r w:rsidR="00DF007C">
        <w:rPr>
          <w:rFonts w:cs="Times New Roman"/>
        </w:rPr>
        <w:t xml:space="preserve">(3, 90) = 137.36, </w:t>
      </w:r>
      <w:r w:rsidR="00DF007C" w:rsidRPr="001E6059">
        <w:rPr>
          <w:rFonts w:cs="Times New Roman"/>
          <w:i/>
        </w:rPr>
        <w:t>p</w:t>
      </w:r>
      <w:r w:rsidR="00DF007C">
        <w:rPr>
          <w:rFonts w:cs="Times New Roman"/>
        </w:rPr>
        <w:t xml:space="preserve"> &lt; .001</w:t>
      </w:r>
      <w:r w:rsidRPr="00E3414C">
        <w:rPr>
          <w:rFonts w:cs="Times New Roman"/>
        </w:rPr>
        <w:t xml:space="preserve">. Post hoc comparisons demonstrated that in the DA condition participants spent significantly longer attending to the positive and negative </w:t>
      </w:r>
      <w:r w:rsidR="00DE3A5B">
        <w:rPr>
          <w:rFonts w:cs="Times New Roman"/>
        </w:rPr>
        <w:t>imagery</w:t>
      </w:r>
      <w:r w:rsidR="00DE3A5B" w:rsidRPr="00E3414C">
        <w:rPr>
          <w:rFonts w:cs="Times New Roman"/>
        </w:rPr>
        <w:t xml:space="preserve"> </w:t>
      </w:r>
      <w:r w:rsidRPr="00E3414C">
        <w:rPr>
          <w:rFonts w:cs="Times New Roman"/>
        </w:rPr>
        <w:t>than to the RDM (</w:t>
      </w:r>
      <w:proofErr w:type="spellStart"/>
      <w:r w:rsidRPr="001E6059">
        <w:rPr>
          <w:rFonts w:cs="Times New Roman"/>
          <w:i/>
        </w:rPr>
        <w:t>p</w:t>
      </w:r>
      <w:r w:rsidRPr="00E3414C">
        <w:rPr>
          <w:rFonts w:cs="Times New Roman"/>
        </w:rPr>
        <w:t>s</w:t>
      </w:r>
      <w:proofErr w:type="spellEnd"/>
      <w:r w:rsidR="00DF007C">
        <w:rPr>
          <w:rFonts w:cs="Times New Roman"/>
        </w:rPr>
        <w:t xml:space="preserve"> </w:t>
      </w:r>
      <w:r w:rsidRPr="00E3414C">
        <w:rPr>
          <w:rFonts w:cs="Times New Roman"/>
        </w:rPr>
        <w:t>&lt;</w:t>
      </w:r>
      <w:r w:rsidR="00DF007C">
        <w:rPr>
          <w:rFonts w:cs="Times New Roman"/>
        </w:rPr>
        <w:t xml:space="preserve"> </w:t>
      </w:r>
      <w:r w:rsidRPr="00E3414C">
        <w:rPr>
          <w:rFonts w:cs="Times New Roman"/>
        </w:rPr>
        <w:t>.01), and significantly longer looking at the RDM than the Drinkaware URL (</w:t>
      </w:r>
      <w:r w:rsidRPr="001E6059">
        <w:rPr>
          <w:rFonts w:cs="Times New Roman"/>
          <w:i/>
        </w:rPr>
        <w:t>p</w:t>
      </w:r>
      <w:r w:rsidR="00DF007C">
        <w:rPr>
          <w:rFonts w:cs="Times New Roman"/>
        </w:rPr>
        <w:t xml:space="preserve"> </w:t>
      </w:r>
      <w:r w:rsidRPr="00E3414C">
        <w:rPr>
          <w:rFonts w:cs="Times New Roman"/>
        </w:rPr>
        <w:t>&lt;</w:t>
      </w:r>
      <w:r w:rsidR="00DF007C">
        <w:rPr>
          <w:rFonts w:cs="Times New Roman"/>
        </w:rPr>
        <w:t xml:space="preserve"> </w:t>
      </w:r>
      <w:r w:rsidRPr="00E3414C">
        <w:rPr>
          <w:rFonts w:cs="Times New Roman"/>
        </w:rPr>
        <w:t>.001). There was no significant difference in the time spent attending to the positive and negative regions (</w:t>
      </w:r>
      <w:r w:rsidRPr="001E6059">
        <w:rPr>
          <w:rFonts w:cs="Times New Roman"/>
          <w:i/>
        </w:rPr>
        <w:t>p</w:t>
      </w:r>
      <w:r w:rsidR="00DF007C">
        <w:rPr>
          <w:rFonts w:cs="Times New Roman"/>
        </w:rPr>
        <w:t xml:space="preserve"> </w:t>
      </w:r>
      <w:r w:rsidRPr="00E3414C">
        <w:rPr>
          <w:rFonts w:cs="Times New Roman"/>
        </w:rPr>
        <w:t>&gt;</w:t>
      </w:r>
      <w:r w:rsidR="00DF007C">
        <w:rPr>
          <w:rFonts w:cs="Times New Roman"/>
        </w:rPr>
        <w:t xml:space="preserve"> </w:t>
      </w:r>
      <w:r w:rsidRPr="00E3414C">
        <w:rPr>
          <w:rFonts w:cs="Times New Roman"/>
        </w:rPr>
        <w:t>.05). In the C4L condition, dwell time for the health message was significantly longer than for the further info</w:t>
      </w:r>
      <w:r w:rsidR="00DF007C">
        <w:rPr>
          <w:rFonts w:cs="Times New Roman"/>
        </w:rPr>
        <w:t>rmation</w:t>
      </w:r>
      <w:r w:rsidRPr="00E3414C">
        <w:rPr>
          <w:rFonts w:cs="Times New Roman"/>
        </w:rPr>
        <w:t xml:space="preserve"> and logo interest areas (</w:t>
      </w:r>
      <w:proofErr w:type="spellStart"/>
      <w:r w:rsidRPr="001E6059">
        <w:rPr>
          <w:rFonts w:cs="Times New Roman"/>
          <w:i/>
        </w:rPr>
        <w:t>p</w:t>
      </w:r>
      <w:r w:rsidRPr="00E3414C">
        <w:rPr>
          <w:rFonts w:cs="Times New Roman"/>
        </w:rPr>
        <w:t>s</w:t>
      </w:r>
      <w:proofErr w:type="spellEnd"/>
      <w:r w:rsidR="00DF007C">
        <w:rPr>
          <w:rFonts w:cs="Times New Roman"/>
        </w:rPr>
        <w:t xml:space="preserve"> </w:t>
      </w:r>
      <w:r w:rsidRPr="00E3414C">
        <w:rPr>
          <w:rFonts w:cs="Times New Roman"/>
        </w:rPr>
        <w:t>&lt;</w:t>
      </w:r>
      <w:r w:rsidR="00DF007C">
        <w:rPr>
          <w:rFonts w:cs="Times New Roman"/>
        </w:rPr>
        <w:t xml:space="preserve"> </w:t>
      </w:r>
      <w:r w:rsidRPr="00E3414C">
        <w:rPr>
          <w:rFonts w:cs="Times New Roman"/>
        </w:rPr>
        <w:t>.001), and participants spent significantly longer attending to the illustration than th</w:t>
      </w:r>
      <w:r w:rsidR="00A23D6A">
        <w:rPr>
          <w:rFonts w:cs="Times New Roman"/>
        </w:rPr>
        <w:t>e health message (</w:t>
      </w:r>
      <w:r w:rsidR="00A23D6A" w:rsidRPr="001E6059">
        <w:rPr>
          <w:rFonts w:cs="Times New Roman"/>
          <w:i/>
        </w:rPr>
        <w:t>p</w:t>
      </w:r>
      <w:r w:rsidR="00DF007C">
        <w:rPr>
          <w:rFonts w:cs="Times New Roman"/>
        </w:rPr>
        <w:t xml:space="preserve"> </w:t>
      </w:r>
      <w:r w:rsidR="00A23D6A">
        <w:rPr>
          <w:rFonts w:cs="Times New Roman"/>
        </w:rPr>
        <w:t>&lt;</w:t>
      </w:r>
      <w:r w:rsidR="00DF007C">
        <w:rPr>
          <w:rFonts w:cs="Times New Roman"/>
        </w:rPr>
        <w:t xml:space="preserve"> </w:t>
      </w:r>
      <w:r w:rsidR="00A23D6A">
        <w:rPr>
          <w:rFonts w:cs="Times New Roman"/>
        </w:rPr>
        <w:t>.05).</w:t>
      </w:r>
    </w:p>
    <w:p w14:paraId="37E10C6E" w14:textId="77777777" w:rsidR="00A23D6A" w:rsidRDefault="00A23D6A" w:rsidP="00A23D6A">
      <w:pPr>
        <w:spacing w:line="480" w:lineRule="auto"/>
        <w:jc w:val="center"/>
        <w:rPr>
          <w:rFonts w:cs="Times New Roman"/>
        </w:rPr>
      </w:pPr>
      <w:r>
        <w:rPr>
          <w:rFonts w:cs="Times New Roman"/>
        </w:rPr>
        <w:t xml:space="preserve">[TABLE </w:t>
      </w:r>
      <w:r w:rsidR="00BA3CD6">
        <w:rPr>
          <w:rFonts w:cs="Times New Roman"/>
        </w:rPr>
        <w:t>2</w:t>
      </w:r>
      <w:r>
        <w:rPr>
          <w:rFonts w:cs="Times New Roman"/>
        </w:rPr>
        <w:t xml:space="preserve"> HERE]</w:t>
      </w:r>
    </w:p>
    <w:p w14:paraId="4FA6AB95" w14:textId="77777777" w:rsidR="00953E50" w:rsidRDefault="00DF007C" w:rsidP="00953E50">
      <w:pPr>
        <w:spacing w:line="480" w:lineRule="auto"/>
        <w:rPr>
          <w:rFonts w:cs="Times New Roman"/>
        </w:rPr>
      </w:pPr>
      <w:r>
        <w:rPr>
          <w:rFonts w:cs="Times New Roman"/>
        </w:rPr>
        <w:tab/>
      </w:r>
      <w:r w:rsidR="00953E50">
        <w:rPr>
          <w:rFonts w:cs="Times New Roman"/>
        </w:rPr>
        <w:t xml:space="preserve">These findings confirm our </w:t>
      </w:r>
      <w:r>
        <w:rPr>
          <w:rFonts w:cs="Times New Roman"/>
        </w:rPr>
        <w:t xml:space="preserve">findings </w:t>
      </w:r>
      <w:r w:rsidR="00953E50">
        <w:rPr>
          <w:rFonts w:cs="Times New Roman"/>
        </w:rPr>
        <w:t xml:space="preserve">in the previous two </w:t>
      </w:r>
      <w:r>
        <w:rPr>
          <w:rFonts w:cs="Times New Roman"/>
        </w:rPr>
        <w:t>studies that</w:t>
      </w:r>
      <w:r w:rsidR="00953E50">
        <w:rPr>
          <w:rFonts w:cs="Times New Roman"/>
        </w:rPr>
        <w:t xml:space="preserve"> exposure to RDM posters is associated with increased consumption in the TPT. </w:t>
      </w:r>
      <w:r>
        <w:rPr>
          <w:rFonts w:cs="Times New Roman"/>
        </w:rPr>
        <w:t>T</w:t>
      </w:r>
      <w:r w:rsidR="00107746">
        <w:rPr>
          <w:rFonts w:cs="Times New Roman"/>
        </w:rPr>
        <w:t>his study</w:t>
      </w:r>
      <w:r>
        <w:rPr>
          <w:rFonts w:cs="Times New Roman"/>
        </w:rPr>
        <w:t xml:space="preserve"> extends these findings by showing </w:t>
      </w:r>
      <w:r w:rsidR="00107746">
        <w:rPr>
          <w:rFonts w:cs="Times New Roman"/>
        </w:rPr>
        <w:t>the effect persists even when participants are required to actively attend to the posters as a task requirement</w:t>
      </w:r>
      <w:r>
        <w:rPr>
          <w:rFonts w:cs="Times New Roman"/>
        </w:rPr>
        <w:t>. Th</w:t>
      </w:r>
      <w:r w:rsidR="00841E51">
        <w:rPr>
          <w:rFonts w:cs="Times New Roman"/>
        </w:rPr>
        <w:t>e finding th</w:t>
      </w:r>
      <w:r>
        <w:rPr>
          <w:rFonts w:cs="Times New Roman"/>
        </w:rPr>
        <w:t>at</w:t>
      </w:r>
      <w:r w:rsidR="00107746">
        <w:rPr>
          <w:rFonts w:cs="Times New Roman"/>
        </w:rPr>
        <w:t xml:space="preserve"> elaborat</w:t>
      </w:r>
      <w:r>
        <w:rPr>
          <w:rFonts w:cs="Times New Roman"/>
        </w:rPr>
        <w:t>ing</w:t>
      </w:r>
      <w:r w:rsidR="00107746">
        <w:rPr>
          <w:rFonts w:cs="Times New Roman"/>
        </w:rPr>
        <w:t xml:space="preserve"> on the messages within the posters did not have an effect on consumption may represent a ceiling effect</w:t>
      </w:r>
      <w:r w:rsidR="00841E51">
        <w:rPr>
          <w:rFonts w:cs="Times New Roman"/>
        </w:rPr>
        <w:t xml:space="preserve"> (i.e. all participants were engaging in a degree of elaboration of the message, irrespective of whether they were asked to do so)</w:t>
      </w:r>
      <w:r w:rsidR="00107746">
        <w:rPr>
          <w:rFonts w:cs="Times New Roman"/>
        </w:rPr>
        <w:t xml:space="preserve"> or </w:t>
      </w:r>
      <w:r w:rsidR="00887B50">
        <w:rPr>
          <w:rFonts w:cs="Times New Roman"/>
        </w:rPr>
        <w:t>an</w:t>
      </w:r>
      <w:r w:rsidR="00107746">
        <w:rPr>
          <w:rFonts w:cs="Times New Roman"/>
        </w:rPr>
        <w:t xml:space="preserve"> inadequacy of the elaboration manipulation used here</w:t>
      </w:r>
      <w:r w:rsidR="00B80159">
        <w:rPr>
          <w:rFonts w:cs="Times New Roman"/>
        </w:rPr>
        <w:t xml:space="preserve"> to produce any additional effects on consumption than seemed to be caused by exposure to the posters during the </w:t>
      </w:r>
      <w:proofErr w:type="spellStart"/>
      <w:r w:rsidR="00B80159">
        <w:rPr>
          <w:rFonts w:cs="Times New Roman"/>
        </w:rPr>
        <w:t>eyetracker</w:t>
      </w:r>
      <w:proofErr w:type="spellEnd"/>
      <w:r w:rsidR="00B80159">
        <w:rPr>
          <w:rFonts w:cs="Times New Roman"/>
        </w:rPr>
        <w:t xml:space="preserve"> task.</w:t>
      </w:r>
    </w:p>
    <w:p w14:paraId="481141E1" w14:textId="77777777" w:rsidR="00B243AD" w:rsidRDefault="00887B50" w:rsidP="00953E50">
      <w:pPr>
        <w:spacing w:line="480" w:lineRule="auto"/>
        <w:rPr>
          <w:rFonts w:cs="Times New Roman"/>
        </w:rPr>
      </w:pPr>
      <w:r>
        <w:rPr>
          <w:rFonts w:cs="Times New Roman"/>
        </w:rPr>
        <w:tab/>
        <w:t>E</w:t>
      </w:r>
      <w:r w:rsidR="00B243AD">
        <w:rPr>
          <w:rFonts w:cs="Times New Roman"/>
        </w:rPr>
        <w:t>ye</w:t>
      </w:r>
      <w:r>
        <w:rPr>
          <w:rFonts w:cs="Times New Roman"/>
        </w:rPr>
        <w:t xml:space="preserve"> </w:t>
      </w:r>
      <w:proofErr w:type="gramStart"/>
      <w:r>
        <w:rPr>
          <w:rFonts w:cs="Times New Roman"/>
        </w:rPr>
        <w:t>movements</w:t>
      </w:r>
      <w:proofErr w:type="gramEnd"/>
      <w:r>
        <w:rPr>
          <w:rFonts w:cs="Times New Roman"/>
        </w:rPr>
        <w:t xml:space="preserve"> data </w:t>
      </w:r>
      <w:r w:rsidR="00B243AD">
        <w:rPr>
          <w:rFonts w:cs="Times New Roman"/>
        </w:rPr>
        <w:t xml:space="preserve">revealed some important differences in </w:t>
      </w:r>
      <w:r w:rsidR="008E2DCC">
        <w:rPr>
          <w:rFonts w:cs="Times New Roman"/>
        </w:rPr>
        <w:t xml:space="preserve">the attention paid </w:t>
      </w:r>
      <w:r>
        <w:rPr>
          <w:rFonts w:cs="Times New Roman"/>
        </w:rPr>
        <w:t xml:space="preserve">to </w:t>
      </w:r>
      <w:r w:rsidR="008E2DCC">
        <w:rPr>
          <w:rFonts w:cs="Times New Roman"/>
        </w:rPr>
        <w:t>the content within each type of poster. Firstly, it was clear that initial orientation towards the health message was substantially lower in the DA condition compared to the C4L condition – a simple observation of each poster type would lead one to conclude that this is due to the difference in relative prominence of these messages across each type of poster. Beyond the</w:t>
      </w:r>
      <w:r>
        <w:rPr>
          <w:rFonts w:cs="Times New Roman"/>
        </w:rPr>
        <w:t>se</w:t>
      </w:r>
      <w:r w:rsidR="008E2DCC">
        <w:rPr>
          <w:rFonts w:cs="Times New Roman"/>
        </w:rPr>
        <w:t xml:space="preserve"> initial fixations, participants in the DA conditions still spen</w:t>
      </w:r>
      <w:r>
        <w:rPr>
          <w:rFonts w:cs="Times New Roman"/>
        </w:rPr>
        <w:t>t</w:t>
      </w:r>
      <w:r w:rsidR="008E2DCC">
        <w:rPr>
          <w:rFonts w:cs="Times New Roman"/>
        </w:rPr>
        <w:t xml:space="preserve"> </w:t>
      </w:r>
      <w:r>
        <w:rPr>
          <w:rFonts w:cs="Times New Roman"/>
        </w:rPr>
        <w:t xml:space="preserve">approximately </w:t>
      </w:r>
      <w:r w:rsidR="008E2DCC">
        <w:rPr>
          <w:rFonts w:cs="Times New Roman"/>
        </w:rPr>
        <w:t xml:space="preserve">50% less time attending to the health message compared with the C4L condition. These findings suggest </w:t>
      </w:r>
      <w:r w:rsidR="008E2DCC">
        <w:rPr>
          <w:rFonts w:cs="Times New Roman"/>
        </w:rPr>
        <w:lastRenderedPageBreak/>
        <w:t>that the design and layout of the DA posters led to the key health message being less salient to participants.</w:t>
      </w:r>
    </w:p>
    <w:p w14:paraId="59192AE8" w14:textId="77777777" w:rsidR="0015525E" w:rsidRPr="00AD16C8" w:rsidRDefault="00887B50" w:rsidP="00B11E25">
      <w:pPr>
        <w:spacing w:line="480" w:lineRule="auto"/>
        <w:jc w:val="center"/>
        <w:rPr>
          <w:b/>
        </w:rPr>
      </w:pPr>
      <w:r w:rsidRPr="00AD16C8">
        <w:rPr>
          <w:b/>
        </w:rPr>
        <w:t>General Discussion</w:t>
      </w:r>
    </w:p>
    <w:p w14:paraId="358FDBC7" w14:textId="77777777" w:rsidR="00455CB8" w:rsidRDefault="00887B50" w:rsidP="00D65D1B">
      <w:pPr>
        <w:spacing w:line="480" w:lineRule="auto"/>
      </w:pPr>
      <w:r>
        <w:tab/>
      </w:r>
      <w:r w:rsidR="00455CB8">
        <w:t xml:space="preserve">One of our first objectives was to assess the utility of a simulated bar environment for the observation and measurement of drinking behaviour, using a taste preference task. </w:t>
      </w:r>
      <w:r w:rsidR="00607A1F">
        <w:t>Experiments</w:t>
      </w:r>
      <w:r w:rsidR="00455CB8">
        <w:t xml:space="preserve"> 1 and 2 suggested that this environmental manipulation was associated with increased drinking, consistent with our expectations, but this finding was not replicated in </w:t>
      </w:r>
      <w:r w:rsidR="00607A1F">
        <w:t>experiment</w:t>
      </w:r>
      <w:r w:rsidR="00455CB8">
        <w:t xml:space="preserve"> 3. This inconsistency in context effects on drinking is indeed consistent with previous research, where equivocal outcomes have been observed (</w:t>
      </w:r>
      <w:r w:rsidR="009B7E03">
        <w:t xml:space="preserve">e.g. </w:t>
      </w:r>
      <w:proofErr w:type="spellStart"/>
      <w:r w:rsidR="009B7E03">
        <w:t>Fromme</w:t>
      </w:r>
      <w:proofErr w:type="spellEnd"/>
      <w:r w:rsidR="009B7E03">
        <w:t xml:space="preserve"> &amp; Dunn, 1992; Lau-</w:t>
      </w:r>
      <w:proofErr w:type="spellStart"/>
      <w:r w:rsidR="009B7E03">
        <w:t>Barraco</w:t>
      </w:r>
      <w:proofErr w:type="spellEnd"/>
      <w:r w:rsidR="009B7E03">
        <w:t xml:space="preserve"> &amp; Dunn, 2009</w:t>
      </w:r>
      <w:r w:rsidR="00455CB8">
        <w:t>). This suggests that further research is required to explore factors which might moderate the effects of context priming on drinking behaviour. Such factors, which were not controlled for or assessed either in our own or previous studies, could include time of day, urges to drink alcohol, and differences in individual drinking patterns (e.g. whether participants tend to drink predominantly in bar environments or elsewhere).</w:t>
      </w:r>
    </w:p>
    <w:p w14:paraId="6AEF1E6F" w14:textId="7389F4A8" w:rsidR="001273AB" w:rsidRDefault="00C27A1A" w:rsidP="00D65D1B">
      <w:pPr>
        <w:spacing w:line="480" w:lineRule="auto"/>
      </w:pPr>
      <w:r>
        <w:tab/>
      </w:r>
      <w:r w:rsidR="00455CB8">
        <w:t xml:space="preserve">A consistent finding across </w:t>
      </w:r>
      <w:r w:rsidR="00607A1F">
        <w:t>experiments</w:t>
      </w:r>
      <w:r w:rsidR="00455CB8">
        <w:t xml:space="preserve"> 2-4 was that exposure to posters containing </w:t>
      </w:r>
      <w:r>
        <w:t>RDMs</w:t>
      </w:r>
      <w:r w:rsidR="00455CB8">
        <w:t xml:space="preserve"> led to increased consumption during the TPT. This so-called </w:t>
      </w:r>
      <w:r w:rsidR="001273AB" w:rsidRPr="001273AB">
        <w:t>boomerang effect has been observed</w:t>
      </w:r>
      <w:r w:rsidR="001273AB">
        <w:t xml:space="preserve"> previously</w:t>
      </w:r>
      <w:r w:rsidR="001273AB" w:rsidRPr="001273AB">
        <w:t>, whereby drinkers who are exposed to alcohol health warnings actually report fewer perceived risks from alcohol than those who have not been exposed (</w:t>
      </w:r>
      <w:r w:rsidR="0005023C">
        <w:t xml:space="preserve">Jessop &amp; Wade, 2008; </w:t>
      </w:r>
      <w:r w:rsidR="001273AB" w:rsidRPr="001273AB">
        <w:t>Snyder &amp; Blood, 1992). While the evidence for this effect is equivocal (MacKinnon &amp; Lapin, 1998), reviews in the field of health intervention research demonstrate that the same effect is observed in other areas of health behaviour</w:t>
      </w:r>
      <w:r w:rsidR="002B38B8">
        <w:t xml:space="preserve">. </w:t>
      </w:r>
      <w:r w:rsidR="001273AB" w:rsidRPr="001273AB">
        <w:t xml:space="preserve">Ringold </w:t>
      </w:r>
      <w:r>
        <w:t xml:space="preserve">(2002) </w:t>
      </w:r>
      <w:r w:rsidR="001273AB" w:rsidRPr="001273AB">
        <w:t>suggested that one reason for this counterintuitive effect is that instead of acting as cues to discourage health risk behaviours, warnings serve to make the target behaviour salient, thereby increasing the likelihood of subsequ</w:t>
      </w:r>
      <w:r w:rsidR="001273AB">
        <w:t>ent enactment of the behaviour.</w:t>
      </w:r>
      <w:r>
        <w:t xml:space="preserve"> </w:t>
      </w:r>
      <w:r w:rsidR="00B974CB">
        <w:t xml:space="preserve">Another area of </w:t>
      </w:r>
      <w:r>
        <w:t>work</w:t>
      </w:r>
      <w:r w:rsidR="00B974CB">
        <w:t>,</w:t>
      </w:r>
      <w:r>
        <w:t xml:space="preserve"> </w:t>
      </w:r>
      <w:r w:rsidR="00B974CB">
        <w:t xml:space="preserve">articulated as the terror management health model (Goldenberg &amp; Arndt, 2008), </w:t>
      </w:r>
      <w:r>
        <w:lastRenderedPageBreak/>
        <w:t xml:space="preserve">has </w:t>
      </w:r>
      <w:r w:rsidR="00980C1E">
        <w:t>focused on</w:t>
      </w:r>
      <w:r>
        <w:t xml:space="preserve"> the importance of </w:t>
      </w:r>
      <w:r w:rsidR="00980C1E">
        <w:t xml:space="preserve">individuals’ efforts to control their awareness of their </w:t>
      </w:r>
      <w:r w:rsidR="008E32CB">
        <w:t xml:space="preserve">own mortality in </w:t>
      </w:r>
      <w:r w:rsidR="00980C1E">
        <w:t xml:space="preserve">health-related decision-making and the adoption of health behaviour in response to </w:t>
      </w:r>
      <w:r>
        <w:t>threat related warnings</w:t>
      </w:r>
      <w:r w:rsidR="00DE37B7">
        <w:t xml:space="preserve">. Studies have shown that one mechanism to remove the threat experienced as a result of </w:t>
      </w:r>
      <w:r w:rsidR="00894EB3">
        <w:t>a person’s</w:t>
      </w:r>
      <w:r w:rsidR="00DE37B7">
        <w:t xml:space="preserve"> interaction with a health communication is to bolster </w:t>
      </w:r>
      <w:r w:rsidR="00894EB3">
        <w:t>either one’s</w:t>
      </w:r>
      <w:r w:rsidR="00DE37B7">
        <w:t xml:space="preserve"> generic self-esteem </w:t>
      </w:r>
      <w:r w:rsidR="00894EB3">
        <w:t>or</w:t>
      </w:r>
      <w:r w:rsidR="00DE37B7">
        <w:t xml:space="preserve"> that associated </w:t>
      </w:r>
      <w:r w:rsidR="00894EB3">
        <w:t xml:space="preserve">specifically </w:t>
      </w:r>
      <w:r w:rsidR="00DE37B7">
        <w:t xml:space="preserve">with the behaviour in question (see </w:t>
      </w:r>
      <w:r w:rsidR="00FB58A9">
        <w:t>Cooper, Goldenberg &amp; Arn</w:t>
      </w:r>
      <w:r w:rsidR="00641C7C">
        <w:t>d</w:t>
      </w:r>
      <w:r w:rsidR="00FB58A9">
        <w:t>t, 2011</w:t>
      </w:r>
      <w:r w:rsidR="00894EB3">
        <w:t xml:space="preserve">; </w:t>
      </w:r>
      <w:proofErr w:type="spellStart"/>
      <w:r w:rsidR="00894EB3" w:rsidRPr="00894EB3">
        <w:t>Taubman</w:t>
      </w:r>
      <w:proofErr w:type="spellEnd"/>
      <w:r w:rsidR="00894EB3" w:rsidRPr="00894EB3">
        <w:t xml:space="preserve"> Ben-Ari</w:t>
      </w:r>
      <w:r w:rsidR="00894EB3">
        <w:t xml:space="preserve">, </w:t>
      </w:r>
      <w:r w:rsidR="00A02EF6">
        <w:t>Florian</w:t>
      </w:r>
      <w:r w:rsidR="00894EB3" w:rsidRPr="00894EB3">
        <w:t xml:space="preserve"> </w:t>
      </w:r>
      <w:r w:rsidR="00A02EF6">
        <w:t xml:space="preserve">&amp; </w:t>
      </w:r>
      <w:proofErr w:type="spellStart"/>
      <w:r w:rsidR="00A02EF6">
        <w:t>Mikulincer</w:t>
      </w:r>
      <w:proofErr w:type="spellEnd"/>
      <w:r w:rsidR="00A02EF6">
        <w:t xml:space="preserve">, </w:t>
      </w:r>
      <w:r w:rsidR="00894EB3" w:rsidRPr="00894EB3">
        <w:t>2000</w:t>
      </w:r>
      <w:r w:rsidR="00894EB3">
        <w:t>)</w:t>
      </w:r>
      <w:r>
        <w:t>.</w:t>
      </w:r>
      <w:r w:rsidR="00894EB3">
        <w:t xml:space="preserve"> In a series of studies this effect has resulted in those who need to defend their self-esteem as increasing their risky behaviour because the adoption of such behaviour serves to reinforce or bolster the threatened self-esteem (see </w:t>
      </w:r>
      <w:r w:rsidR="0005023C">
        <w:t>Arn</w:t>
      </w:r>
      <w:r w:rsidR="00641C7C">
        <w:t>d</w:t>
      </w:r>
      <w:r w:rsidR="0005023C">
        <w:t xml:space="preserve">t et al, 2013; </w:t>
      </w:r>
      <w:r w:rsidR="00894EB3">
        <w:t xml:space="preserve">Jessop et al, 2008).  </w:t>
      </w:r>
      <w:r w:rsidR="00A02EF6">
        <w:t xml:space="preserve">For example, </w:t>
      </w:r>
      <w:r w:rsidR="00894EB3">
        <w:t>Hansen</w:t>
      </w:r>
      <w:r w:rsidR="00FB58A9">
        <w:t xml:space="preserve">, </w:t>
      </w:r>
      <w:proofErr w:type="spellStart"/>
      <w:r w:rsidR="00FB58A9">
        <w:t>Winzeler</w:t>
      </w:r>
      <w:proofErr w:type="spellEnd"/>
      <w:r w:rsidR="00FB58A9">
        <w:t xml:space="preserve"> and </w:t>
      </w:r>
      <w:proofErr w:type="spellStart"/>
      <w:r w:rsidR="00FB58A9">
        <w:t>Topolinski</w:t>
      </w:r>
      <w:proofErr w:type="spellEnd"/>
      <w:r w:rsidR="00894EB3">
        <w:t xml:space="preserve"> (2010) </w:t>
      </w:r>
      <w:r w:rsidR="00A02EF6">
        <w:t>identified that the graphic health warnings common on cigarette packets resulted in smokers who attributed a proportion of their self-worth as being linked to being a smoker</w:t>
      </w:r>
      <w:r w:rsidR="008E32CB">
        <w:t xml:space="preserve"> resulted in</w:t>
      </w:r>
      <w:r w:rsidR="00A02EF6">
        <w:t xml:space="preserve"> increased intentions to smoke.</w:t>
      </w:r>
      <w:r w:rsidR="008E32CB">
        <w:t xml:space="preserve"> In the present study it may well be that the framing of the DA message whilst being responsibility-based nevertheless acted as a threatening cue such that drinkers ‘needed’ to re</w:t>
      </w:r>
      <w:r w:rsidR="00AF0B38">
        <w:t>s</w:t>
      </w:r>
      <w:r w:rsidR="008E32CB">
        <w:t xml:space="preserve">pond by drinking more or even attending away from the threatening cue to reinforce the challenged concept of the drinker for the ‘self’. </w:t>
      </w:r>
    </w:p>
    <w:p w14:paraId="726F6A8D" w14:textId="77777777" w:rsidR="00455CB8" w:rsidRDefault="00B53260" w:rsidP="00D65D1B">
      <w:pPr>
        <w:spacing w:line="480" w:lineRule="auto"/>
      </w:pPr>
      <w:r>
        <w:tab/>
      </w:r>
      <w:r w:rsidR="003F24F8">
        <w:t xml:space="preserve">The RDM posters used in this study were those used as part of a national campaign aimed at young people across the UK. As a consequence of the time frame in which this research was conducted, the posters used in study 4 were a newer iteration to those used in </w:t>
      </w:r>
      <w:r w:rsidR="00607A1F">
        <w:t>experiments</w:t>
      </w:r>
      <w:r w:rsidR="003F24F8">
        <w:t xml:space="preserve"> 2 and 3, albeit all were part of a single campaign which utilised the same health messages. Given that the boomerang effect we observed persisted across both generations of these posters, one might reasonably conclude that the mere presentation of an RDM is sufficient to prime drinking motives. Indeed, this effect was observed irrespective of whether participants were required to directly attend to the RDM posters (</w:t>
      </w:r>
      <w:r w:rsidR="00607A1F">
        <w:t>experiment</w:t>
      </w:r>
      <w:r w:rsidR="003F24F8">
        <w:t xml:space="preserve"> 4) or not (</w:t>
      </w:r>
      <w:r w:rsidR="00607A1F">
        <w:t>experiments</w:t>
      </w:r>
      <w:r w:rsidR="003F24F8">
        <w:t xml:space="preserve"> 2 and 3).</w:t>
      </w:r>
    </w:p>
    <w:p w14:paraId="3757A885" w14:textId="3AF880E7" w:rsidR="00953E50" w:rsidRDefault="008E32CB" w:rsidP="00D65D1B">
      <w:pPr>
        <w:spacing w:line="480" w:lineRule="auto"/>
      </w:pPr>
      <w:r>
        <w:lastRenderedPageBreak/>
        <w:tab/>
      </w:r>
      <w:r w:rsidR="003F24F8">
        <w:t xml:space="preserve">The </w:t>
      </w:r>
      <w:proofErr w:type="spellStart"/>
      <w:r w:rsidR="003F24F8">
        <w:t>eyetracking</w:t>
      </w:r>
      <w:proofErr w:type="spellEnd"/>
      <w:r w:rsidR="003F24F8">
        <w:t xml:space="preserve"> data recorded in our final study provides an opportunity to explore in more detail possible reasons why exposure to the RDM posters was associated with increased consumption. The conclusion that exposure to messages regarding responsible alcohol use necessarily primes drinking motives</w:t>
      </w:r>
      <w:r w:rsidR="001273AB">
        <w:t xml:space="preserve"> (e.g. Ringold, 2002)</w:t>
      </w:r>
      <w:r w:rsidR="003F24F8">
        <w:t xml:space="preserve">, and subsequently increases alcohol intake, would require evidence that participants were indeed attending to the part of these posters which contained the RDM itself. </w:t>
      </w:r>
      <w:r w:rsidR="004E585A">
        <w:t>However,</w:t>
      </w:r>
      <w:r w:rsidR="003F24F8">
        <w:t xml:space="preserve"> participants </w:t>
      </w:r>
      <w:r w:rsidR="00953E50">
        <w:t xml:space="preserve">spent a minimal amount of time attending to the specific RDM contained within each </w:t>
      </w:r>
      <w:r w:rsidR="00AF0B38">
        <w:t xml:space="preserve">poster, instead </w:t>
      </w:r>
      <w:r w:rsidR="00953E50">
        <w:t xml:space="preserve">attending to the positive imagery within these posters. As a result, we are unable to clearly conclude that exposure to an RDM per se will lead to increased drinking. Rather, our data suggest that the attempt to deliver a more complex message within these posters, depicting “before and after” consequences of drinking irresponsibly, may have led to the unintended consequence that participants </w:t>
      </w:r>
      <w:r w:rsidR="00607A1F">
        <w:t>f</w:t>
      </w:r>
      <w:r w:rsidR="00953E50">
        <w:t>ailed to process the message, and instead focused on the positive imagery within the posters. This finding is consistent with our previous research, whereby an attentional bias towards positive imagery was shown when participants were presented with complex images containing positive, neutral and negative elements together</w:t>
      </w:r>
      <w:r w:rsidR="004E585A">
        <w:t xml:space="preserve"> (Moss, Albery &amp; Sharma, 2011)</w:t>
      </w:r>
      <w:r w:rsidR="00953E50">
        <w:t xml:space="preserve">. A further reason for suspecting that RDMs do not of necessity prime drinking motives is evident in </w:t>
      </w:r>
      <w:r w:rsidR="00607A1F">
        <w:t>experiment</w:t>
      </w:r>
      <w:r w:rsidR="00953E50">
        <w:t xml:space="preserve"> 3, where prior exposure to more complex responsible drinking message materials online was not associated with increased consumption even after participants were exposed to the RDM posters.</w:t>
      </w:r>
    </w:p>
    <w:p w14:paraId="38E8D58D" w14:textId="1748E92A" w:rsidR="001273AB" w:rsidRDefault="004E585A" w:rsidP="001273AB">
      <w:pPr>
        <w:spacing w:line="480" w:lineRule="auto"/>
      </w:pPr>
      <w:r>
        <w:tab/>
      </w:r>
      <w:r w:rsidR="001273AB">
        <w:t xml:space="preserve">Our findings raise questions about the optimal means of delivering messages to the public regarding responsible alcohol consumption – and more importantly, raise questions about the sufficiency of evidence available to determine whether any given campaign is effective, ineffective or, indeed, counterproductive. The latter of these questions is in part a consequence of a paucity of methodologies available to researchers to evaluate the impact of any large scale intervention at an individual level. Rather, evaluations (when they are carried </w:t>
      </w:r>
      <w:r w:rsidR="001273AB">
        <w:lastRenderedPageBreak/>
        <w:t>out) tend to rely heavily on aggregated metrics related to alcohol consumption and related harms – metrics which fail to provide insight in to individual- and social group-level drinking decisions. The findings we present go some way to showing how a novel methodological approach to evaluating the impacts of an intervention on actual drinking may be able to provide additional – and we stress the word additional rather than alternative – unde</w:t>
      </w:r>
      <w:r w:rsidR="002A4C51">
        <w:t>rstanding of what works and why (see also Albery, Collins, Moss, Frings &amp; Spada, 2015, and Monk &amp; Heim, 2014, for examples of other methodological developments which are relevant to this area).</w:t>
      </w:r>
    </w:p>
    <w:p w14:paraId="575556E4" w14:textId="77777777" w:rsidR="001273AB" w:rsidRDefault="004E585A" w:rsidP="001273AB">
      <w:pPr>
        <w:spacing w:line="480" w:lineRule="auto"/>
      </w:pPr>
      <w:r>
        <w:tab/>
      </w:r>
      <w:r w:rsidR="001273AB">
        <w:t xml:space="preserve">We have shown that these posters lead to immediate increases in drinking speed, but did not explore whether this would lead to increases in drinking quantity over a longer period of consumption. This is a problem previously identified in the context of alcohol advertising research (Meier, 2011). However, given the pharmacological action of alcohol, and the consequences of drinking alcohol more rapidly in terms of the underlying cognitive mechanisms of decision making, it is still a significant public health concern if drinkers are consuming alcohol more rapidly, even if the overall quantity consumed were subsequently shown to remain constant (e.g. Moss &amp; Albery 2009; 2010; Moss et al., 2010). That is, it would be preferable for drinkers to drink at a </w:t>
      </w:r>
      <w:r w:rsidR="009B7E03">
        <w:t>steadier</w:t>
      </w:r>
      <w:r w:rsidR="001273AB">
        <w:t xml:space="preserve"> pace over an extended time period, than to begin a drinking session by consuming a </w:t>
      </w:r>
      <w:r w:rsidR="009B7E03">
        <w:t>large</w:t>
      </w:r>
      <w:r w:rsidR="001273AB">
        <w:t xml:space="preserve"> volume of alcohol in a brief period of time. A further limitation is the degree to which the drinking task involved was artificial</w:t>
      </w:r>
      <w:r>
        <w:t>. T</w:t>
      </w:r>
      <w:r w:rsidR="001273AB">
        <w:t xml:space="preserve">o mitigate this to some degree we utilised a simulated bar environment and took steps to ensure that participants were unaware that the volume they consumed was the key outcome variable. However, further research to examine the impact of such posters in naturalistic drinking settings is required to establish the </w:t>
      </w:r>
      <w:proofErr w:type="spellStart"/>
      <w:r w:rsidR="001273AB">
        <w:t>generalisability</w:t>
      </w:r>
      <w:proofErr w:type="spellEnd"/>
      <w:r w:rsidR="001273AB">
        <w:t xml:space="preserve"> of the present findings.</w:t>
      </w:r>
    </w:p>
    <w:p w14:paraId="7FF34C67" w14:textId="71AC53E2" w:rsidR="00BC2AFC" w:rsidRDefault="004E585A" w:rsidP="001273AB">
      <w:pPr>
        <w:spacing w:line="480" w:lineRule="auto"/>
      </w:pPr>
      <w:r>
        <w:tab/>
      </w:r>
      <w:r w:rsidR="002E3236">
        <w:t>O</w:t>
      </w:r>
      <w:r w:rsidR="001273AB">
        <w:t xml:space="preserve">ur findings must also be tempered by the fact that the contents of the Drinkaware posters aim to encourage responsible drinking behaviours (i.e. eating food, drinking soft </w:t>
      </w:r>
      <w:r w:rsidR="001273AB">
        <w:lastRenderedPageBreak/>
        <w:t xml:space="preserve">drinks, etc.), rather than to reduce alcohol consumption by volume </w:t>
      </w:r>
      <w:r w:rsidR="001273AB" w:rsidRPr="009E19D4">
        <w:rPr>
          <w:i/>
        </w:rPr>
        <w:t>per se</w:t>
      </w:r>
      <w:r w:rsidR="001273AB">
        <w:t>. In this specific context, it may simply be that participants, in failing to fully attend to the posters and their message, simply responded passively to them as an additional ‘drinking-related cue’, which one would expect to lea</w:t>
      </w:r>
      <w:r w:rsidR="008C7895">
        <w:t xml:space="preserve">d to increased intake (see </w:t>
      </w:r>
      <w:r w:rsidR="0005023C">
        <w:t xml:space="preserve">Earp et al., 2013; </w:t>
      </w:r>
      <w:r w:rsidR="001273AB">
        <w:t xml:space="preserve">Moss &amp; Albery, 2009).  </w:t>
      </w:r>
      <w:r w:rsidR="008E5332">
        <w:t xml:space="preserve">Whilst intervention work aimed at training individuals to divert attention away from alcohol-related cues has been undertaken the evidence to date is equivocal with some studies showing decreased alcohol consumption (e.g. </w:t>
      </w:r>
      <w:proofErr w:type="spellStart"/>
      <w:r w:rsidR="0005023C">
        <w:t>Fadardi</w:t>
      </w:r>
      <w:proofErr w:type="spellEnd"/>
      <w:r w:rsidR="0005023C">
        <w:t xml:space="preserve"> &amp; Cox, 2007; </w:t>
      </w:r>
      <w:proofErr w:type="spellStart"/>
      <w:r w:rsidR="008E5332">
        <w:t>McGeary</w:t>
      </w:r>
      <w:proofErr w:type="spellEnd"/>
      <w:r w:rsidR="008E5332">
        <w:t xml:space="preserve">, Meadows, </w:t>
      </w:r>
      <w:proofErr w:type="gramStart"/>
      <w:r w:rsidR="008E5332">
        <w:t>Amir &amp;</w:t>
      </w:r>
      <w:proofErr w:type="gramEnd"/>
      <w:r w:rsidR="008E5332">
        <w:t xml:space="preserve"> Gibb, 2014) and others no effect (e.g. Field et al, 2007; </w:t>
      </w:r>
      <w:proofErr w:type="spellStart"/>
      <w:r w:rsidR="008E5332">
        <w:t>Schoenmakers</w:t>
      </w:r>
      <w:proofErr w:type="spellEnd"/>
      <w:r w:rsidR="008E5332">
        <w:t xml:space="preserve"> et al, 2007). </w:t>
      </w:r>
      <w:r w:rsidR="008C7895">
        <w:t xml:space="preserve">To our knowledge little, if any, work has directly manipulated how these attentional processes are used when information or cues are framed towards </w:t>
      </w:r>
      <w:r w:rsidR="008455A7">
        <w:t xml:space="preserve">more </w:t>
      </w:r>
      <w:r w:rsidR="008C7895">
        <w:t>responsible drinking</w:t>
      </w:r>
      <w:r w:rsidR="008455A7">
        <w:t xml:space="preserve"> especially in situations in which drinking is likely to occur.</w:t>
      </w:r>
      <w:r w:rsidR="008C7895">
        <w:t xml:space="preserve"> </w:t>
      </w:r>
      <w:r w:rsidR="008455A7">
        <w:t>Clearly f</w:t>
      </w:r>
      <w:r w:rsidR="001273AB" w:rsidRPr="00026923">
        <w:t>urther work to develop a theoretical and empirical basis for effective promotion of responsible drinking practices is needed.</w:t>
      </w:r>
    </w:p>
    <w:p w14:paraId="33C71AFB" w14:textId="77777777" w:rsidR="00F975FB" w:rsidRDefault="001273AB" w:rsidP="00217B41">
      <w:pPr>
        <w:spacing w:line="480" w:lineRule="auto"/>
        <w:ind w:firstLine="720"/>
        <w:rPr>
          <w:b/>
        </w:rPr>
      </w:pPr>
      <w:r>
        <w:t xml:space="preserve">While we have been able to demonstrate increases in consumption, we are not able, on the basis of either our own or other previous research, to conclusively say how best to deliver messages such that alcohol consumption and related harm would be reduced in a real world setting. Given the personal and social costs associated with alcohol misuse, particularly among young women (Gill &amp; </w:t>
      </w:r>
      <w:proofErr w:type="spellStart"/>
      <w:r>
        <w:t>O’May</w:t>
      </w:r>
      <w:proofErr w:type="spellEnd"/>
      <w:r>
        <w:t xml:space="preserve">, 2006), and the amount of funding committed to sending out messages regarding responsible alcohol use, it seems vital that efforts are now made to: 1) evaluate existing interventions to identify any which may be having a detrimental impact; 2) evaluate the </w:t>
      </w:r>
      <w:r w:rsidR="004E585A">
        <w:t xml:space="preserve">theoretical </w:t>
      </w:r>
      <w:r>
        <w:t>efficacy of those interventions currently being developed prior to them being dissemi</w:t>
      </w:r>
      <w:r w:rsidR="00E30060">
        <w:t>nated to the general public,  and</w:t>
      </w:r>
      <w:r>
        <w:t xml:space="preserve"> 3) develop a </w:t>
      </w:r>
      <w:r w:rsidR="004E585A">
        <w:t xml:space="preserve">theoretically driven </w:t>
      </w:r>
      <w:r>
        <w:t>evidence base on which recommendations for the development of future interventions can be made.</w:t>
      </w:r>
    </w:p>
    <w:p w14:paraId="7862E9EB" w14:textId="77777777" w:rsidR="00F533EA" w:rsidRDefault="00F533EA" w:rsidP="00F533EA">
      <w:pPr>
        <w:spacing w:line="480" w:lineRule="auto"/>
      </w:pPr>
    </w:p>
    <w:p w14:paraId="05B4DB4E" w14:textId="77777777" w:rsidR="001A508A" w:rsidRDefault="001A508A" w:rsidP="0007533D">
      <w:pPr>
        <w:spacing w:line="480" w:lineRule="auto"/>
        <w:ind w:firstLine="709"/>
        <w:sectPr w:rsidR="001A508A" w:rsidSect="00087471">
          <w:pgSz w:w="11907" w:h="16839" w:code="9"/>
          <w:pgMar w:top="1440" w:right="1440" w:bottom="1440" w:left="1440" w:header="709" w:footer="709" w:gutter="0"/>
          <w:cols w:space="708"/>
          <w:docGrid w:linePitch="360"/>
        </w:sectPr>
      </w:pPr>
    </w:p>
    <w:p w14:paraId="064DE76D" w14:textId="77777777" w:rsidR="001A508A" w:rsidRPr="001A508A" w:rsidRDefault="002B7757" w:rsidP="00081FC6">
      <w:pPr>
        <w:spacing w:line="480" w:lineRule="auto"/>
        <w:jc w:val="center"/>
        <w:rPr>
          <w:b/>
        </w:rPr>
      </w:pPr>
      <w:r w:rsidRPr="002B7757">
        <w:rPr>
          <w:b/>
        </w:rPr>
        <w:lastRenderedPageBreak/>
        <w:t>References</w:t>
      </w:r>
    </w:p>
    <w:p w14:paraId="75B3FAE4" w14:textId="77777777" w:rsidR="00A31941" w:rsidRDefault="00A31941" w:rsidP="00A31941">
      <w:pPr>
        <w:spacing w:line="480" w:lineRule="auto"/>
        <w:ind w:left="709" w:hanging="709"/>
      </w:pPr>
      <w:proofErr w:type="gramStart"/>
      <w:r>
        <w:t xml:space="preserve">Aalto, M., </w:t>
      </w:r>
      <w:proofErr w:type="spellStart"/>
      <w:r>
        <w:t>Alho</w:t>
      </w:r>
      <w:proofErr w:type="spellEnd"/>
      <w:r>
        <w:t xml:space="preserve">, H., </w:t>
      </w:r>
      <w:proofErr w:type="spellStart"/>
      <w:r>
        <w:t>Halme</w:t>
      </w:r>
      <w:proofErr w:type="spellEnd"/>
      <w:r>
        <w:t xml:space="preserve">, J.T., &amp; </w:t>
      </w:r>
      <w:proofErr w:type="spellStart"/>
      <w:r>
        <w:t>Sepp</w:t>
      </w:r>
      <w:r>
        <w:rPr>
          <w:rFonts w:cs="Times New Roman"/>
        </w:rPr>
        <w:t>ä</w:t>
      </w:r>
      <w:proofErr w:type="spellEnd"/>
      <w:r>
        <w:t>, K. (2009).</w:t>
      </w:r>
      <w:proofErr w:type="gramEnd"/>
      <w:r>
        <w:t xml:space="preserve"> </w:t>
      </w:r>
      <w:proofErr w:type="gramStart"/>
      <w:r>
        <w:t>AUDIT and its abbreviated versions in detecting heavy and binge drinking in a general population survey.</w:t>
      </w:r>
      <w:proofErr w:type="gramEnd"/>
      <w:r>
        <w:t xml:space="preserve"> </w:t>
      </w:r>
      <w:r>
        <w:rPr>
          <w:i/>
        </w:rPr>
        <w:t xml:space="preserve">Drug and Alcohol </w:t>
      </w:r>
      <w:r w:rsidRPr="00A31941">
        <w:rPr>
          <w:i/>
        </w:rPr>
        <w:t>Dependence, 103,</w:t>
      </w:r>
      <w:r>
        <w:t xml:space="preserve"> 25-29.</w:t>
      </w:r>
    </w:p>
    <w:p w14:paraId="6325BC15" w14:textId="16A10A1C" w:rsidR="002A4C51" w:rsidRPr="002A4C51" w:rsidRDefault="002A4C51" w:rsidP="00A31941">
      <w:pPr>
        <w:spacing w:line="480" w:lineRule="auto"/>
        <w:ind w:left="709" w:hanging="709"/>
      </w:pPr>
      <w:proofErr w:type="gramStart"/>
      <w:r>
        <w:t>Albery, I.P., Collins, I., Moss, A.C., Frings, D., &amp; Spada, M.M. (2015).</w:t>
      </w:r>
      <w:proofErr w:type="gramEnd"/>
      <w:r>
        <w:t xml:space="preserve"> Habit predicts in-the-moment alcohol consumption. </w:t>
      </w:r>
      <w:r>
        <w:rPr>
          <w:i/>
        </w:rPr>
        <w:t xml:space="preserve">Addictive </w:t>
      </w:r>
      <w:proofErr w:type="spellStart"/>
      <w:r>
        <w:rPr>
          <w:i/>
        </w:rPr>
        <w:t>Behaviors</w:t>
      </w:r>
      <w:proofErr w:type="spellEnd"/>
      <w:r>
        <w:t>, 41, 78-80.</w:t>
      </w:r>
    </w:p>
    <w:p w14:paraId="14ACE2CF" w14:textId="77777777" w:rsidR="00050488" w:rsidRDefault="00050488" w:rsidP="00F1163E">
      <w:pPr>
        <w:spacing w:line="480" w:lineRule="auto"/>
        <w:ind w:left="709" w:hanging="709"/>
      </w:pPr>
      <w:proofErr w:type="gramStart"/>
      <w:r>
        <w:t>Anderson</w:t>
      </w:r>
      <w:r w:rsidR="00561E15">
        <w:t>,</w:t>
      </w:r>
      <w:r>
        <w:t xml:space="preserve"> P, Chisholm</w:t>
      </w:r>
      <w:r w:rsidR="00561E15">
        <w:t>,</w:t>
      </w:r>
      <w:r>
        <w:t xml:space="preserve"> D</w:t>
      </w:r>
      <w:r w:rsidR="00561E15">
        <w:t>.</w:t>
      </w:r>
      <w:r>
        <w:t xml:space="preserve">, </w:t>
      </w:r>
      <w:r w:rsidR="00561E15">
        <w:t xml:space="preserve">&amp; </w:t>
      </w:r>
      <w:proofErr w:type="spellStart"/>
      <w:r>
        <w:t>Fuhr</w:t>
      </w:r>
      <w:proofErr w:type="spellEnd"/>
      <w:r w:rsidR="00561E15">
        <w:t>,</w:t>
      </w:r>
      <w:r>
        <w:t xml:space="preserve"> D</w:t>
      </w:r>
      <w:r w:rsidR="00561E15">
        <w:t>.</w:t>
      </w:r>
      <w:r>
        <w:t>C. (2009) E</w:t>
      </w:r>
      <w:r>
        <w:rPr>
          <w:rFonts w:ascii="Cambria Math" w:hAnsi="Cambria Math" w:cs="Cambria Math"/>
        </w:rPr>
        <w:t>ﬀ</w:t>
      </w:r>
      <w:r>
        <w:t>ectiveness and cost-e</w:t>
      </w:r>
      <w:r>
        <w:rPr>
          <w:rFonts w:ascii="Cambria Math" w:hAnsi="Cambria Math" w:cs="Cambria Math"/>
        </w:rPr>
        <w:t>ﬀ</w:t>
      </w:r>
      <w:r>
        <w:t>ectiveness of policies and programmes to reduce the harm caused by alcohol.</w:t>
      </w:r>
      <w:proofErr w:type="gramEnd"/>
      <w:r>
        <w:t xml:space="preserve"> </w:t>
      </w:r>
      <w:r w:rsidRPr="00561E15">
        <w:rPr>
          <w:i/>
        </w:rPr>
        <w:t>Lancet</w:t>
      </w:r>
      <w:r w:rsidR="00561E15">
        <w:rPr>
          <w:i/>
        </w:rPr>
        <w:t>,</w:t>
      </w:r>
      <w:r w:rsidRPr="00AD16C8">
        <w:rPr>
          <w:i/>
        </w:rPr>
        <w:t xml:space="preserve"> 373</w:t>
      </w:r>
      <w:r w:rsidR="00561E15">
        <w:t>,</w:t>
      </w:r>
      <w:r w:rsidRPr="00F1163E">
        <w:t xml:space="preserve"> 2234</w:t>
      </w:r>
      <w:r>
        <w:t>-</w:t>
      </w:r>
      <w:r w:rsidRPr="00F1163E">
        <w:t>46</w:t>
      </w:r>
      <w:r>
        <w:t>.</w:t>
      </w:r>
    </w:p>
    <w:p w14:paraId="4785DAEB" w14:textId="77777777" w:rsidR="005D2986" w:rsidRDefault="00561E15" w:rsidP="00081FC6">
      <w:pPr>
        <w:spacing w:line="480" w:lineRule="auto"/>
        <w:ind w:left="709" w:hanging="709"/>
      </w:pPr>
      <w:r w:rsidRPr="00561E15">
        <w:t xml:space="preserve">Anderson, P. (2009). </w:t>
      </w:r>
      <w:proofErr w:type="gramStart"/>
      <w:r w:rsidRPr="00561E15">
        <w:t>Global alcohol policy and the alcohol industry.</w:t>
      </w:r>
      <w:proofErr w:type="gramEnd"/>
      <w:r w:rsidRPr="00561E15">
        <w:t> </w:t>
      </w:r>
      <w:r w:rsidRPr="00561E15">
        <w:rPr>
          <w:i/>
          <w:iCs/>
        </w:rPr>
        <w:t>Current Opinion in Psychiatry</w:t>
      </w:r>
      <w:r w:rsidRPr="00561E15">
        <w:t>, </w:t>
      </w:r>
      <w:r w:rsidRPr="00561E15">
        <w:rPr>
          <w:i/>
          <w:iCs/>
        </w:rPr>
        <w:t>22</w:t>
      </w:r>
      <w:r w:rsidRPr="00561E15">
        <w:t>(3), 253-257.</w:t>
      </w:r>
    </w:p>
    <w:p w14:paraId="752C3A4A" w14:textId="77777777" w:rsidR="00583499" w:rsidRDefault="00583499" w:rsidP="00081FC6">
      <w:pPr>
        <w:spacing w:line="480" w:lineRule="auto"/>
        <w:ind w:left="709" w:hanging="709"/>
      </w:pPr>
      <w:r w:rsidRPr="00583499">
        <w:t xml:space="preserve">Arndt, J., Vail III, K. E., Cox, C. R., Goldenberg, J. L., </w:t>
      </w:r>
      <w:proofErr w:type="spellStart"/>
      <w:r w:rsidRPr="00583499">
        <w:t>Piasecki</w:t>
      </w:r>
      <w:proofErr w:type="spellEnd"/>
      <w:r w:rsidRPr="00583499">
        <w:t xml:space="preserve">, T. M., &amp; Gibbons, F. X. (2013). </w:t>
      </w:r>
      <w:proofErr w:type="gramStart"/>
      <w:r w:rsidRPr="00583499">
        <w:t>The interactive effect of mortality reminders and tobacco craving on smoking topography.</w:t>
      </w:r>
      <w:proofErr w:type="gramEnd"/>
      <w:r w:rsidRPr="00583499">
        <w:t> </w:t>
      </w:r>
      <w:r w:rsidRPr="00583499">
        <w:rPr>
          <w:i/>
          <w:iCs/>
        </w:rPr>
        <w:t>Health Psychology</w:t>
      </w:r>
      <w:r w:rsidRPr="00583499">
        <w:t>, </w:t>
      </w:r>
      <w:r w:rsidRPr="00583499">
        <w:rPr>
          <w:i/>
          <w:iCs/>
        </w:rPr>
        <w:t>32</w:t>
      </w:r>
      <w:r w:rsidRPr="00583499">
        <w:t>(5), 525</w:t>
      </w:r>
      <w:r>
        <w:t>-532</w:t>
      </w:r>
      <w:r w:rsidRPr="00583499">
        <w:t>.</w:t>
      </w:r>
    </w:p>
    <w:p w14:paraId="3CC52FAE" w14:textId="77777777" w:rsidR="00050488" w:rsidRDefault="00050488" w:rsidP="00081FC6">
      <w:pPr>
        <w:spacing w:line="480" w:lineRule="auto"/>
        <w:ind w:left="709" w:hanging="709"/>
      </w:pPr>
      <w:proofErr w:type="spellStart"/>
      <w:r>
        <w:t>Bargh</w:t>
      </w:r>
      <w:proofErr w:type="spellEnd"/>
      <w:r w:rsidR="00561E15">
        <w:t>,</w:t>
      </w:r>
      <w:r>
        <w:t xml:space="preserve"> J</w:t>
      </w:r>
      <w:r w:rsidR="00561E15">
        <w:t>.</w:t>
      </w:r>
      <w:r>
        <w:t>A</w:t>
      </w:r>
      <w:r w:rsidR="00561E15">
        <w:t>.</w:t>
      </w:r>
      <w:r>
        <w:t>,</w:t>
      </w:r>
      <w:r w:rsidR="00561E15">
        <w:t xml:space="preserve"> &amp;</w:t>
      </w:r>
      <w:r w:rsidRPr="00E65232">
        <w:t xml:space="preserve"> </w:t>
      </w:r>
      <w:r>
        <w:t>Chartrand</w:t>
      </w:r>
      <w:r w:rsidR="00561E15">
        <w:t>,</w:t>
      </w:r>
      <w:r>
        <w:t xml:space="preserve"> T</w:t>
      </w:r>
      <w:r w:rsidR="00561E15">
        <w:t>.</w:t>
      </w:r>
      <w:r w:rsidRPr="00E65232">
        <w:t>L</w:t>
      </w:r>
      <w:r>
        <w:t>.</w:t>
      </w:r>
      <w:r w:rsidRPr="00E65232">
        <w:t xml:space="preserve"> </w:t>
      </w:r>
      <w:r>
        <w:t xml:space="preserve">(2000) </w:t>
      </w:r>
      <w:proofErr w:type="gramStart"/>
      <w:r w:rsidRPr="00E65232">
        <w:t>The</w:t>
      </w:r>
      <w:proofErr w:type="gramEnd"/>
      <w:r w:rsidRPr="00E65232">
        <w:t xml:space="preserve"> mind in the middle: A practical guide to priming a</w:t>
      </w:r>
      <w:r>
        <w:t xml:space="preserve">nd automaticity research. </w:t>
      </w:r>
      <w:proofErr w:type="gramStart"/>
      <w:r>
        <w:t>In H</w:t>
      </w:r>
      <w:r w:rsidR="00561E15">
        <w:t>.</w:t>
      </w:r>
      <w:r>
        <w:t>T</w:t>
      </w:r>
      <w:r w:rsidR="00561E15">
        <w:t>.</w:t>
      </w:r>
      <w:r>
        <w:t xml:space="preserve"> Reis</w:t>
      </w:r>
      <w:r w:rsidR="00561E15">
        <w:t xml:space="preserve"> &amp;</w:t>
      </w:r>
      <w:r>
        <w:t xml:space="preserve"> C</w:t>
      </w:r>
      <w:r w:rsidR="00561E15">
        <w:t>.</w:t>
      </w:r>
      <w:r>
        <w:t>M</w:t>
      </w:r>
      <w:r w:rsidR="00561E15">
        <w:t>.</w:t>
      </w:r>
      <w:r w:rsidRPr="00E65232">
        <w:t xml:space="preserve"> Judd (Eds.)</w:t>
      </w:r>
      <w:r w:rsidR="00561E15">
        <w:t>.</w:t>
      </w:r>
      <w:proofErr w:type="gramEnd"/>
      <w:r w:rsidRPr="00E65232">
        <w:t xml:space="preserve"> </w:t>
      </w:r>
      <w:proofErr w:type="gramStart"/>
      <w:r w:rsidRPr="00E65232">
        <w:rPr>
          <w:i/>
        </w:rPr>
        <w:t>Handbook of research methods in social and personality psychology</w:t>
      </w:r>
      <w:r w:rsidRPr="00E65232">
        <w:t xml:space="preserve"> </w:t>
      </w:r>
      <w:r>
        <w:t>(p.253-285).</w:t>
      </w:r>
      <w:proofErr w:type="gramEnd"/>
      <w:r>
        <w:t xml:space="preserve"> </w:t>
      </w:r>
      <w:r w:rsidRPr="00E65232">
        <w:t>New York: Cambridge University Press.</w:t>
      </w:r>
      <w:r>
        <w:t xml:space="preserve"> </w:t>
      </w:r>
    </w:p>
    <w:p w14:paraId="73C2F75B" w14:textId="77777777" w:rsidR="00FB58A9" w:rsidRDefault="00FB58A9" w:rsidP="00081FC6">
      <w:pPr>
        <w:spacing w:line="480" w:lineRule="auto"/>
        <w:ind w:left="709" w:hanging="709"/>
      </w:pPr>
      <w:r w:rsidRPr="00FB58A9">
        <w:t xml:space="preserve">Cooper, D. P., Goldenberg, J. L., &amp; Arndt, J. (2011). </w:t>
      </w:r>
      <w:proofErr w:type="gramStart"/>
      <w:r w:rsidRPr="00FB58A9">
        <w:t>Empowering the self: Using the terror management health model to promote breast self-examination.</w:t>
      </w:r>
      <w:proofErr w:type="gramEnd"/>
      <w:r w:rsidR="006F12D6">
        <w:t xml:space="preserve"> </w:t>
      </w:r>
      <w:r w:rsidRPr="00FB58A9">
        <w:rPr>
          <w:i/>
          <w:iCs/>
        </w:rPr>
        <w:t>Self and Identity</w:t>
      </w:r>
      <w:r w:rsidRPr="00FB58A9">
        <w:t>, </w:t>
      </w:r>
      <w:r w:rsidRPr="00FB58A9">
        <w:rPr>
          <w:i/>
          <w:iCs/>
        </w:rPr>
        <w:t>10</w:t>
      </w:r>
      <w:r w:rsidRPr="00FB58A9">
        <w:t>(3), 315-325.</w:t>
      </w:r>
    </w:p>
    <w:p w14:paraId="19985366" w14:textId="77777777" w:rsidR="00050488" w:rsidRDefault="00050488" w:rsidP="00081FC6">
      <w:pPr>
        <w:spacing w:line="480" w:lineRule="auto"/>
        <w:ind w:left="709" w:hanging="709"/>
      </w:pPr>
      <w:proofErr w:type="gramStart"/>
      <w:r>
        <w:t>Drinksinitiatives.eu. Voluntary initiatives by the EU spirits industry to help reduce alcohol-related harm.</w:t>
      </w:r>
      <w:proofErr w:type="gramEnd"/>
      <w:r>
        <w:t xml:space="preserve"> </w:t>
      </w:r>
      <w:r w:rsidR="00920222" w:rsidRPr="00AD16C8">
        <w:t>http://www.drinksinitiatives.eu/details-dynamic.php?id=</w:t>
      </w:r>
      <w:proofErr w:type="gramStart"/>
      <w:r w:rsidR="00920222" w:rsidRPr="00AD16C8">
        <w:t>313</w:t>
      </w:r>
      <w:r w:rsidRPr="00050488" w:rsidDel="00AC0BA1">
        <w:t xml:space="preserve"> </w:t>
      </w:r>
      <w:r w:rsidRPr="00050488">
        <w:t xml:space="preserve"> </w:t>
      </w:r>
      <w:r w:rsidRPr="00D033F0">
        <w:t>(</w:t>
      </w:r>
      <w:proofErr w:type="gramEnd"/>
      <w:r w:rsidRPr="00D033F0">
        <w:t>retrieved July 3</w:t>
      </w:r>
      <w:r w:rsidRPr="00D033F0">
        <w:rPr>
          <w:vertAlign w:val="superscript"/>
        </w:rPr>
        <w:t>rd</w:t>
      </w:r>
      <w:r w:rsidRPr="00D033F0">
        <w:t xml:space="preserve"> 2012).</w:t>
      </w:r>
    </w:p>
    <w:p w14:paraId="03C434EB" w14:textId="77777777" w:rsidR="00822107" w:rsidRDefault="004E585A" w:rsidP="00822107">
      <w:pPr>
        <w:spacing w:line="480" w:lineRule="auto"/>
        <w:ind w:left="709" w:hanging="709"/>
      </w:pPr>
      <w:proofErr w:type="gramStart"/>
      <w:r w:rsidRPr="004E585A">
        <w:t xml:space="preserve">Earp, B. D., Dill, B., Harris, J. L., Ackerman, J. M., &amp; </w:t>
      </w:r>
      <w:proofErr w:type="spellStart"/>
      <w:r w:rsidRPr="004E585A">
        <w:t>Bargh</w:t>
      </w:r>
      <w:proofErr w:type="spellEnd"/>
      <w:r w:rsidRPr="004E585A">
        <w:t>, J. A. (2013).</w:t>
      </w:r>
      <w:proofErr w:type="gramEnd"/>
      <w:r w:rsidRPr="004E585A">
        <w:t xml:space="preserve"> No sign of quitting: incidental exposure to “no smoking” signs ironically boosts cigarette</w:t>
      </w:r>
      <w:r w:rsidRPr="004E585A">
        <w:rPr>
          <w:rFonts w:ascii="Cambria Math" w:hAnsi="Cambria Math" w:cs="Cambria Math"/>
        </w:rPr>
        <w:t>‐</w:t>
      </w:r>
      <w:r w:rsidRPr="004E585A">
        <w:lastRenderedPageBreak/>
        <w:t>approach tendencies in smokers. </w:t>
      </w:r>
      <w:r w:rsidRPr="004E585A">
        <w:rPr>
          <w:i/>
          <w:iCs/>
        </w:rPr>
        <w:t>Journal of Applied Social Psychology</w:t>
      </w:r>
      <w:r w:rsidRPr="004E585A">
        <w:t>, </w:t>
      </w:r>
      <w:r w:rsidRPr="004E585A">
        <w:rPr>
          <w:i/>
          <w:iCs/>
        </w:rPr>
        <w:t>43</w:t>
      </w:r>
      <w:r w:rsidRPr="004E585A">
        <w:t>(10), 2158-2162.</w:t>
      </w:r>
    </w:p>
    <w:p w14:paraId="192ECC14" w14:textId="77777777" w:rsidR="00AF4471" w:rsidRDefault="00AF4471" w:rsidP="00822107">
      <w:pPr>
        <w:spacing w:line="480" w:lineRule="auto"/>
        <w:ind w:left="709" w:hanging="709"/>
      </w:pPr>
      <w:proofErr w:type="spellStart"/>
      <w:proofErr w:type="gramStart"/>
      <w:r w:rsidRPr="00AF4471">
        <w:t>Fadardi</w:t>
      </w:r>
      <w:proofErr w:type="spellEnd"/>
      <w:r w:rsidRPr="00AF4471">
        <w:t>, J. S., &amp; Cox, W. M. (2009).</w:t>
      </w:r>
      <w:proofErr w:type="gramEnd"/>
      <w:r w:rsidRPr="00AF4471">
        <w:t xml:space="preserve"> </w:t>
      </w:r>
      <w:proofErr w:type="gramStart"/>
      <w:r w:rsidRPr="00AF4471">
        <w:t>Reversing the sequence: reducing alcohol consumption by overcoming alcohol attentional bias.</w:t>
      </w:r>
      <w:proofErr w:type="gramEnd"/>
      <w:r w:rsidRPr="00AF4471">
        <w:t> </w:t>
      </w:r>
      <w:proofErr w:type="gramStart"/>
      <w:r w:rsidRPr="00AF4471">
        <w:rPr>
          <w:i/>
          <w:iCs/>
        </w:rPr>
        <w:t>Drug and alcohol dependence</w:t>
      </w:r>
      <w:r w:rsidRPr="00AF4471">
        <w:t>, </w:t>
      </w:r>
      <w:r w:rsidRPr="00AF4471">
        <w:rPr>
          <w:i/>
          <w:iCs/>
        </w:rPr>
        <w:t>101</w:t>
      </w:r>
      <w:r w:rsidRPr="00AF4471">
        <w:t>(3), 137-145.</w:t>
      </w:r>
      <w:proofErr w:type="gramEnd"/>
    </w:p>
    <w:p w14:paraId="3357D14A" w14:textId="77777777" w:rsidR="009B7E03" w:rsidRDefault="00561E15" w:rsidP="00822107">
      <w:pPr>
        <w:spacing w:line="480" w:lineRule="auto"/>
        <w:ind w:left="709" w:hanging="709"/>
      </w:pPr>
      <w:proofErr w:type="spellStart"/>
      <w:proofErr w:type="gramStart"/>
      <w:r w:rsidRPr="00561E15">
        <w:t>Fenaughty</w:t>
      </w:r>
      <w:proofErr w:type="spellEnd"/>
      <w:r w:rsidRPr="00561E15">
        <w:t>, A. M., &amp; MacKinnon, D. P. (1993).</w:t>
      </w:r>
      <w:proofErr w:type="gramEnd"/>
      <w:r w:rsidRPr="00561E15">
        <w:t xml:space="preserve"> </w:t>
      </w:r>
      <w:proofErr w:type="gramStart"/>
      <w:r w:rsidRPr="00561E15">
        <w:t>Immediate effects of the Arizona alcohol warning poster.</w:t>
      </w:r>
      <w:proofErr w:type="gramEnd"/>
      <w:r w:rsidRPr="00561E15">
        <w:t> </w:t>
      </w:r>
      <w:proofErr w:type="gramStart"/>
      <w:r w:rsidRPr="00561E15">
        <w:rPr>
          <w:i/>
          <w:iCs/>
        </w:rPr>
        <w:t>Journal of Public Policy &amp; Marketing</w:t>
      </w:r>
      <w:r w:rsidRPr="00561E15">
        <w:t>, 69-77.</w:t>
      </w:r>
      <w:r w:rsidR="009B7E03">
        <w:t>Fromme, K., &amp; Dunn, M.E. (1992).</w:t>
      </w:r>
      <w:proofErr w:type="gramEnd"/>
      <w:r w:rsidR="009B7E03">
        <w:t xml:space="preserve"> </w:t>
      </w:r>
      <w:proofErr w:type="gramStart"/>
      <w:r w:rsidR="009B7E03">
        <w:t>Alcohol expectancies, social and environmental cues as determinants of drinking and perceived reinforcement.</w:t>
      </w:r>
      <w:proofErr w:type="gramEnd"/>
      <w:r w:rsidR="009B7E03">
        <w:t xml:space="preserve"> </w:t>
      </w:r>
      <w:r w:rsidR="009B7E03">
        <w:rPr>
          <w:i/>
        </w:rPr>
        <w:t xml:space="preserve">Addictive </w:t>
      </w:r>
      <w:proofErr w:type="spellStart"/>
      <w:r w:rsidR="009B7E03">
        <w:rPr>
          <w:i/>
        </w:rPr>
        <w:t>Behaviors</w:t>
      </w:r>
      <w:proofErr w:type="spellEnd"/>
      <w:r w:rsidR="009B7E03">
        <w:t xml:space="preserve">, </w:t>
      </w:r>
      <w:r w:rsidR="009B7E03" w:rsidRPr="00AD16C8">
        <w:rPr>
          <w:i/>
        </w:rPr>
        <w:t>17</w:t>
      </w:r>
      <w:r w:rsidR="009B7E03">
        <w:t>, 167-177.</w:t>
      </w:r>
    </w:p>
    <w:p w14:paraId="4B04DC4C" w14:textId="77777777" w:rsidR="00AF4471" w:rsidRPr="009B7E03" w:rsidRDefault="00AF4471" w:rsidP="00822107">
      <w:pPr>
        <w:spacing w:line="480" w:lineRule="auto"/>
        <w:ind w:left="709" w:hanging="709"/>
      </w:pPr>
      <w:proofErr w:type="gramStart"/>
      <w:r w:rsidRPr="00AF4471">
        <w:t xml:space="preserve">Field, M., </w:t>
      </w:r>
      <w:proofErr w:type="spellStart"/>
      <w:r w:rsidRPr="00AF4471">
        <w:t>Duka</w:t>
      </w:r>
      <w:proofErr w:type="spellEnd"/>
      <w:r w:rsidRPr="00AF4471">
        <w:t xml:space="preserve">, T., Eastwood, B., Child, R., </w:t>
      </w:r>
      <w:proofErr w:type="spellStart"/>
      <w:r w:rsidRPr="00AF4471">
        <w:t>Santarcangelo</w:t>
      </w:r>
      <w:proofErr w:type="spellEnd"/>
      <w:r w:rsidRPr="00AF4471">
        <w:t xml:space="preserve">, M., &amp; </w:t>
      </w:r>
      <w:proofErr w:type="spellStart"/>
      <w:r w:rsidRPr="00AF4471">
        <w:t>Gayton</w:t>
      </w:r>
      <w:proofErr w:type="spellEnd"/>
      <w:r w:rsidRPr="00AF4471">
        <w:t>, M. (2007).</w:t>
      </w:r>
      <w:proofErr w:type="gramEnd"/>
      <w:r w:rsidRPr="00AF4471">
        <w:t xml:space="preserve"> Experimental manipulation of attentional biases in heavy drink</w:t>
      </w:r>
      <w:r>
        <w:t xml:space="preserve">ers: do the effects generalise? </w:t>
      </w:r>
      <w:r w:rsidRPr="00AF4471">
        <w:t> </w:t>
      </w:r>
      <w:r w:rsidRPr="00AF4471">
        <w:rPr>
          <w:i/>
          <w:iCs/>
        </w:rPr>
        <w:t>Psychopharmacology</w:t>
      </w:r>
      <w:r w:rsidRPr="00AF4471">
        <w:t>, </w:t>
      </w:r>
      <w:r w:rsidRPr="00AF4471">
        <w:rPr>
          <w:i/>
          <w:iCs/>
        </w:rPr>
        <w:t>192</w:t>
      </w:r>
      <w:r w:rsidRPr="00AF4471">
        <w:t>(4), 593-608.</w:t>
      </w:r>
    </w:p>
    <w:p w14:paraId="14843657" w14:textId="77777777" w:rsidR="00050488" w:rsidRDefault="00050488" w:rsidP="00D033F0">
      <w:pPr>
        <w:spacing w:line="480" w:lineRule="auto"/>
        <w:ind w:left="709" w:hanging="709"/>
      </w:pPr>
      <w:r>
        <w:t>Gill</w:t>
      </w:r>
      <w:r w:rsidR="00561E15">
        <w:t>,</w:t>
      </w:r>
      <w:r>
        <w:t xml:space="preserve"> J</w:t>
      </w:r>
      <w:r w:rsidR="00561E15">
        <w:t>.</w:t>
      </w:r>
      <w:r>
        <w:t xml:space="preserve">, </w:t>
      </w:r>
      <w:r w:rsidR="00561E15">
        <w:t xml:space="preserve">&amp; </w:t>
      </w:r>
      <w:proofErr w:type="spellStart"/>
      <w:r>
        <w:t>O’May</w:t>
      </w:r>
      <w:proofErr w:type="spellEnd"/>
      <w:r w:rsidR="00561E15">
        <w:t>,</w:t>
      </w:r>
      <w:r>
        <w:t xml:space="preserve"> F. (2006) </w:t>
      </w:r>
      <w:proofErr w:type="gramStart"/>
      <w:r w:rsidRPr="00C81CC5">
        <w:t>How</w:t>
      </w:r>
      <w:proofErr w:type="gramEnd"/>
      <w:r w:rsidRPr="00C81CC5">
        <w:t xml:space="preserve"> ‘sensible’ is the UK Sensible Drinking message? </w:t>
      </w:r>
      <w:proofErr w:type="gramStart"/>
      <w:r w:rsidRPr="00C81CC5">
        <w:t>Preliminary findings amongst newly matriculated female university students in Sco</w:t>
      </w:r>
      <w:r>
        <w:t>tland.</w:t>
      </w:r>
      <w:proofErr w:type="gramEnd"/>
      <w:r>
        <w:t xml:space="preserve"> </w:t>
      </w:r>
      <w:r w:rsidRPr="00C81CC5">
        <w:rPr>
          <w:i/>
        </w:rPr>
        <w:t>J</w:t>
      </w:r>
      <w:r w:rsidR="00561E15">
        <w:rPr>
          <w:i/>
        </w:rPr>
        <w:t>ournal of</w:t>
      </w:r>
      <w:r w:rsidRPr="008150C7">
        <w:rPr>
          <w:i/>
        </w:rPr>
        <w:t xml:space="preserve"> Public Health </w:t>
      </w:r>
      <w:r>
        <w:rPr>
          <w:i/>
        </w:rPr>
        <w:t>(</w:t>
      </w:r>
      <w:proofErr w:type="spellStart"/>
      <w:r>
        <w:rPr>
          <w:i/>
        </w:rPr>
        <w:t>Oxf</w:t>
      </w:r>
      <w:proofErr w:type="spellEnd"/>
      <w:r>
        <w:rPr>
          <w:i/>
        </w:rPr>
        <w:t>.)</w:t>
      </w:r>
      <w:r w:rsidR="00561E15">
        <w:t xml:space="preserve">, </w:t>
      </w:r>
      <w:r w:rsidRPr="00AD16C8">
        <w:rPr>
          <w:i/>
        </w:rPr>
        <w:t>29</w:t>
      </w:r>
      <w:r w:rsidR="00561E15">
        <w:t>,</w:t>
      </w:r>
      <w:r>
        <w:t xml:space="preserve"> </w:t>
      </w:r>
      <w:r w:rsidRPr="00C81CC5">
        <w:t>13-16</w:t>
      </w:r>
      <w:r>
        <w:t>.</w:t>
      </w:r>
    </w:p>
    <w:p w14:paraId="2F255C35" w14:textId="18EE0741" w:rsidR="005D2986" w:rsidRDefault="00FB58A9" w:rsidP="00D033F0">
      <w:pPr>
        <w:spacing w:line="480" w:lineRule="auto"/>
        <w:ind w:left="709" w:hanging="709"/>
      </w:pPr>
      <w:proofErr w:type="gramStart"/>
      <w:r w:rsidRPr="00FB58A9">
        <w:t>Goldenberg, J. L., &amp; Arndt, J. (2008).</w:t>
      </w:r>
      <w:proofErr w:type="gramEnd"/>
      <w:r w:rsidRPr="00FB58A9">
        <w:t xml:space="preserve"> The implications of death for health: a terror management health model for </w:t>
      </w:r>
      <w:proofErr w:type="spellStart"/>
      <w:r w:rsidRPr="00FB58A9">
        <w:t>behavioral</w:t>
      </w:r>
      <w:proofErr w:type="spellEnd"/>
      <w:r w:rsidRPr="00FB58A9">
        <w:t xml:space="preserve"> health promotion. </w:t>
      </w:r>
      <w:r w:rsidR="00BA3CD6">
        <w:rPr>
          <w:i/>
          <w:iCs/>
        </w:rPr>
        <w:t>Psychological R</w:t>
      </w:r>
      <w:r w:rsidRPr="00FB58A9">
        <w:rPr>
          <w:i/>
          <w:iCs/>
        </w:rPr>
        <w:t>eview</w:t>
      </w:r>
      <w:r w:rsidRPr="00FB58A9">
        <w:t>, </w:t>
      </w:r>
      <w:r w:rsidRPr="00FB58A9">
        <w:rPr>
          <w:i/>
          <w:iCs/>
        </w:rPr>
        <w:t>115</w:t>
      </w:r>
      <w:r w:rsidRPr="00FB58A9">
        <w:t>(4), 1032</w:t>
      </w:r>
      <w:r w:rsidR="002B38B8">
        <w:t>-1053</w:t>
      </w:r>
      <w:r w:rsidRPr="00FB58A9">
        <w:t>.</w:t>
      </w:r>
    </w:p>
    <w:p w14:paraId="474F245C" w14:textId="77777777" w:rsidR="00FB58A9" w:rsidRDefault="00FB58A9" w:rsidP="00D033F0">
      <w:pPr>
        <w:spacing w:line="480" w:lineRule="auto"/>
        <w:ind w:left="709" w:hanging="709"/>
      </w:pPr>
      <w:proofErr w:type="gramStart"/>
      <w:r w:rsidRPr="00FB58A9">
        <w:t xml:space="preserve">Hansen, J., </w:t>
      </w:r>
      <w:proofErr w:type="spellStart"/>
      <w:r w:rsidRPr="00FB58A9">
        <w:t>Winzeler</w:t>
      </w:r>
      <w:proofErr w:type="spellEnd"/>
      <w:r w:rsidRPr="00FB58A9">
        <w:t xml:space="preserve">, S., &amp; </w:t>
      </w:r>
      <w:proofErr w:type="spellStart"/>
      <w:r w:rsidRPr="00FB58A9">
        <w:t>Topolinski</w:t>
      </w:r>
      <w:proofErr w:type="spellEnd"/>
      <w:r w:rsidRPr="00FB58A9">
        <w:t>, S. (2010).</w:t>
      </w:r>
      <w:proofErr w:type="gramEnd"/>
      <w:r w:rsidRPr="00FB58A9">
        <w:t xml:space="preserve"> When the death makes you smoke: A terror management perspective on the effectiveness of cigarette on-pack warnings. </w:t>
      </w:r>
      <w:r w:rsidRPr="00FB58A9">
        <w:rPr>
          <w:i/>
          <w:iCs/>
        </w:rPr>
        <w:t>Journal of Experimental Social Psychology</w:t>
      </w:r>
      <w:r w:rsidRPr="00FB58A9">
        <w:t>, </w:t>
      </w:r>
      <w:r w:rsidRPr="00FB58A9">
        <w:rPr>
          <w:i/>
          <w:iCs/>
        </w:rPr>
        <w:t>46</w:t>
      </w:r>
      <w:r w:rsidRPr="00FB58A9">
        <w:t>(1), 226-228.</w:t>
      </w:r>
    </w:p>
    <w:p w14:paraId="4232C5B9" w14:textId="77777777" w:rsidR="00583499" w:rsidRDefault="00583499" w:rsidP="00D033F0">
      <w:pPr>
        <w:spacing w:line="480" w:lineRule="auto"/>
        <w:ind w:left="709" w:hanging="709"/>
      </w:pPr>
      <w:r w:rsidRPr="00583499">
        <w:t xml:space="preserve">Jessop, D. C., Albery, I. P., Rutter, J., &amp; </w:t>
      </w:r>
      <w:proofErr w:type="spellStart"/>
      <w:r w:rsidRPr="00583499">
        <w:t>Garrod</w:t>
      </w:r>
      <w:proofErr w:type="spellEnd"/>
      <w:r w:rsidRPr="00583499">
        <w:t xml:space="preserve">, H. (2008). </w:t>
      </w:r>
      <w:proofErr w:type="gramStart"/>
      <w:r w:rsidRPr="00583499">
        <w:t>Understanding the impact of mortality-related health-risk information: A terror management theory perspective.</w:t>
      </w:r>
      <w:proofErr w:type="gramEnd"/>
      <w:r w:rsidRPr="00583499">
        <w:t> </w:t>
      </w:r>
      <w:r w:rsidRPr="00583499">
        <w:rPr>
          <w:i/>
          <w:iCs/>
        </w:rPr>
        <w:t>Personality and Social Psychology Bulletin</w:t>
      </w:r>
      <w:r w:rsidRPr="00583499">
        <w:t>, </w:t>
      </w:r>
      <w:r w:rsidRPr="00583499">
        <w:rPr>
          <w:i/>
          <w:iCs/>
        </w:rPr>
        <w:t>34</w:t>
      </w:r>
      <w:r w:rsidRPr="00583499">
        <w:t>(7), 951-964.</w:t>
      </w:r>
    </w:p>
    <w:p w14:paraId="30D81E0E" w14:textId="77777777" w:rsidR="00583499" w:rsidRDefault="00583499" w:rsidP="00D033F0">
      <w:pPr>
        <w:spacing w:line="480" w:lineRule="auto"/>
        <w:ind w:left="709" w:hanging="709"/>
      </w:pPr>
      <w:r w:rsidRPr="00583499">
        <w:lastRenderedPageBreak/>
        <w:t>Jessop, D. C., &amp; Wade, J. (2008). Fear appeals and binge drinking: a terror management theory perspective. </w:t>
      </w:r>
      <w:r>
        <w:rPr>
          <w:i/>
          <w:iCs/>
        </w:rPr>
        <w:t>British Journal of Health P</w:t>
      </w:r>
      <w:r w:rsidRPr="00583499">
        <w:rPr>
          <w:i/>
          <w:iCs/>
        </w:rPr>
        <w:t>sychology</w:t>
      </w:r>
      <w:r w:rsidRPr="00583499">
        <w:t>, </w:t>
      </w:r>
      <w:r w:rsidRPr="00583499">
        <w:rPr>
          <w:i/>
          <w:iCs/>
        </w:rPr>
        <w:t>13</w:t>
      </w:r>
      <w:r w:rsidRPr="00583499">
        <w:t>(4), 773-788.</w:t>
      </w:r>
    </w:p>
    <w:p w14:paraId="6E05BC60" w14:textId="77777777" w:rsidR="005D2986" w:rsidRDefault="00561E15" w:rsidP="00081FC6">
      <w:pPr>
        <w:spacing w:line="480" w:lineRule="auto"/>
        <w:ind w:left="709" w:hanging="709"/>
      </w:pPr>
      <w:proofErr w:type="spellStart"/>
      <w:r w:rsidRPr="00561E15">
        <w:t>Kalsher</w:t>
      </w:r>
      <w:proofErr w:type="spellEnd"/>
      <w:r w:rsidRPr="00561E15">
        <w:t xml:space="preserve">, M. J., Clarke, S. W., &amp; </w:t>
      </w:r>
      <w:proofErr w:type="spellStart"/>
      <w:r w:rsidRPr="00561E15">
        <w:t>Wogalter</w:t>
      </w:r>
      <w:proofErr w:type="spellEnd"/>
      <w:r w:rsidRPr="00561E15">
        <w:t xml:space="preserve">, M. S. (1993). </w:t>
      </w:r>
      <w:proofErr w:type="gramStart"/>
      <w:r w:rsidRPr="00561E15">
        <w:t>Communication of alcohol facts and hazards by a warning poster.</w:t>
      </w:r>
      <w:proofErr w:type="gramEnd"/>
      <w:r w:rsidRPr="00561E15">
        <w:t> </w:t>
      </w:r>
      <w:proofErr w:type="gramStart"/>
      <w:r w:rsidRPr="00561E15">
        <w:rPr>
          <w:i/>
          <w:iCs/>
        </w:rPr>
        <w:t>Journal of Public Policy &amp; Marketing</w:t>
      </w:r>
      <w:r w:rsidRPr="00561E15">
        <w:t>, 78-90.</w:t>
      </w:r>
      <w:proofErr w:type="gramEnd"/>
    </w:p>
    <w:p w14:paraId="6D189F0A" w14:textId="77777777" w:rsidR="005D2986" w:rsidRDefault="00561E15" w:rsidP="00081FC6">
      <w:pPr>
        <w:spacing w:line="480" w:lineRule="auto"/>
        <w:ind w:left="709" w:hanging="709"/>
      </w:pPr>
      <w:proofErr w:type="gramStart"/>
      <w:r w:rsidRPr="00561E15">
        <w:t>Lau-</w:t>
      </w:r>
      <w:proofErr w:type="spellStart"/>
      <w:r w:rsidRPr="00561E15">
        <w:t>Barraco</w:t>
      </w:r>
      <w:proofErr w:type="spellEnd"/>
      <w:r w:rsidRPr="00561E15">
        <w:t>, C., &amp; Dunn, M. E. (2009).</w:t>
      </w:r>
      <w:proofErr w:type="gramEnd"/>
      <w:r w:rsidRPr="00561E15">
        <w:t xml:space="preserve"> </w:t>
      </w:r>
      <w:proofErr w:type="gramStart"/>
      <w:r w:rsidRPr="00561E15">
        <w:t>Environmental context effects on alcohol cognitions and immediate alcohol consumption.</w:t>
      </w:r>
      <w:proofErr w:type="gramEnd"/>
      <w:r w:rsidRPr="00561E15">
        <w:t> </w:t>
      </w:r>
      <w:r w:rsidRPr="00561E15">
        <w:rPr>
          <w:i/>
          <w:iCs/>
        </w:rPr>
        <w:t>Addiction Research &amp; Theory</w:t>
      </w:r>
      <w:r w:rsidRPr="00561E15">
        <w:t>, </w:t>
      </w:r>
      <w:r w:rsidRPr="00561E15">
        <w:rPr>
          <w:i/>
          <w:iCs/>
        </w:rPr>
        <w:t>17</w:t>
      </w:r>
      <w:r w:rsidRPr="00561E15">
        <w:t>(3), 306-314.</w:t>
      </w:r>
    </w:p>
    <w:p w14:paraId="649A3FB0" w14:textId="77777777" w:rsidR="00050488" w:rsidRPr="00D247DD" w:rsidRDefault="00561E15" w:rsidP="00081FC6">
      <w:pPr>
        <w:spacing w:line="480" w:lineRule="auto"/>
        <w:ind w:left="709" w:hanging="709"/>
      </w:pPr>
      <w:r w:rsidRPr="00561E15">
        <w:t>MacKinnon, D. P., &amp; Lapin, A. (1998). Effects of alcohol warnings and advertisements: A test of the boomerang hypothesis. </w:t>
      </w:r>
      <w:r w:rsidRPr="00561E15">
        <w:rPr>
          <w:i/>
          <w:iCs/>
        </w:rPr>
        <w:t>Psychology and Marketing</w:t>
      </w:r>
      <w:r w:rsidRPr="00561E15">
        <w:t>, </w:t>
      </w:r>
      <w:r w:rsidRPr="00561E15">
        <w:rPr>
          <w:i/>
          <w:iCs/>
        </w:rPr>
        <w:t>15</w:t>
      </w:r>
      <w:r w:rsidRPr="00561E15">
        <w:t>(7), 707-726.</w:t>
      </w:r>
    </w:p>
    <w:p w14:paraId="0C8A22ED" w14:textId="77777777" w:rsidR="00AF4471" w:rsidRDefault="00561E15" w:rsidP="00453062">
      <w:pPr>
        <w:spacing w:line="480" w:lineRule="auto"/>
        <w:ind w:left="709" w:hanging="709"/>
      </w:pPr>
      <w:proofErr w:type="spellStart"/>
      <w:proofErr w:type="gramStart"/>
      <w:r w:rsidRPr="00561E15">
        <w:t>Marlatt</w:t>
      </w:r>
      <w:proofErr w:type="spellEnd"/>
      <w:r w:rsidRPr="00561E15">
        <w:t xml:space="preserve">, G. A., &amp; </w:t>
      </w:r>
      <w:proofErr w:type="spellStart"/>
      <w:r w:rsidRPr="00561E15">
        <w:t>Witkiewitz</w:t>
      </w:r>
      <w:proofErr w:type="spellEnd"/>
      <w:r w:rsidRPr="00561E15">
        <w:t>, K. (2010).</w:t>
      </w:r>
      <w:proofErr w:type="gramEnd"/>
      <w:r w:rsidRPr="00561E15">
        <w:t xml:space="preserve"> Update on harm-reduction policy and intervention research. </w:t>
      </w:r>
      <w:r w:rsidRPr="00561E15">
        <w:rPr>
          <w:i/>
          <w:iCs/>
        </w:rPr>
        <w:t>Annual Review of Clinical Psychology</w:t>
      </w:r>
      <w:r w:rsidRPr="00561E15">
        <w:t>, </w:t>
      </w:r>
      <w:r w:rsidRPr="00561E15">
        <w:rPr>
          <w:i/>
          <w:iCs/>
        </w:rPr>
        <w:t>6</w:t>
      </w:r>
      <w:r w:rsidRPr="00561E15">
        <w:t>, 591-606.</w:t>
      </w:r>
      <w:r w:rsidRPr="00561E15" w:rsidDel="00561E15">
        <w:t xml:space="preserve"> </w:t>
      </w:r>
    </w:p>
    <w:p w14:paraId="2A6A855D" w14:textId="77777777" w:rsidR="00AF4471" w:rsidRDefault="00AF4471" w:rsidP="00453062">
      <w:pPr>
        <w:spacing w:line="480" w:lineRule="auto"/>
        <w:ind w:left="709" w:hanging="709"/>
      </w:pPr>
      <w:proofErr w:type="spellStart"/>
      <w:proofErr w:type="gramStart"/>
      <w:r w:rsidRPr="00AF4471">
        <w:t>McGeary</w:t>
      </w:r>
      <w:proofErr w:type="spellEnd"/>
      <w:r w:rsidRPr="00AF4471">
        <w:t>, J. E., Meadows, S. P., Amir, N., &amp; Gibb, B. E. (2014).</w:t>
      </w:r>
      <w:proofErr w:type="gramEnd"/>
      <w:r w:rsidRPr="00AF4471">
        <w:t xml:space="preserve"> Computer-delivered, home-based, attentional retraining reduces drinking </w:t>
      </w:r>
      <w:proofErr w:type="spellStart"/>
      <w:r w:rsidRPr="00AF4471">
        <w:t>behavior</w:t>
      </w:r>
      <w:proofErr w:type="spellEnd"/>
      <w:r w:rsidRPr="00AF4471">
        <w:t xml:space="preserve"> in heavy drinkers. </w:t>
      </w:r>
      <w:r w:rsidRPr="00AF4471">
        <w:rPr>
          <w:i/>
          <w:iCs/>
        </w:rPr>
        <w:t xml:space="preserve">Psychology of Addictive </w:t>
      </w:r>
      <w:proofErr w:type="spellStart"/>
      <w:r w:rsidRPr="00AF4471">
        <w:rPr>
          <w:i/>
          <w:iCs/>
        </w:rPr>
        <w:t>Behaviors</w:t>
      </w:r>
      <w:proofErr w:type="spellEnd"/>
      <w:r w:rsidRPr="00AF4471">
        <w:t>, </w:t>
      </w:r>
      <w:r w:rsidRPr="00AF4471">
        <w:rPr>
          <w:i/>
          <w:iCs/>
        </w:rPr>
        <w:t>28</w:t>
      </w:r>
      <w:r>
        <w:t>(2), 559-562.</w:t>
      </w:r>
    </w:p>
    <w:p w14:paraId="538AFB27" w14:textId="77777777" w:rsidR="005D2986" w:rsidRDefault="00561E15" w:rsidP="00453062">
      <w:pPr>
        <w:spacing w:line="480" w:lineRule="auto"/>
        <w:ind w:left="709" w:hanging="709"/>
      </w:pPr>
      <w:r w:rsidRPr="00561E15">
        <w:t>Meier, P. S. (2011). Alcohol marketing research: the need for a new agenda.</w:t>
      </w:r>
      <w:r w:rsidR="005D2986">
        <w:t xml:space="preserve"> </w:t>
      </w:r>
      <w:r w:rsidRPr="00561E15">
        <w:rPr>
          <w:i/>
          <w:iCs/>
        </w:rPr>
        <w:t>Addiction</w:t>
      </w:r>
      <w:r w:rsidRPr="00561E15">
        <w:t>, </w:t>
      </w:r>
      <w:r w:rsidRPr="00561E15">
        <w:rPr>
          <w:i/>
          <w:iCs/>
        </w:rPr>
        <w:t>106</w:t>
      </w:r>
      <w:r w:rsidRPr="00561E15">
        <w:t>(3), 466-471.</w:t>
      </w:r>
    </w:p>
    <w:p w14:paraId="15D1F41E" w14:textId="77777777" w:rsidR="00453062" w:rsidRPr="00453062" w:rsidRDefault="00453062" w:rsidP="00453062">
      <w:pPr>
        <w:spacing w:line="480" w:lineRule="auto"/>
        <w:ind w:left="709" w:hanging="709"/>
      </w:pPr>
      <w:r w:rsidRPr="00453062">
        <w:t>Monk, R. L., &amp; Heim, D. (2013a). Environmental context effects on alcohol-related outcome expectancies, efficacy, and norms: A field study. </w:t>
      </w:r>
      <w:r w:rsidRPr="00453062">
        <w:rPr>
          <w:i/>
          <w:iCs/>
        </w:rPr>
        <w:t xml:space="preserve">Psychology of Addictive </w:t>
      </w:r>
      <w:proofErr w:type="spellStart"/>
      <w:r w:rsidRPr="00453062">
        <w:rPr>
          <w:i/>
          <w:iCs/>
        </w:rPr>
        <w:t>Behaviors</w:t>
      </w:r>
      <w:proofErr w:type="spellEnd"/>
      <w:r w:rsidRPr="00453062">
        <w:t>, </w:t>
      </w:r>
      <w:r w:rsidRPr="00453062">
        <w:rPr>
          <w:i/>
          <w:iCs/>
        </w:rPr>
        <w:t>27</w:t>
      </w:r>
      <w:r w:rsidRPr="00453062">
        <w:t>(3), 814</w:t>
      </w:r>
      <w:r>
        <w:t>-818</w:t>
      </w:r>
      <w:r w:rsidRPr="00453062">
        <w:t>.</w:t>
      </w:r>
    </w:p>
    <w:p w14:paraId="328EDA6C" w14:textId="77777777" w:rsidR="00453062" w:rsidRDefault="00453062" w:rsidP="00E23AB9">
      <w:pPr>
        <w:spacing w:line="480" w:lineRule="auto"/>
        <w:ind w:left="709" w:hanging="709"/>
      </w:pPr>
      <w:r w:rsidRPr="00453062">
        <w:t>Monk, R. L., &amp; Heim, D. (2013b). Panoramic projection: Affording a wider view on contextual influences on alcohol-related cognitions. </w:t>
      </w:r>
      <w:proofErr w:type="gramStart"/>
      <w:r w:rsidRPr="00453062">
        <w:rPr>
          <w:i/>
          <w:iCs/>
        </w:rPr>
        <w:t>Experimental and clinical psychopharmacology</w:t>
      </w:r>
      <w:r w:rsidRPr="00453062">
        <w:t>, </w:t>
      </w:r>
      <w:r w:rsidRPr="00453062">
        <w:rPr>
          <w:i/>
          <w:iCs/>
        </w:rPr>
        <w:t>21</w:t>
      </w:r>
      <w:r w:rsidRPr="00453062">
        <w:t>(1), 1</w:t>
      </w:r>
      <w:r>
        <w:t>-7</w:t>
      </w:r>
      <w:r w:rsidRPr="00453062">
        <w:t>.</w:t>
      </w:r>
      <w:proofErr w:type="gramEnd"/>
    </w:p>
    <w:p w14:paraId="2566E6EB" w14:textId="7C373D44" w:rsidR="00CC5085" w:rsidRPr="00E23AB9" w:rsidRDefault="00CC5085" w:rsidP="00E23AB9">
      <w:pPr>
        <w:spacing w:line="480" w:lineRule="auto"/>
        <w:ind w:left="709" w:hanging="709"/>
      </w:pPr>
      <w:r>
        <w:t>Monk, R. L.</w:t>
      </w:r>
      <w:proofErr w:type="gramStart"/>
      <w:r>
        <w:t>,  Heim</w:t>
      </w:r>
      <w:proofErr w:type="gramEnd"/>
      <w:r>
        <w:t xml:space="preserve">,  D. (2014). </w:t>
      </w:r>
      <w:proofErr w:type="gramStart"/>
      <w:r>
        <w:t>A real-time examination of context effects on alcohol cognitions.</w:t>
      </w:r>
      <w:proofErr w:type="gramEnd"/>
      <w:r>
        <w:t xml:space="preserve"> Alcoholism: Clinical and Experimental Research, 38, 2452-2459.</w:t>
      </w:r>
    </w:p>
    <w:p w14:paraId="2D5E2B91" w14:textId="7CC1771F" w:rsidR="005D2986" w:rsidRDefault="00561E15" w:rsidP="002A1B85">
      <w:pPr>
        <w:spacing w:line="480" w:lineRule="auto"/>
        <w:ind w:left="709" w:hanging="709"/>
      </w:pPr>
      <w:proofErr w:type="gramStart"/>
      <w:r w:rsidRPr="00561E15">
        <w:t>Moss, A. C., &amp; Albery, I. P. (2009).</w:t>
      </w:r>
      <w:proofErr w:type="gramEnd"/>
      <w:r w:rsidRPr="00561E15">
        <w:t xml:space="preserve"> </w:t>
      </w:r>
      <w:proofErr w:type="gramStart"/>
      <w:r w:rsidRPr="00561E15">
        <w:t>A dual-process model of the alcohol–</w:t>
      </w:r>
      <w:proofErr w:type="spellStart"/>
      <w:r w:rsidRPr="00561E15">
        <w:t>behavior</w:t>
      </w:r>
      <w:proofErr w:type="spellEnd"/>
      <w:r w:rsidRPr="00561E15">
        <w:t xml:space="preserve"> link for social drinking.</w:t>
      </w:r>
      <w:proofErr w:type="gramEnd"/>
      <w:r w:rsidRPr="00561E15">
        <w:t> </w:t>
      </w:r>
      <w:r w:rsidRPr="00561E15">
        <w:rPr>
          <w:i/>
          <w:iCs/>
        </w:rPr>
        <w:t>Psychological Bulletin</w:t>
      </w:r>
      <w:r w:rsidRPr="00561E15">
        <w:t>, </w:t>
      </w:r>
      <w:r w:rsidRPr="00561E15">
        <w:rPr>
          <w:i/>
          <w:iCs/>
        </w:rPr>
        <w:t>135</w:t>
      </w:r>
      <w:r w:rsidRPr="00561E15">
        <w:t>(4), 516</w:t>
      </w:r>
      <w:r w:rsidR="002B38B8">
        <w:t>-530</w:t>
      </w:r>
      <w:r w:rsidRPr="00561E15">
        <w:t>.</w:t>
      </w:r>
    </w:p>
    <w:p w14:paraId="10BA1459" w14:textId="6D1087E5" w:rsidR="005D2986" w:rsidRDefault="00561E15" w:rsidP="002A1B85">
      <w:pPr>
        <w:spacing w:line="480" w:lineRule="auto"/>
        <w:ind w:left="709" w:hanging="709"/>
      </w:pPr>
      <w:proofErr w:type="gramStart"/>
      <w:r w:rsidRPr="00561E15">
        <w:lastRenderedPageBreak/>
        <w:t>Moss, A. C., &amp; Albery, I. P. (2010).</w:t>
      </w:r>
      <w:proofErr w:type="gramEnd"/>
      <w:r w:rsidRPr="00561E15">
        <w:t xml:space="preserve"> Are alcohol expectancies associations, propositions, or elephants? </w:t>
      </w:r>
      <w:proofErr w:type="gramStart"/>
      <w:r w:rsidRPr="00561E15">
        <w:t xml:space="preserve">A reply to </w:t>
      </w:r>
      <w:proofErr w:type="spellStart"/>
      <w:r w:rsidRPr="00561E15">
        <w:t>Wiers</w:t>
      </w:r>
      <w:proofErr w:type="spellEnd"/>
      <w:r w:rsidRPr="00561E15">
        <w:t xml:space="preserve"> and Stacy (2010).</w:t>
      </w:r>
      <w:proofErr w:type="gramEnd"/>
      <w:r w:rsidR="002B38B8" w:rsidRPr="002B38B8">
        <w:rPr>
          <w:i/>
          <w:iCs/>
        </w:rPr>
        <w:t xml:space="preserve"> </w:t>
      </w:r>
      <w:r w:rsidR="002B38B8" w:rsidRPr="00561E15">
        <w:rPr>
          <w:i/>
          <w:iCs/>
        </w:rPr>
        <w:t>Psychological Bulletin</w:t>
      </w:r>
      <w:r w:rsidR="002B38B8" w:rsidRPr="00561E15">
        <w:t>, </w:t>
      </w:r>
      <w:r w:rsidR="002B38B8" w:rsidRPr="00561E15">
        <w:rPr>
          <w:i/>
          <w:iCs/>
        </w:rPr>
        <w:t>13</w:t>
      </w:r>
      <w:r w:rsidR="002B38B8">
        <w:rPr>
          <w:i/>
          <w:iCs/>
        </w:rPr>
        <w:t>6</w:t>
      </w:r>
      <w:r w:rsidR="002B38B8" w:rsidRPr="00561E15">
        <w:t>(</w:t>
      </w:r>
      <w:r w:rsidR="002B38B8">
        <w:t>1</w:t>
      </w:r>
      <w:r w:rsidR="002B38B8" w:rsidRPr="00561E15">
        <w:t xml:space="preserve">), </w:t>
      </w:r>
      <w:r w:rsidR="002B38B8">
        <w:t>17-20</w:t>
      </w:r>
      <w:r w:rsidR="002B38B8" w:rsidRPr="00561E15">
        <w:t>.</w:t>
      </w:r>
    </w:p>
    <w:p w14:paraId="4DAB566D" w14:textId="77777777" w:rsidR="00453062" w:rsidRDefault="00453062" w:rsidP="002A1B85">
      <w:pPr>
        <w:spacing w:line="480" w:lineRule="auto"/>
        <w:ind w:left="709" w:hanging="709"/>
      </w:pPr>
      <w:proofErr w:type="gramStart"/>
      <w:r w:rsidRPr="00453062">
        <w:t>Moss, A. C., Albery, I. P., &amp; Sharma, D. (2011).</w:t>
      </w:r>
      <w:proofErr w:type="gramEnd"/>
      <w:r w:rsidRPr="00453062">
        <w:t xml:space="preserve"> </w:t>
      </w:r>
      <w:proofErr w:type="gramStart"/>
      <w:r w:rsidRPr="00453062">
        <w:t>Development of a repeated measures affective change blindness task.</w:t>
      </w:r>
      <w:proofErr w:type="gramEnd"/>
      <w:r w:rsidRPr="00453062">
        <w:t> </w:t>
      </w:r>
      <w:proofErr w:type="spellStart"/>
      <w:proofErr w:type="gramStart"/>
      <w:r w:rsidRPr="00453062">
        <w:rPr>
          <w:i/>
          <w:iCs/>
        </w:rPr>
        <w:t>Behavior</w:t>
      </w:r>
      <w:proofErr w:type="spellEnd"/>
      <w:r w:rsidRPr="00453062">
        <w:rPr>
          <w:i/>
          <w:iCs/>
        </w:rPr>
        <w:t xml:space="preserve"> research methods</w:t>
      </w:r>
      <w:r w:rsidRPr="00453062">
        <w:t>, </w:t>
      </w:r>
      <w:r w:rsidRPr="00453062">
        <w:rPr>
          <w:i/>
          <w:iCs/>
        </w:rPr>
        <w:t>43</w:t>
      </w:r>
      <w:r w:rsidRPr="00453062">
        <w:t>(3), 826-833.</w:t>
      </w:r>
      <w:proofErr w:type="gramEnd"/>
    </w:p>
    <w:p w14:paraId="411F6100" w14:textId="77777777" w:rsidR="005D2986" w:rsidRDefault="00561E15" w:rsidP="00D247DD">
      <w:pPr>
        <w:spacing w:line="480" w:lineRule="auto"/>
        <w:ind w:left="709" w:hanging="709"/>
      </w:pPr>
      <w:proofErr w:type="gramStart"/>
      <w:r w:rsidRPr="00561E15">
        <w:t xml:space="preserve">Moss, A. C., Dyer, K. R., Albery, I. P., </w:t>
      </w:r>
      <w:proofErr w:type="spellStart"/>
      <w:r w:rsidRPr="00561E15">
        <w:t>Allsop</w:t>
      </w:r>
      <w:proofErr w:type="spellEnd"/>
      <w:r w:rsidRPr="00561E15">
        <w:t xml:space="preserve">, S., </w:t>
      </w:r>
      <w:proofErr w:type="spellStart"/>
      <w:r w:rsidRPr="00561E15">
        <w:t>Kypri</w:t>
      </w:r>
      <w:proofErr w:type="spellEnd"/>
      <w:r w:rsidRPr="00561E15">
        <w:t>, K., Erskine, J., &amp; Mackintosh, D. (2010).</w:t>
      </w:r>
      <w:proofErr w:type="gramEnd"/>
      <w:r w:rsidRPr="00561E15">
        <w:t xml:space="preserve"> Alcohol pharmacokinetics, decision making and folk wisdom: A reply to </w:t>
      </w:r>
      <w:proofErr w:type="spellStart"/>
      <w:r w:rsidRPr="00561E15">
        <w:t>Moxnes</w:t>
      </w:r>
      <w:proofErr w:type="spellEnd"/>
      <w:r w:rsidRPr="00561E15">
        <w:t xml:space="preserve"> and Jensen (2009). </w:t>
      </w:r>
      <w:r w:rsidRPr="00561E15">
        <w:rPr>
          <w:i/>
          <w:iCs/>
        </w:rPr>
        <w:t>Drug and alcohol dependence</w:t>
      </w:r>
      <w:proofErr w:type="gramStart"/>
      <w:r w:rsidRPr="00561E15">
        <w:t>,</w:t>
      </w:r>
      <w:r w:rsidRPr="00561E15">
        <w:rPr>
          <w:i/>
          <w:iCs/>
        </w:rPr>
        <w:t>109</w:t>
      </w:r>
      <w:proofErr w:type="gramEnd"/>
      <w:r w:rsidRPr="00561E15">
        <w:t>(1), 1-3.</w:t>
      </w:r>
    </w:p>
    <w:p w14:paraId="6BD908D3" w14:textId="77777777" w:rsidR="005D2986" w:rsidRDefault="00561E15" w:rsidP="00D247DD">
      <w:pPr>
        <w:spacing w:line="480" w:lineRule="auto"/>
        <w:ind w:left="709" w:hanging="709"/>
      </w:pPr>
      <w:proofErr w:type="gramStart"/>
      <w:r w:rsidRPr="00561E15">
        <w:t>Moss, A. C., Dyer, K. R., &amp; Albery, I. P. (2009).</w:t>
      </w:r>
      <w:proofErr w:type="gramEnd"/>
      <w:r w:rsidRPr="00561E15">
        <w:t xml:space="preserve"> Knowledge of drinking guidelines does not equal sensible drinking. </w:t>
      </w:r>
      <w:proofErr w:type="gramStart"/>
      <w:r w:rsidRPr="00561E15">
        <w:rPr>
          <w:i/>
          <w:iCs/>
        </w:rPr>
        <w:t>The Lancet</w:t>
      </w:r>
      <w:r w:rsidRPr="00561E15">
        <w:t>, </w:t>
      </w:r>
      <w:r w:rsidRPr="00561E15">
        <w:rPr>
          <w:i/>
          <w:iCs/>
        </w:rPr>
        <w:t>374</w:t>
      </w:r>
      <w:r w:rsidRPr="00561E15">
        <w:t>(9697), 1242.</w:t>
      </w:r>
      <w:proofErr w:type="gramEnd"/>
    </w:p>
    <w:p w14:paraId="00347FF7" w14:textId="77777777" w:rsidR="005D2986" w:rsidRDefault="00561E15" w:rsidP="00D247DD">
      <w:pPr>
        <w:spacing w:line="480" w:lineRule="auto"/>
        <w:ind w:left="709" w:hanging="709"/>
      </w:pPr>
      <w:proofErr w:type="gramStart"/>
      <w:r w:rsidRPr="00561E15">
        <w:t>Ringold, D. J. (2002).</w:t>
      </w:r>
      <w:proofErr w:type="gramEnd"/>
      <w:r w:rsidRPr="00561E15">
        <w:t xml:space="preserve"> Boomerang effects in response to public health interventions: some unintended consequences in the alcoholic beverage </w:t>
      </w:r>
      <w:proofErr w:type="spellStart"/>
      <w:r w:rsidRPr="00561E15">
        <w:t>market.</w:t>
      </w:r>
      <w:r w:rsidRPr="00561E15">
        <w:rPr>
          <w:i/>
          <w:iCs/>
        </w:rPr>
        <w:t>Journal</w:t>
      </w:r>
      <w:proofErr w:type="spellEnd"/>
      <w:r w:rsidRPr="00561E15">
        <w:rPr>
          <w:i/>
          <w:iCs/>
        </w:rPr>
        <w:t xml:space="preserve"> of Consumer Policy</w:t>
      </w:r>
      <w:r w:rsidRPr="00561E15">
        <w:t>, </w:t>
      </w:r>
      <w:r w:rsidRPr="00561E15">
        <w:rPr>
          <w:i/>
          <w:iCs/>
        </w:rPr>
        <w:t>25</w:t>
      </w:r>
      <w:r w:rsidRPr="00561E15">
        <w:t>(1), 27-63.</w:t>
      </w:r>
    </w:p>
    <w:p w14:paraId="791DDD33" w14:textId="28AE052E" w:rsidR="00262CCE" w:rsidRDefault="00262CCE" w:rsidP="00D247DD">
      <w:pPr>
        <w:spacing w:line="480" w:lineRule="auto"/>
        <w:ind w:left="709" w:hanging="709"/>
      </w:pPr>
      <w:proofErr w:type="spellStart"/>
      <w:r w:rsidRPr="00262CCE">
        <w:t>Roehrich</w:t>
      </w:r>
      <w:proofErr w:type="spellEnd"/>
      <w:r w:rsidRPr="00262CCE">
        <w:t xml:space="preserve">, L., &amp; Goldman, M. S. (1995). </w:t>
      </w:r>
      <w:proofErr w:type="gramStart"/>
      <w:r w:rsidRPr="00262CCE">
        <w:t xml:space="preserve">Implicit priming of alcohol expectancy memory processes and subsequent drinking </w:t>
      </w:r>
      <w:proofErr w:type="spellStart"/>
      <w:r w:rsidRPr="00262CCE">
        <w:t>behavior</w:t>
      </w:r>
      <w:proofErr w:type="spellEnd"/>
      <w:r w:rsidRPr="00262CCE">
        <w:t>.</w:t>
      </w:r>
      <w:proofErr w:type="gramEnd"/>
      <w:r w:rsidRPr="00262CCE">
        <w:t> </w:t>
      </w:r>
      <w:r w:rsidRPr="00262CCE">
        <w:rPr>
          <w:i/>
          <w:iCs/>
        </w:rPr>
        <w:t>Experimental and Clinical Psychopharmacology</w:t>
      </w:r>
      <w:r w:rsidRPr="00262CCE">
        <w:t>, </w:t>
      </w:r>
      <w:r w:rsidRPr="00262CCE">
        <w:rPr>
          <w:i/>
          <w:iCs/>
        </w:rPr>
        <w:t>3</w:t>
      </w:r>
      <w:r w:rsidRPr="00262CCE">
        <w:t>(4), 402</w:t>
      </w:r>
      <w:r w:rsidR="002B38B8">
        <w:t>-410</w:t>
      </w:r>
      <w:r w:rsidRPr="00262CCE">
        <w:t>.</w:t>
      </w:r>
    </w:p>
    <w:p w14:paraId="09BBEFC2" w14:textId="77777777" w:rsidR="00583499" w:rsidRPr="00583499" w:rsidRDefault="00583499" w:rsidP="00583499">
      <w:pPr>
        <w:spacing w:line="480" w:lineRule="auto"/>
        <w:ind w:left="709" w:hanging="709"/>
      </w:pPr>
      <w:proofErr w:type="spellStart"/>
      <w:proofErr w:type="gramStart"/>
      <w:r w:rsidRPr="00583499">
        <w:t>Ruiter</w:t>
      </w:r>
      <w:proofErr w:type="spellEnd"/>
      <w:r w:rsidRPr="00583499">
        <w:t xml:space="preserve">, R. A. C., Abraham, C., &amp; </w:t>
      </w:r>
      <w:proofErr w:type="spellStart"/>
      <w:r w:rsidRPr="00583499">
        <w:t>Kok</w:t>
      </w:r>
      <w:proofErr w:type="spellEnd"/>
      <w:r w:rsidRPr="00583499">
        <w:t>, G. (2001).</w:t>
      </w:r>
      <w:proofErr w:type="gramEnd"/>
      <w:r w:rsidRPr="00583499">
        <w:t xml:space="preserve"> Scary warnings and</w:t>
      </w:r>
      <w:r>
        <w:t xml:space="preserve"> </w:t>
      </w:r>
      <w:r w:rsidRPr="00583499">
        <w:t>rational precautions: A review of the psychology of fear appeals.</w:t>
      </w:r>
      <w:r>
        <w:t xml:space="preserve"> </w:t>
      </w:r>
      <w:r w:rsidRPr="00583499">
        <w:rPr>
          <w:i/>
          <w:iCs/>
        </w:rPr>
        <w:t>Psychology and Health</w:t>
      </w:r>
      <w:r w:rsidRPr="00583499">
        <w:t xml:space="preserve">, </w:t>
      </w:r>
      <w:r w:rsidRPr="00583499">
        <w:rPr>
          <w:i/>
          <w:iCs/>
        </w:rPr>
        <w:t>16</w:t>
      </w:r>
      <w:r w:rsidRPr="00583499">
        <w:t>, 613-630.</w:t>
      </w:r>
    </w:p>
    <w:p w14:paraId="09E99B81" w14:textId="77777777" w:rsidR="005D2986" w:rsidRDefault="00B35A7E" w:rsidP="00A63682">
      <w:pPr>
        <w:spacing w:line="480" w:lineRule="auto"/>
        <w:ind w:left="709" w:hanging="709"/>
      </w:pPr>
      <w:proofErr w:type="gramStart"/>
      <w:r w:rsidRPr="00B35A7E">
        <w:t xml:space="preserve">Saunders, J. B., </w:t>
      </w:r>
      <w:proofErr w:type="spellStart"/>
      <w:r w:rsidRPr="00B35A7E">
        <w:t>Aasland</w:t>
      </w:r>
      <w:proofErr w:type="spellEnd"/>
      <w:r w:rsidRPr="00B35A7E">
        <w:t xml:space="preserve">, O. G., </w:t>
      </w:r>
      <w:proofErr w:type="spellStart"/>
      <w:r w:rsidRPr="00B35A7E">
        <w:t>Babor</w:t>
      </w:r>
      <w:proofErr w:type="spellEnd"/>
      <w:r w:rsidRPr="00B35A7E">
        <w:t>, T. F., &amp; Grant, M. (1993).</w:t>
      </w:r>
      <w:proofErr w:type="gramEnd"/>
      <w:r w:rsidRPr="00B35A7E">
        <w:t xml:space="preserve"> Development of the alcohol use disorders identification test (AUDIT): WHO collaborative project on early detection of persons with harmful alcohol consumption</w:t>
      </w:r>
      <w:r w:rsidRPr="00B35A7E">
        <w:rPr>
          <w:rFonts w:ascii="Cambria Math" w:hAnsi="Cambria Math" w:cs="Cambria Math"/>
        </w:rPr>
        <w:t>‐</w:t>
      </w:r>
      <w:proofErr w:type="spellStart"/>
      <w:r w:rsidRPr="00B35A7E">
        <w:t>II.</w:t>
      </w:r>
      <w:r w:rsidRPr="00B35A7E">
        <w:rPr>
          <w:i/>
          <w:iCs/>
        </w:rPr>
        <w:t>Addiction</w:t>
      </w:r>
      <w:proofErr w:type="spellEnd"/>
      <w:r w:rsidRPr="00B35A7E">
        <w:t>, </w:t>
      </w:r>
      <w:r w:rsidRPr="00B35A7E">
        <w:rPr>
          <w:i/>
          <w:iCs/>
        </w:rPr>
        <w:t>88</w:t>
      </w:r>
      <w:r w:rsidRPr="00B35A7E">
        <w:t>(6), 791-804.</w:t>
      </w:r>
    </w:p>
    <w:p w14:paraId="61FF55EA" w14:textId="02A8629C" w:rsidR="005D2986" w:rsidRDefault="00B35A7E" w:rsidP="00A63682">
      <w:pPr>
        <w:spacing w:line="480" w:lineRule="auto"/>
        <w:ind w:left="709" w:hanging="709"/>
      </w:pPr>
      <w:proofErr w:type="gramStart"/>
      <w:r w:rsidRPr="00B35A7E">
        <w:t>Schilling, R. F., &amp; McAlister, A. L. (1990).</w:t>
      </w:r>
      <w:proofErr w:type="gramEnd"/>
      <w:r w:rsidRPr="00B35A7E">
        <w:t xml:space="preserve"> </w:t>
      </w:r>
      <w:proofErr w:type="gramStart"/>
      <w:r w:rsidRPr="00B35A7E">
        <w:t>Preventing drug use in adolescents through media interventions.</w:t>
      </w:r>
      <w:proofErr w:type="gramEnd"/>
      <w:r w:rsidRPr="00B35A7E">
        <w:t> </w:t>
      </w:r>
      <w:r w:rsidRPr="00B35A7E">
        <w:rPr>
          <w:i/>
          <w:iCs/>
        </w:rPr>
        <w:t>Journal of Consulting and Clinical Psychology</w:t>
      </w:r>
      <w:proofErr w:type="gramStart"/>
      <w:r w:rsidRPr="00B35A7E">
        <w:t>,</w:t>
      </w:r>
      <w:r w:rsidRPr="00B35A7E">
        <w:rPr>
          <w:i/>
          <w:iCs/>
        </w:rPr>
        <w:t>58</w:t>
      </w:r>
      <w:proofErr w:type="gramEnd"/>
      <w:r w:rsidRPr="00B35A7E">
        <w:t>(4), 416</w:t>
      </w:r>
      <w:r w:rsidR="002B38B8">
        <w:t>-424</w:t>
      </w:r>
      <w:r w:rsidRPr="00B35A7E">
        <w:t>.</w:t>
      </w:r>
    </w:p>
    <w:p w14:paraId="1B8FD8BD" w14:textId="77777777" w:rsidR="00386494" w:rsidRDefault="00386494" w:rsidP="00A63682">
      <w:pPr>
        <w:spacing w:line="480" w:lineRule="auto"/>
        <w:ind w:left="709" w:hanging="709"/>
      </w:pPr>
      <w:proofErr w:type="spellStart"/>
      <w:proofErr w:type="gramStart"/>
      <w:r w:rsidRPr="00386494">
        <w:t>Schoenmakers</w:t>
      </w:r>
      <w:proofErr w:type="spellEnd"/>
      <w:r w:rsidRPr="00386494">
        <w:t xml:space="preserve">, T., </w:t>
      </w:r>
      <w:proofErr w:type="spellStart"/>
      <w:r w:rsidRPr="00386494">
        <w:t>Wiers</w:t>
      </w:r>
      <w:proofErr w:type="spellEnd"/>
      <w:r w:rsidRPr="00386494">
        <w:t>, R. W., Jones, B. T., Bruce, G., &amp; Jansen, A. (2007).</w:t>
      </w:r>
      <w:proofErr w:type="gramEnd"/>
      <w:r w:rsidRPr="00386494">
        <w:t xml:space="preserve"> Attentional re</w:t>
      </w:r>
      <w:r w:rsidRPr="00386494">
        <w:rPr>
          <w:rFonts w:ascii="Cambria Math" w:hAnsi="Cambria Math" w:cs="Cambria Math"/>
        </w:rPr>
        <w:t>‐</w:t>
      </w:r>
      <w:r w:rsidRPr="00386494">
        <w:t>training decreases attentional bias in heavy drinkers without generalization. </w:t>
      </w:r>
      <w:r w:rsidRPr="00386494">
        <w:rPr>
          <w:i/>
          <w:iCs/>
        </w:rPr>
        <w:t>Addiction</w:t>
      </w:r>
      <w:r w:rsidRPr="00386494">
        <w:t>, </w:t>
      </w:r>
      <w:r w:rsidRPr="00386494">
        <w:rPr>
          <w:i/>
          <w:iCs/>
        </w:rPr>
        <w:t>102</w:t>
      </w:r>
      <w:r w:rsidRPr="00386494">
        <w:t>(3), 399-405.</w:t>
      </w:r>
    </w:p>
    <w:p w14:paraId="787A7F42" w14:textId="77777777" w:rsidR="00453062" w:rsidRDefault="00453062" w:rsidP="00A63682">
      <w:pPr>
        <w:spacing w:line="480" w:lineRule="auto"/>
        <w:ind w:left="709" w:hanging="709"/>
      </w:pPr>
      <w:proofErr w:type="spellStart"/>
      <w:proofErr w:type="gramStart"/>
      <w:r w:rsidRPr="00453062">
        <w:lastRenderedPageBreak/>
        <w:t>Schoenmakers</w:t>
      </w:r>
      <w:proofErr w:type="spellEnd"/>
      <w:r w:rsidRPr="00453062">
        <w:t xml:space="preserve">, T. M., &amp; </w:t>
      </w:r>
      <w:proofErr w:type="spellStart"/>
      <w:r w:rsidRPr="00453062">
        <w:t>Wiers</w:t>
      </w:r>
      <w:proofErr w:type="spellEnd"/>
      <w:r w:rsidRPr="00453062">
        <w:t>, R. W. (2009).</w:t>
      </w:r>
      <w:proofErr w:type="gramEnd"/>
      <w:r w:rsidRPr="00453062">
        <w:t xml:space="preserve"> Craving and attentional bias respond differently to alcohol priming: a field study in the pub. </w:t>
      </w:r>
      <w:r>
        <w:rPr>
          <w:i/>
          <w:iCs/>
        </w:rPr>
        <w:t>European Addiction R</w:t>
      </w:r>
      <w:r w:rsidRPr="00453062">
        <w:rPr>
          <w:i/>
          <w:iCs/>
        </w:rPr>
        <w:t>esearch</w:t>
      </w:r>
      <w:r w:rsidRPr="00453062">
        <w:t>, </w:t>
      </w:r>
      <w:r w:rsidRPr="00453062">
        <w:rPr>
          <w:i/>
          <w:iCs/>
        </w:rPr>
        <w:t>16</w:t>
      </w:r>
      <w:r w:rsidRPr="00453062">
        <w:t>(1), 9-16.</w:t>
      </w:r>
    </w:p>
    <w:p w14:paraId="0E70F473" w14:textId="77777777" w:rsidR="005D2986" w:rsidRDefault="00B35A7E" w:rsidP="00081FC6">
      <w:pPr>
        <w:spacing w:line="480" w:lineRule="auto"/>
        <w:ind w:left="709" w:hanging="709"/>
      </w:pPr>
      <w:proofErr w:type="gramStart"/>
      <w:r w:rsidRPr="00B35A7E">
        <w:t>Snyder, L. B., &amp; Blood, D. J. (1992).</w:t>
      </w:r>
      <w:proofErr w:type="gramEnd"/>
      <w:r w:rsidRPr="00B35A7E">
        <w:t xml:space="preserve"> Caution: Alcohol advertising and the Surgeon General's alcohol warnings may have adverse effects on young adults.</w:t>
      </w:r>
      <w:r w:rsidR="005D2986">
        <w:t xml:space="preserve"> </w:t>
      </w:r>
      <w:r w:rsidRPr="00B35A7E">
        <w:rPr>
          <w:i/>
          <w:iCs/>
        </w:rPr>
        <w:t>Journal of Applied Communication Research</w:t>
      </w:r>
      <w:r w:rsidRPr="00B35A7E">
        <w:t>, </w:t>
      </w:r>
      <w:r w:rsidRPr="00B35A7E">
        <w:rPr>
          <w:i/>
          <w:iCs/>
        </w:rPr>
        <w:t>20</w:t>
      </w:r>
      <w:r w:rsidR="005D2986">
        <w:t>(1), 37-53</w:t>
      </w:r>
    </w:p>
    <w:p w14:paraId="1E5EA1CB" w14:textId="77777777" w:rsidR="00FB58A9" w:rsidRPr="00BC364A" w:rsidRDefault="00FB58A9" w:rsidP="00081FC6">
      <w:pPr>
        <w:spacing w:line="480" w:lineRule="auto"/>
        <w:ind w:left="709" w:hanging="709"/>
        <w:rPr>
          <w:i/>
        </w:rPr>
      </w:pPr>
      <w:proofErr w:type="spellStart"/>
      <w:proofErr w:type="gramStart"/>
      <w:r w:rsidRPr="00AD16C8">
        <w:t>Taubman</w:t>
      </w:r>
      <w:proofErr w:type="spellEnd"/>
      <w:r w:rsidRPr="00AD16C8">
        <w:t xml:space="preserve"> Ben-Ari, O., Florian, V., &amp; </w:t>
      </w:r>
      <w:proofErr w:type="spellStart"/>
      <w:r w:rsidRPr="00AD16C8">
        <w:t>Mikulincer</w:t>
      </w:r>
      <w:proofErr w:type="spellEnd"/>
      <w:r w:rsidRPr="00AD16C8">
        <w:t>, M. (2000).</w:t>
      </w:r>
      <w:proofErr w:type="gramEnd"/>
      <w:r w:rsidRPr="00AD16C8">
        <w:t xml:space="preserve"> Does a threat appeal moderate reckless driving? </w:t>
      </w:r>
      <w:proofErr w:type="gramStart"/>
      <w:r w:rsidRPr="00AD16C8">
        <w:t>A terror management theory perspective.</w:t>
      </w:r>
      <w:proofErr w:type="gramEnd"/>
      <w:r w:rsidRPr="00FB58A9">
        <w:rPr>
          <w:i/>
        </w:rPr>
        <w:t> </w:t>
      </w:r>
      <w:r w:rsidRPr="00FB58A9">
        <w:rPr>
          <w:i/>
          <w:iCs/>
        </w:rPr>
        <w:t>Accident Analysis &amp; Prevention</w:t>
      </w:r>
      <w:r w:rsidRPr="00FB58A9">
        <w:rPr>
          <w:i/>
        </w:rPr>
        <w:t>, </w:t>
      </w:r>
      <w:r w:rsidRPr="00FB58A9">
        <w:rPr>
          <w:i/>
          <w:iCs/>
        </w:rPr>
        <w:t>32</w:t>
      </w:r>
      <w:r w:rsidRPr="00FB58A9">
        <w:rPr>
          <w:i/>
        </w:rPr>
        <w:t xml:space="preserve">(1), </w:t>
      </w:r>
      <w:r w:rsidRPr="00AD16C8">
        <w:t>1-10</w:t>
      </w:r>
      <w:r w:rsidRPr="00FB58A9">
        <w:rPr>
          <w:i/>
        </w:rPr>
        <w:t>.</w:t>
      </w:r>
    </w:p>
    <w:p w14:paraId="2F719D32" w14:textId="77777777" w:rsidR="005D2986" w:rsidRDefault="00B35A7E" w:rsidP="00A63682">
      <w:pPr>
        <w:spacing w:line="480" w:lineRule="auto"/>
        <w:ind w:left="709" w:hanging="709"/>
      </w:pPr>
      <w:proofErr w:type="gramStart"/>
      <w:r w:rsidRPr="00B35A7E">
        <w:t xml:space="preserve">Wakefield, M. A., </w:t>
      </w:r>
      <w:proofErr w:type="spellStart"/>
      <w:r w:rsidRPr="00B35A7E">
        <w:t>Loken</w:t>
      </w:r>
      <w:proofErr w:type="spellEnd"/>
      <w:r w:rsidRPr="00B35A7E">
        <w:t xml:space="preserve">, B., &amp; </w:t>
      </w:r>
      <w:proofErr w:type="spellStart"/>
      <w:r w:rsidRPr="00B35A7E">
        <w:t>Hornik</w:t>
      </w:r>
      <w:proofErr w:type="spellEnd"/>
      <w:r w:rsidRPr="00B35A7E">
        <w:t>, R. C. (2010).</w:t>
      </w:r>
      <w:proofErr w:type="gramEnd"/>
      <w:r w:rsidRPr="00B35A7E">
        <w:t xml:space="preserve"> </w:t>
      </w:r>
      <w:proofErr w:type="gramStart"/>
      <w:r w:rsidRPr="00B35A7E">
        <w:t>Use of mass media campaigns to change health behaviour.</w:t>
      </w:r>
      <w:proofErr w:type="gramEnd"/>
      <w:r w:rsidRPr="00B35A7E">
        <w:t> </w:t>
      </w:r>
      <w:r w:rsidRPr="00B35A7E">
        <w:rPr>
          <w:i/>
          <w:iCs/>
        </w:rPr>
        <w:t>The Lancet</w:t>
      </w:r>
      <w:r w:rsidRPr="00B35A7E">
        <w:t>, </w:t>
      </w:r>
      <w:r w:rsidRPr="00B35A7E">
        <w:rPr>
          <w:i/>
          <w:iCs/>
        </w:rPr>
        <w:t>376</w:t>
      </w:r>
      <w:r w:rsidRPr="00B35A7E">
        <w:t>(9748), 1261-1271.</w:t>
      </w:r>
    </w:p>
    <w:p w14:paraId="34A866B3" w14:textId="03683722" w:rsidR="00453062" w:rsidRDefault="00453062" w:rsidP="00A63682">
      <w:pPr>
        <w:spacing w:line="480" w:lineRule="auto"/>
        <w:ind w:left="709" w:hanging="709"/>
      </w:pPr>
      <w:proofErr w:type="gramStart"/>
      <w:r w:rsidRPr="00453062">
        <w:t>Wall, A. M., McKee, S. A., &amp; Hinson, R. E. (2000).</w:t>
      </w:r>
      <w:proofErr w:type="gramEnd"/>
      <w:r w:rsidRPr="00453062">
        <w:t xml:space="preserve"> </w:t>
      </w:r>
      <w:proofErr w:type="gramStart"/>
      <w:r w:rsidRPr="00453062">
        <w:t>Assessing variation in alcohol outcome expectancies across environmental context: An examination of the situational-specificity hypothesis.</w:t>
      </w:r>
      <w:proofErr w:type="gramEnd"/>
      <w:r w:rsidRPr="00453062">
        <w:t> </w:t>
      </w:r>
      <w:r w:rsidRPr="00453062">
        <w:rPr>
          <w:i/>
          <w:iCs/>
        </w:rPr>
        <w:t xml:space="preserve">Psychology of Addictive </w:t>
      </w:r>
      <w:proofErr w:type="spellStart"/>
      <w:r w:rsidRPr="00453062">
        <w:rPr>
          <w:i/>
          <w:iCs/>
        </w:rPr>
        <w:t>Behaviors</w:t>
      </w:r>
      <w:proofErr w:type="spellEnd"/>
      <w:r w:rsidRPr="00453062">
        <w:t>, </w:t>
      </w:r>
      <w:r w:rsidRPr="00453062">
        <w:rPr>
          <w:i/>
          <w:iCs/>
        </w:rPr>
        <w:t>14</w:t>
      </w:r>
      <w:r w:rsidRPr="00453062">
        <w:t>(4), 367</w:t>
      </w:r>
      <w:r w:rsidR="002B38B8">
        <w:t>-375</w:t>
      </w:r>
      <w:r w:rsidRPr="00453062">
        <w:t>.</w:t>
      </w:r>
    </w:p>
    <w:p w14:paraId="3B78AB35" w14:textId="172936A4" w:rsidR="00217B41" w:rsidRDefault="00B35A7E" w:rsidP="002A1B85">
      <w:pPr>
        <w:spacing w:line="480" w:lineRule="auto"/>
        <w:ind w:left="709" w:hanging="709"/>
      </w:pPr>
      <w:proofErr w:type="gramStart"/>
      <w:r w:rsidRPr="00B35A7E">
        <w:t>Wall, A. M., Hinson, R. E., McKee, S. A., &amp; Goldstein, A. (2001).</w:t>
      </w:r>
      <w:proofErr w:type="gramEnd"/>
      <w:r w:rsidRPr="00B35A7E">
        <w:t xml:space="preserve"> </w:t>
      </w:r>
      <w:proofErr w:type="gramStart"/>
      <w:r w:rsidRPr="00B35A7E">
        <w:t>Examining alcohol outcome expectancies in laboratory and naturalistic bar settings: A within-subject experimental analysis.</w:t>
      </w:r>
      <w:proofErr w:type="gramEnd"/>
      <w:r w:rsidRPr="00B35A7E">
        <w:t> </w:t>
      </w:r>
      <w:r w:rsidRPr="00B35A7E">
        <w:rPr>
          <w:i/>
          <w:iCs/>
        </w:rPr>
        <w:t xml:space="preserve">Psychology of Addictive </w:t>
      </w:r>
      <w:proofErr w:type="spellStart"/>
      <w:r w:rsidRPr="00B35A7E">
        <w:rPr>
          <w:i/>
          <w:iCs/>
        </w:rPr>
        <w:t>Behaviors</w:t>
      </w:r>
      <w:proofErr w:type="spellEnd"/>
      <w:r w:rsidRPr="00B35A7E">
        <w:t>, </w:t>
      </w:r>
      <w:r w:rsidRPr="00B35A7E">
        <w:rPr>
          <w:i/>
          <w:iCs/>
        </w:rPr>
        <w:t>15</w:t>
      </w:r>
      <w:r w:rsidR="005D2986">
        <w:t>(3), 219</w:t>
      </w:r>
      <w:r w:rsidR="002B38B8">
        <w:t>-226</w:t>
      </w:r>
      <w:r w:rsidR="005D2986">
        <w:t>.</w:t>
      </w:r>
    </w:p>
    <w:p w14:paraId="1F4CE35A" w14:textId="77777777" w:rsidR="005D2986" w:rsidRDefault="005D2986" w:rsidP="002A1B85">
      <w:pPr>
        <w:spacing w:line="480" w:lineRule="auto"/>
        <w:ind w:left="709" w:hanging="709"/>
      </w:pPr>
      <w:proofErr w:type="spellStart"/>
      <w:proofErr w:type="gramStart"/>
      <w:r>
        <w:t>Wigmore</w:t>
      </w:r>
      <w:proofErr w:type="spellEnd"/>
      <w:r>
        <w:t>, S.</w:t>
      </w:r>
      <w:r w:rsidR="00B35A7E" w:rsidRPr="00B35A7E">
        <w:t>W., &amp; Hinson, R. E. (1991).</w:t>
      </w:r>
      <w:proofErr w:type="gramEnd"/>
      <w:r w:rsidR="00B35A7E" w:rsidRPr="00B35A7E">
        <w:t xml:space="preserve"> </w:t>
      </w:r>
      <w:proofErr w:type="gramStart"/>
      <w:r w:rsidR="00B35A7E" w:rsidRPr="00B35A7E">
        <w:t>The influence of setting on consumption in the balanced placebo design.</w:t>
      </w:r>
      <w:proofErr w:type="gramEnd"/>
      <w:r w:rsidR="00B35A7E" w:rsidRPr="00B35A7E">
        <w:t> </w:t>
      </w:r>
      <w:r w:rsidR="00B35A7E" w:rsidRPr="00B35A7E">
        <w:rPr>
          <w:i/>
          <w:iCs/>
        </w:rPr>
        <w:t>British journal of addiction</w:t>
      </w:r>
      <w:r w:rsidR="00B35A7E" w:rsidRPr="00B35A7E">
        <w:t>, </w:t>
      </w:r>
      <w:r w:rsidR="00B35A7E" w:rsidRPr="00B35A7E">
        <w:rPr>
          <w:i/>
          <w:iCs/>
        </w:rPr>
        <w:t>86</w:t>
      </w:r>
      <w:r>
        <w:t>(2), 205-215</w:t>
      </w:r>
    </w:p>
    <w:p w14:paraId="63BAB807" w14:textId="77777777" w:rsidR="005D2986" w:rsidRDefault="00B35A7E" w:rsidP="002A1B85">
      <w:pPr>
        <w:spacing w:line="480" w:lineRule="auto"/>
        <w:ind w:left="709" w:hanging="709"/>
      </w:pPr>
      <w:r w:rsidRPr="00B35A7E">
        <w:t>Wilde, G. J. (1993). Effects of mass media communications on health and safety habits: an overview of issues and evidence. </w:t>
      </w:r>
      <w:r w:rsidRPr="00B35A7E">
        <w:rPr>
          <w:i/>
          <w:iCs/>
        </w:rPr>
        <w:t>Addiction</w:t>
      </w:r>
      <w:r w:rsidRPr="00B35A7E">
        <w:t>, </w:t>
      </w:r>
      <w:r w:rsidRPr="00B35A7E">
        <w:rPr>
          <w:i/>
          <w:iCs/>
        </w:rPr>
        <w:t>88</w:t>
      </w:r>
      <w:r w:rsidR="005D2986">
        <w:t>(7), 983-996</w:t>
      </w:r>
    </w:p>
    <w:p w14:paraId="0D32D790" w14:textId="77777777" w:rsidR="007E7B65" w:rsidRDefault="00B35A7E" w:rsidP="002A1B85">
      <w:pPr>
        <w:spacing w:line="480" w:lineRule="auto"/>
        <w:ind w:left="709" w:hanging="709"/>
      </w:pPr>
      <w:proofErr w:type="gramStart"/>
      <w:r w:rsidRPr="00B35A7E">
        <w:t>York, V. K., Brannon, L. A., &amp; Miller, M. M. (2012).</w:t>
      </w:r>
      <w:proofErr w:type="gramEnd"/>
      <w:r w:rsidRPr="00B35A7E">
        <w:t xml:space="preserve"> </w:t>
      </w:r>
      <w:proofErr w:type="gramStart"/>
      <w:r w:rsidRPr="00B35A7E">
        <w:t>Increasing the Effectiveness of Messages Promoting Responsible Undergraduate Drinking: Tailoring to Personality and Matching to Context.</w:t>
      </w:r>
      <w:proofErr w:type="gramEnd"/>
      <w:r w:rsidRPr="00B35A7E">
        <w:t> </w:t>
      </w:r>
      <w:proofErr w:type="gramStart"/>
      <w:r w:rsidRPr="00B35A7E">
        <w:rPr>
          <w:i/>
          <w:iCs/>
        </w:rPr>
        <w:t>Health communication</w:t>
      </w:r>
      <w:r w:rsidRPr="00B35A7E">
        <w:t>, </w:t>
      </w:r>
      <w:r w:rsidRPr="00B35A7E">
        <w:rPr>
          <w:i/>
          <w:iCs/>
        </w:rPr>
        <w:t>27</w:t>
      </w:r>
      <w:r w:rsidRPr="00B35A7E">
        <w:t>(3), 302-309.</w:t>
      </w:r>
      <w:proofErr w:type="gramEnd"/>
    </w:p>
    <w:p w14:paraId="72845BD1" w14:textId="77777777" w:rsidR="009C2EC2" w:rsidRDefault="009C2EC2" w:rsidP="002A1B85">
      <w:pPr>
        <w:spacing w:line="480" w:lineRule="auto"/>
        <w:ind w:left="709" w:hanging="709"/>
        <w:sectPr w:rsidR="009C2EC2" w:rsidSect="00087471">
          <w:pgSz w:w="11907" w:h="16839" w:code="9"/>
          <w:pgMar w:top="1440" w:right="1440" w:bottom="1440" w:left="1440" w:header="709" w:footer="709" w:gutter="0"/>
          <w:cols w:space="708"/>
          <w:docGrid w:linePitch="360"/>
        </w:sectPr>
      </w:pPr>
    </w:p>
    <w:p w14:paraId="5AC35D15" w14:textId="77777777" w:rsidR="007E7B65" w:rsidRPr="009C2EC2" w:rsidRDefault="009C2EC2" w:rsidP="002A1B85">
      <w:pPr>
        <w:spacing w:line="480" w:lineRule="auto"/>
        <w:ind w:left="709" w:hanging="709"/>
        <w:rPr>
          <w:b/>
        </w:rPr>
      </w:pPr>
      <w:r w:rsidRPr="009C2EC2">
        <w:rPr>
          <w:b/>
        </w:rPr>
        <w:lastRenderedPageBreak/>
        <w:t>Conflicts of Interest</w:t>
      </w:r>
      <w:r>
        <w:rPr>
          <w:b/>
        </w:rPr>
        <w:t xml:space="preserve"> Statement</w:t>
      </w:r>
    </w:p>
    <w:p w14:paraId="13D6C7B9" w14:textId="77777777" w:rsidR="009C2EC2" w:rsidRDefault="009C2EC2" w:rsidP="009C2EC2">
      <w:pPr>
        <w:spacing w:line="480" w:lineRule="auto"/>
      </w:pPr>
      <w:r>
        <w:t xml:space="preserve">The authors of this manuscript have no conflicts of interest to declare. No funding was received for the conduct of this research, and </w:t>
      </w:r>
      <w:r w:rsidR="005D2986">
        <w:t xml:space="preserve">neither </w:t>
      </w:r>
      <w:r>
        <w:t xml:space="preserve">The Drinkaware </w:t>
      </w:r>
      <w:proofErr w:type="gramStart"/>
      <w:r>
        <w:t>Trust</w:t>
      </w:r>
      <w:proofErr w:type="gramEnd"/>
      <w:r>
        <w:t xml:space="preserve"> </w:t>
      </w:r>
      <w:r w:rsidR="005D2986">
        <w:t>nor the Nationa</w:t>
      </w:r>
      <w:r w:rsidR="00CF4E3D">
        <w:t>l</w:t>
      </w:r>
      <w:r w:rsidR="005D2986">
        <w:t xml:space="preserve"> Health Service </w:t>
      </w:r>
      <w:r>
        <w:t xml:space="preserve">had </w:t>
      </w:r>
      <w:r w:rsidR="005D2986">
        <w:t>any</w:t>
      </w:r>
      <w:r>
        <w:t xml:space="preserve"> involvement in the development, conduct or reporting of the findings of this research.</w:t>
      </w:r>
    </w:p>
    <w:p w14:paraId="31B8B68F" w14:textId="77777777" w:rsidR="009C2EC2" w:rsidRDefault="009C2EC2" w:rsidP="002A1B85">
      <w:pPr>
        <w:spacing w:line="480" w:lineRule="auto"/>
        <w:ind w:left="709" w:hanging="709"/>
      </w:pPr>
    </w:p>
    <w:p w14:paraId="16406830" w14:textId="77777777" w:rsidR="00557651" w:rsidRDefault="00557651" w:rsidP="00557651"/>
    <w:p w14:paraId="3FE9C3EB" w14:textId="77777777" w:rsidR="00D20D68" w:rsidRDefault="00D20D68" w:rsidP="00A23D6A">
      <w:pPr>
        <w:spacing w:line="480" w:lineRule="auto"/>
        <w:sectPr w:rsidR="00D20D68" w:rsidSect="00087471">
          <w:pgSz w:w="11907" w:h="16839" w:code="9"/>
          <w:pgMar w:top="1440" w:right="1440" w:bottom="1440" w:left="1440" w:header="709" w:footer="709" w:gutter="0"/>
          <w:cols w:space="708"/>
          <w:docGrid w:linePitch="360"/>
        </w:sectPr>
      </w:pPr>
    </w:p>
    <w:p w14:paraId="060DD6FB" w14:textId="77777777" w:rsidR="00607A1F" w:rsidRDefault="00607A1F" w:rsidP="00A23D6A">
      <w:pPr>
        <w:spacing w:line="480" w:lineRule="auto"/>
      </w:pPr>
      <w:r>
        <w:lastRenderedPageBreak/>
        <w:t xml:space="preserve">Table </w:t>
      </w:r>
      <w:r w:rsidR="005D2986">
        <w:t>1</w:t>
      </w:r>
    </w:p>
    <w:p w14:paraId="5BFD0F08" w14:textId="77777777" w:rsidR="00357970" w:rsidRPr="00607A1F" w:rsidRDefault="00357970" w:rsidP="00A23D6A">
      <w:pPr>
        <w:spacing w:line="480" w:lineRule="auto"/>
        <w:rPr>
          <w:i/>
        </w:rPr>
      </w:pPr>
      <w:r w:rsidRPr="00607A1F">
        <w:rPr>
          <w:i/>
        </w:rPr>
        <w:t xml:space="preserve">Mean consumption in millilitres </w:t>
      </w:r>
      <w:r w:rsidR="0047128C">
        <w:rPr>
          <w:i/>
        </w:rPr>
        <w:t xml:space="preserve">(standard deviations in parentheses) </w:t>
      </w:r>
      <w:r w:rsidRPr="00607A1F">
        <w:rPr>
          <w:i/>
        </w:rPr>
        <w:t>by poster type and elabora</w:t>
      </w:r>
      <w:r w:rsidR="00607A1F">
        <w:rPr>
          <w:i/>
        </w:rPr>
        <w:t>tion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1"/>
        <w:gridCol w:w="2311"/>
        <w:gridCol w:w="2311"/>
      </w:tblGrid>
      <w:tr w:rsidR="00357970" w14:paraId="2743F1FF" w14:textId="77777777" w:rsidTr="00607A1F">
        <w:trPr>
          <w:trHeight w:val="343"/>
        </w:trPr>
        <w:tc>
          <w:tcPr>
            <w:tcW w:w="2310" w:type="dxa"/>
            <w:tcBorders>
              <w:top w:val="single" w:sz="4" w:space="0" w:color="auto"/>
              <w:bottom w:val="single" w:sz="4" w:space="0" w:color="auto"/>
            </w:tcBorders>
            <w:vAlign w:val="center"/>
          </w:tcPr>
          <w:p w14:paraId="16369A6C" w14:textId="77777777" w:rsidR="00357970" w:rsidRDefault="00357970" w:rsidP="00607A1F"/>
        </w:tc>
        <w:tc>
          <w:tcPr>
            <w:tcW w:w="2311" w:type="dxa"/>
            <w:tcBorders>
              <w:top w:val="single" w:sz="4" w:space="0" w:color="auto"/>
              <w:bottom w:val="single" w:sz="4" w:space="0" w:color="auto"/>
            </w:tcBorders>
            <w:vAlign w:val="center"/>
          </w:tcPr>
          <w:p w14:paraId="47CEE605" w14:textId="77777777" w:rsidR="00357970" w:rsidRDefault="00BE02F9" w:rsidP="00607A1F">
            <w:r>
              <w:t>Responsible Drinking Poster</w:t>
            </w:r>
          </w:p>
        </w:tc>
        <w:tc>
          <w:tcPr>
            <w:tcW w:w="2311" w:type="dxa"/>
            <w:tcBorders>
              <w:top w:val="single" w:sz="4" w:space="0" w:color="auto"/>
              <w:bottom w:val="single" w:sz="4" w:space="0" w:color="auto"/>
            </w:tcBorders>
            <w:vAlign w:val="center"/>
          </w:tcPr>
          <w:p w14:paraId="675B1DEA" w14:textId="77777777" w:rsidR="00357970" w:rsidRDefault="00BE02F9" w:rsidP="00607A1F">
            <w:r>
              <w:t>Control Poster</w:t>
            </w:r>
          </w:p>
        </w:tc>
        <w:tc>
          <w:tcPr>
            <w:tcW w:w="2311" w:type="dxa"/>
            <w:tcBorders>
              <w:top w:val="single" w:sz="4" w:space="0" w:color="auto"/>
              <w:bottom w:val="single" w:sz="4" w:space="0" w:color="auto"/>
            </w:tcBorders>
            <w:vAlign w:val="center"/>
          </w:tcPr>
          <w:p w14:paraId="2D977A84" w14:textId="77777777" w:rsidR="00357970" w:rsidRDefault="00357970" w:rsidP="00607A1F">
            <w:r>
              <w:t>Total</w:t>
            </w:r>
          </w:p>
        </w:tc>
      </w:tr>
      <w:tr w:rsidR="00357970" w14:paraId="1D5C1391" w14:textId="77777777" w:rsidTr="00607A1F">
        <w:trPr>
          <w:trHeight w:val="343"/>
        </w:trPr>
        <w:tc>
          <w:tcPr>
            <w:tcW w:w="2310" w:type="dxa"/>
            <w:tcBorders>
              <w:top w:val="single" w:sz="4" w:space="0" w:color="auto"/>
            </w:tcBorders>
            <w:vAlign w:val="center"/>
          </w:tcPr>
          <w:p w14:paraId="74A78785" w14:textId="77777777" w:rsidR="00357970" w:rsidRDefault="00357970" w:rsidP="00607A1F">
            <w:r>
              <w:t>No elaboration</w:t>
            </w:r>
          </w:p>
          <w:p w14:paraId="5A06E8E2" w14:textId="77777777" w:rsidR="0047128C" w:rsidRDefault="0047128C" w:rsidP="00607A1F">
            <w:r>
              <w:t>(no verbalisation)</w:t>
            </w:r>
          </w:p>
        </w:tc>
        <w:tc>
          <w:tcPr>
            <w:tcW w:w="2311" w:type="dxa"/>
            <w:tcBorders>
              <w:top w:val="single" w:sz="4" w:space="0" w:color="auto"/>
            </w:tcBorders>
            <w:vAlign w:val="center"/>
          </w:tcPr>
          <w:p w14:paraId="562111C6" w14:textId="77777777" w:rsidR="00357970" w:rsidRDefault="00357970" w:rsidP="00607A1F">
            <w:r>
              <w:t>153 (86)</w:t>
            </w:r>
          </w:p>
        </w:tc>
        <w:tc>
          <w:tcPr>
            <w:tcW w:w="2311" w:type="dxa"/>
            <w:tcBorders>
              <w:top w:val="single" w:sz="4" w:space="0" w:color="auto"/>
            </w:tcBorders>
            <w:vAlign w:val="center"/>
          </w:tcPr>
          <w:p w14:paraId="4DB3B371" w14:textId="77777777" w:rsidR="00357970" w:rsidRDefault="00357970" w:rsidP="00607A1F">
            <w:r>
              <w:t>83 (94)</w:t>
            </w:r>
          </w:p>
        </w:tc>
        <w:tc>
          <w:tcPr>
            <w:tcW w:w="2311" w:type="dxa"/>
            <w:tcBorders>
              <w:top w:val="single" w:sz="4" w:space="0" w:color="auto"/>
            </w:tcBorders>
            <w:vAlign w:val="center"/>
          </w:tcPr>
          <w:p w14:paraId="01F7E014" w14:textId="77777777" w:rsidR="00357970" w:rsidRDefault="00357970" w:rsidP="00607A1F">
            <w:r>
              <w:t>116 (96)</w:t>
            </w:r>
          </w:p>
        </w:tc>
      </w:tr>
      <w:tr w:rsidR="00357970" w14:paraId="23B04F04" w14:textId="77777777" w:rsidTr="00607A1F">
        <w:trPr>
          <w:trHeight w:val="343"/>
        </w:trPr>
        <w:tc>
          <w:tcPr>
            <w:tcW w:w="2310" w:type="dxa"/>
            <w:vAlign w:val="center"/>
          </w:tcPr>
          <w:p w14:paraId="70677346" w14:textId="77777777" w:rsidR="00357970" w:rsidRDefault="00357970" w:rsidP="00607A1F">
            <w:r>
              <w:t>Elaboration</w:t>
            </w:r>
            <w:r w:rsidR="0047128C">
              <w:t xml:space="preserve"> (verbalisation)</w:t>
            </w:r>
          </w:p>
        </w:tc>
        <w:tc>
          <w:tcPr>
            <w:tcW w:w="2311" w:type="dxa"/>
            <w:vAlign w:val="center"/>
          </w:tcPr>
          <w:p w14:paraId="4BBE2DDA" w14:textId="77777777" w:rsidR="00357970" w:rsidRDefault="00357970" w:rsidP="00607A1F">
            <w:r>
              <w:t>154 (103)</w:t>
            </w:r>
          </w:p>
        </w:tc>
        <w:tc>
          <w:tcPr>
            <w:tcW w:w="2311" w:type="dxa"/>
            <w:vAlign w:val="center"/>
          </w:tcPr>
          <w:p w14:paraId="59F1F3EA" w14:textId="77777777" w:rsidR="00357970" w:rsidRDefault="00357970" w:rsidP="00607A1F">
            <w:r>
              <w:t>69 (35)</w:t>
            </w:r>
          </w:p>
        </w:tc>
        <w:tc>
          <w:tcPr>
            <w:tcW w:w="2311" w:type="dxa"/>
            <w:vAlign w:val="center"/>
          </w:tcPr>
          <w:p w14:paraId="32272B2E" w14:textId="77777777" w:rsidR="00357970" w:rsidRDefault="00357970" w:rsidP="00607A1F">
            <w:r>
              <w:t>109 (85)</w:t>
            </w:r>
          </w:p>
        </w:tc>
      </w:tr>
      <w:tr w:rsidR="00357970" w14:paraId="71AD68B0" w14:textId="77777777" w:rsidTr="00607A1F">
        <w:trPr>
          <w:trHeight w:val="343"/>
        </w:trPr>
        <w:tc>
          <w:tcPr>
            <w:tcW w:w="2310" w:type="dxa"/>
            <w:tcBorders>
              <w:bottom w:val="single" w:sz="4" w:space="0" w:color="auto"/>
            </w:tcBorders>
            <w:vAlign w:val="center"/>
          </w:tcPr>
          <w:p w14:paraId="3DD414FC" w14:textId="77777777" w:rsidR="00357970" w:rsidRDefault="00357970" w:rsidP="00607A1F">
            <w:r>
              <w:t>Total</w:t>
            </w:r>
          </w:p>
        </w:tc>
        <w:tc>
          <w:tcPr>
            <w:tcW w:w="2311" w:type="dxa"/>
            <w:tcBorders>
              <w:bottom w:val="single" w:sz="4" w:space="0" w:color="auto"/>
            </w:tcBorders>
            <w:vAlign w:val="center"/>
          </w:tcPr>
          <w:p w14:paraId="0C35DACC" w14:textId="77777777" w:rsidR="00357970" w:rsidRDefault="00357970" w:rsidP="00607A1F">
            <w:r>
              <w:t>154 (93)</w:t>
            </w:r>
          </w:p>
        </w:tc>
        <w:tc>
          <w:tcPr>
            <w:tcW w:w="2311" w:type="dxa"/>
            <w:tcBorders>
              <w:bottom w:val="single" w:sz="4" w:space="0" w:color="auto"/>
            </w:tcBorders>
            <w:vAlign w:val="center"/>
          </w:tcPr>
          <w:p w14:paraId="09177005" w14:textId="77777777" w:rsidR="00357970" w:rsidRDefault="00357970" w:rsidP="00607A1F">
            <w:r>
              <w:t>76 (69)</w:t>
            </w:r>
          </w:p>
        </w:tc>
        <w:tc>
          <w:tcPr>
            <w:tcW w:w="2311" w:type="dxa"/>
            <w:tcBorders>
              <w:bottom w:val="single" w:sz="4" w:space="0" w:color="auto"/>
            </w:tcBorders>
            <w:vAlign w:val="center"/>
          </w:tcPr>
          <w:p w14:paraId="63313439" w14:textId="77777777" w:rsidR="00357970" w:rsidRDefault="00357970" w:rsidP="00607A1F"/>
        </w:tc>
      </w:tr>
    </w:tbl>
    <w:p w14:paraId="24961D0D" w14:textId="77777777" w:rsidR="00357970" w:rsidRDefault="00357970" w:rsidP="00357970"/>
    <w:p w14:paraId="2DE551F7" w14:textId="77777777" w:rsidR="00D20D68" w:rsidRDefault="00D20D68" w:rsidP="00A23D6A">
      <w:pPr>
        <w:spacing w:line="480" w:lineRule="auto"/>
        <w:rPr>
          <w:rFonts w:cs="Times New Roman"/>
        </w:rPr>
        <w:sectPr w:rsidR="00D20D68" w:rsidSect="00087471">
          <w:pgSz w:w="11907" w:h="16839" w:code="9"/>
          <w:pgMar w:top="1440" w:right="1440" w:bottom="1440" w:left="1440" w:header="709" w:footer="709" w:gutter="0"/>
          <w:cols w:space="708"/>
          <w:docGrid w:linePitch="360"/>
        </w:sectPr>
      </w:pPr>
    </w:p>
    <w:p w14:paraId="51864D31" w14:textId="77777777" w:rsidR="00607A1F" w:rsidRDefault="00A23D6A" w:rsidP="00A23D6A">
      <w:pPr>
        <w:spacing w:line="480" w:lineRule="auto"/>
        <w:rPr>
          <w:rFonts w:cs="Times New Roman"/>
        </w:rPr>
      </w:pPr>
      <w:r w:rsidRPr="00A23D6A">
        <w:rPr>
          <w:rFonts w:cs="Times New Roman"/>
        </w:rPr>
        <w:lastRenderedPageBreak/>
        <w:t xml:space="preserve">Table </w:t>
      </w:r>
      <w:r w:rsidR="00BA3CD6">
        <w:rPr>
          <w:rFonts w:cs="Times New Roman"/>
        </w:rPr>
        <w:t>2</w:t>
      </w:r>
    </w:p>
    <w:p w14:paraId="284C3030" w14:textId="77777777" w:rsidR="00A23D6A" w:rsidRPr="00607A1F" w:rsidRDefault="00A23D6A" w:rsidP="00A23D6A">
      <w:pPr>
        <w:spacing w:line="480" w:lineRule="auto"/>
        <w:rPr>
          <w:rFonts w:cs="Times New Roman"/>
          <w:i/>
        </w:rPr>
      </w:pPr>
      <w:r w:rsidRPr="00607A1F">
        <w:rPr>
          <w:rFonts w:cs="Times New Roman"/>
          <w:i/>
        </w:rPr>
        <w:t xml:space="preserve">Mean total dwell times (in seconds) for each interest area in the </w:t>
      </w:r>
      <w:r w:rsidR="00711DA1">
        <w:rPr>
          <w:rFonts w:cs="Times New Roman"/>
          <w:i/>
        </w:rPr>
        <w:t>responsible drinking (D</w:t>
      </w:r>
      <w:r w:rsidR="00BE02F9">
        <w:rPr>
          <w:rFonts w:cs="Times New Roman"/>
          <w:i/>
        </w:rPr>
        <w:t xml:space="preserve">rinkaware) </w:t>
      </w:r>
      <w:r w:rsidRPr="00607A1F">
        <w:rPr>
          <w:rFonts w:cs="Times New Roman"/>
          <w:i/>
        </w:rPr>
        <w:t xml:space="preserve">and </w:t>
      </w:r>
      <w:r w:rsidR="00BE02F9">
        <w:rPr>
          <w:rFonts w:cs="Times New Roman"/>
          <w:i/>
        </w:rPr>
        <w:t>control</w:t>
      </w:r>
      <w:r w:rsidR="00711DA1">
        <w:rPr>
          <w:rFonts w:cs="Times New Roman"/>
          <w:i/>
        </w:rPr>
        <w:t xml:space="preserve"> </w:t>
      </w:r>
      <w:r w:rsidR="00BE02F9">
        <w:rPr>
          <w:rFonts w:cs="Times New Roman"/>
          <w:i/>
        </w:rPr>
        <w:t>(C</w:t>
      </w:r>
      <w:r w:rsidR="00CB10A5">
        <w:rPr>
          <w:rFonts w:cs="Times New Roman"/>
          <w:i/>
        </w:rPr>
        <w:t>hange</w:t>
      </w:r>
      <w:r w:rsidR="00711DA1">
        <w:rPr>
          <w:rFonts w:cs="Times New Roman"/>
          <w:i/>
        </w:rPr>
        <w:t>4Life)</w:t>
      </w:r>
      <w:r w:rsidRPr="00607A1F">
        <w:rPr>
          <w:rFonts w:cs="Times New Roman"/>
          <w:i/>
        </w:rPr>
        <w:t xml:space="preserve"> posters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3633"/>
        <w:gridCol w:w="993"/>
        <w:gridCol w:w="992"/>
      </w:tblGrid>
      <w:tr w:rsidR="004107A9" w:rsidRPr="00E3414C" w14:paraId="283735E9" w14:textId="77777777" w:rsidTr="00081DBA">
        <w:tc>
          <w:tcPr>
            <w:tcW w:w="1578" w:type="dxa"/>
            <w:tcBorders>
              <w:top w:val="single" w:sz="4" w:space="0" w:color="auto"/>
              <w:bottom w:val="single" w:sz="4" w:space="0" w:color="auto"/>
            </w:tcBorders>
          </w:tcPr>
          <w:p w14:paraId="0DE15DAF" w14:textId="77777777" w:rsidR="004107A9" w:rsidRPr="00E3414C" w:rsidRDefault="004107A9" w:rsidP="00081DBA">
            <w:pPr>
              <w:spacing w:line="240" w:lineRule="auto"/>
              <w:rPr>
                <w:rFonts w:cs="Times New Roman"/>
              </w:rPr>
            </w:pPr>
            <w:r w:rsidRPr="00E3414C">
              <w:rPr>
                <w:rFonts w:cs="Times New Roman"/>
              </w:rPr>
              <w:t>Poster</w:t>
            </w:r>
          </w:p>
        </w:tc>
        <w:tc>
          <w:tcPr>
            <w:tcW w:w="3633" w:type="dxa"/>
            <w:tcBorders>
              <w:top w:val="single" w:sz="4" w:space="0" w:color="auto"/>
              <w:bottom w:val="single" w:sz="4" w:space="0" w:color="auto"/>
            </w:tcBorders>
          </w:tcPr>
          <w:p w14:paraId="19D3B78D" w14:textId="77777777" w:rsidR="004107A9" w:rsidRPr="00E3414C" w:rsidRDefault="004107A9" w:rsidP="00081DBA">
            <w:pPr>
              <w:spacing w:line="240" w:lineRule="auto"/>
              <w:rPr>
                <w:rFonts w:cs="Times New Roman"/>
              </w:rPr>
            </w:pPr>
            <w:r w:rsidRPr="00E3414C">
              <w:rPr>
                <w:rFonts w:cs="Times New Roman"/>
              </w:rPr>
              <w:t>Interest Area</w:t>
            </w:r>
          </w:p>
        </w:tc>
        <w:tc>
          <w:tcPr>
            <w:tcW w:w="993" w:type="dxa"/>
            <w:tcBorders>
              <w:top w:val="single" w:sz="4" w:space="0" w:color="auto"/>
              <w:bottom w:val="single" w:sz="4" w:space="0" w:color="auto"/>
            </w:tcBorders>
            <w:vAlign w:val="center"/>
          </w:tcPr>
          <w:p w14:paraId="6A355FCE" w14:textId="77777777" w:rsidR="004107A9" w:rsidRPr="00E3414C" w:rsidRDefault="004107A9" w:rsidP="00081DBA">
            <w:pPr>
              <w:spacing w:line="240" w:lineRule="auto"/>
              <w:rPr>
                <w:rFonts w:cs="Times New Roman"/>
              </w:rPr>
            </w:pPr>
            <w:r w:rsidRPr="00E3414C">
              <w:rPr>
                <w:rFonts w:cs="Times New Roman"/>
              </w:rPr>
              <w:t>M</w:t>
            </w:r>
          </w:p>
        </w:tc>
        <w:tc>
          <w:tcPr>
            <w:tcW w:w="992" w:type="dxa"/>
            <w:tcBorders>
              <w:top w:val="single" w:sz="4" w:space="0" w:color="auto"/>
              <w:bottom w:val="single" w:sz="4" w:space="0" w:color="auto"/>
            </w:tcBorders>
            <w:vAlign w:val="center"/>
          </w:tcPr>
          <w:p w14:paraId="1CA95BE6" w14:textId="77777777" w:rsidR="004107A9" w:rsidRPr="00E3414C" w:rsidRDefault="004107A9" w:rsidP="00081DBA">
            <w:pPr>
              <w:spacing w:line="240" w:lineRule="auto"/>
              <w:rPr>
                <w:rFonts w:cs="Times New Roman"/>
              </w:rPr>
            </w:pPr>
            <w:r w:rsidRPr="00E3414C">
              <w:rPr>
                <w:rFonts w:cs="Times New Roman"/>
              </w:rPr>
              <w:t>SD</w:t>
            </w:r>
          </w:p>
        </w:tc>
      </w:tr>
      <w:tr w:rsidR="00BE02F9" w:rsidRPr="00E3414C" w14:paraId="12950E6E" w14:textId="77777777" w:rsidTr="00081DBA">
        <w:tc>
          <w:tcPr>
            <w:tcW w:w="1578" w:type="dxa"/>
            <w:vMerge w:val="restart"/>
            <w:tcBorders>
              <w:top w:val="single" w:sz="4" w:space="0" w:color="auto"/>
            </w:tcBorders>
          </w:tcPr>
          <w:p w14:paraId="691BFDB0" w14:textId="77777777" w:rsidR="00BE02F9" w:rsidRPr="00E3414C" w:rsidRDefault="00BE02F9" w:rsidP="00BE02F9">
            <w:pPr>
              <w:spacing w:line="240" w:lineRule="auto"/>
              <w:rPr>
                <w:rFonts w:cs="Times New Roman"/>
              </w:rPr>
            </w:pPr>
            <w:r>
              <w:rPr>
                <w:rFonts w:cs="Times New Roman"/>
              </w:rPr>
              <w:t>Responsible drinking</w:t>
            </w:r>
          </w:p>
        </w:tc>
        <w:tc>
          <w:tcPr>
            <w:tcW w:w="3633" w:type="dxa"/>
            <w:tcBorders>
              <w:top w:val="single" w:sz="4" w:space="0" w:color="auto"/>
            </w:tcBorders>
          </w:tcPr>
          <w:p w14:paraId="71E0452A" w14:textId="77777777" w:rsidR="00BE02F9" w:rsidRPr="00E3414C" w:rsidRDefault="00BE02F9" w:rsidP="00081DBA">
            <w:pPr>
              <w:spacing w:line="240" w:lineRule="auto"/>
              <w:rPr>
                <w:rFonts w:cs="Times New Roman"/>
                <w:vertAlign w:val="superscript"/>
              </w:rPr>
            </w:pPr>
            <w:r w:rsidRPr="00E3414C">
              <w:rPr>
                <w:rFonts w:cs="Times New Roman"/>
              </w:rPr>
              <w:t xml:space="preserve">Responsible drinking message </w:t>
            </w:r>
          </w:p>
        </w:tc>
        <w:tc>
          <w:tcPr>
            <w:tcW w:w="993" w:type="dxa"/>
            <w:tcBorders>
              <w:top w:val="single" w:sz="4" w:space="0" w:color="auto"/>
            </w:tcBorders>
            <w:vAlign w:val="center"/>
          </w:tcPr>
          <w:p w14:paraId="43CA629B" w14:textId="77777777" w:rsidR="00BE02F9" w:rsidRPr="00E3414C" w:rsidRDefault="00BE02F9" w:rsidP="00081DBA">
            <w:pPr>
              <w:spacing w:line="240" w:lineRule="auto"/>
              <w:rPr>
                <w:rFonts w:cs="Times New Roman"/>
              </w:rPr>
            </w:pPr>
            <w:r w:rsidRPr="00E3414C">
              <w:rPr>
                <w:rFonts w:cs="Times New Roman"/>
              </w:rPr>
              <w:t>7.99</w:t>
            </w:r>
          </w:p>
        </w:tc>
        <w:tc>
          <w:tcPr>
            <w:tcW w:w="992" w:type="dxa"/>
            <w:tcBorders>
              <w:top w:val="single" w:sz="4" w:space="0" w:color="auto"/>
            </w:tcBorders>
            <w:vAlign w:val="center"/>
          </w:tcPr>
          <w:p w14:paraId="4635A202" w14:textId="77777777" w:rsidR="00BE02F9" w:rsidRPr="00E3414C" w:rsidRDefault="00BE02F9" w:rsidP="00081DBA">
            <w:pPr>
              <w:spacing w:line="240" w:lineRule="auto"/>
              <w:rPr>
                <w:rFonts w:cs="Times New Roman"/>
              </w:rPr>
            </w:pPr>
            <w:r w:rsidRPr="00E3414C">
              <w:rPr>
                <w:rFonts w:cs="Times New Roman"/>
              </w:rPr>
              <w:t>5.64</w:t>
            </w:r>
          </w:p>
        </w:tc>
      </w:tr>
      <w:tr w:rsidR="00BE02F9" w:rsidRPr="00E3414C" w14:paraId="5FB924B7" w14:textId="77777777" w:rsidTr="00081DBA">
        <w:tc>
          <w:tcPr>
            <w:tcW w:w="1578" w:type="dxa"/>
            <w:vMerge/>
          </w:tcPr>
          <w:p w14:paraId="7B57546B" w14:textId="77777777" w:rsidR="00BE02F9" w:rsidRPr="00E3414C" w:rsidRDefault="00BE02F9" w:rsidP="00081DBA">
            <w:pPr>
              <w:spacing w:line="240" w:lineRule="auto"/>
              <w:rPr>
                <w:rFonts w:cs="Times New Roman"/>
              </w:rPr>
            </w:pPr>
          </w:p>
        </w:tc>
        <w:tc>
          <w:tcPr>
            <w:tcW w:w="3633" w:type="dxa"/>
          </w:tcPr>
          <w:p w14:paraId="604E917E" w14:textId="77777777" w:rsidR="00BE02F9" w:rsidRPr="00E3414C" w:rsidRDefault="00BE02F9" w:rsidP="00081DBA">
            <w:pPr>
              <w:spacing w:line="240" w:lineRule="auto"/>
              <w:rPr>
                <w:rFonts w:cs="Times New Roman"/>
              </w:rPr>
            </w:pPr>
            <w:r w:rsidRPr="00E3414C">
              <w:rPr>
                <w:rFonts w:cs="Times New Roman"/>
              </w:rPr>
              <w:t xml:space="preserve">Positive </w:t>
            </w:r>
            <w:r>
              <w:rPr>
                <w:rFonts w:cs="Times New Roman"/>
              </w:rPr>
              <w:t>imagery</w:t>
            </w:r>
          </w:p>
        </w:tc>
        <w:tc>
          <w:tcPr>
            <w:tcW w:w="993" w:type="dxa"/>
            <w:vAlign w:val="center"/>
          </w:tcPr>
          <w:p w14:paraId="41307C18" w14:textId="77777777" w:rsidR="00BE02F9" w:rsidRPr="00E3414C" w:rsidRDefault="00BE02F9" w:rsidP="00081DBA">
            <w:pPr>
              <w:spacing w:line="240" w:lineRule="auto"/>
              <w:rPr>
                <w:rFonts w:cs="Times New Roman"/>
              </w:rPr>
            </w:pPr>
            <w:r w:rsidRPr="00E3414C">
              <w:rPr>
                <w:rFonts w:cs="Times New Roman"/>
              </w:rPr>
              <w:t>16.17</w:t>
            </w:r>
          </w:p>
        </w:tc>
        <w:tc>
          <w:tcPr>
            <w:tcW w:w="992" w:type="dxa"/>
            <w:vAlign w:val="center"/>
          </w:tcPr>
          <w:p w14:paraId="7C157F14" w14:textId="77777777" w:rsidR="00BE02F9" w:rsidRPr="00E3414C" w:rsidRDefault="00BE02F9" w:rsidP="00081DBA">
            <w:pPr>
              <w:spacing w:line="240" w:lineRule="auto"/>
              <w:rPr>
                <w:rFonts w:cs="Times New Roman"/>
              </w:rPr>
            </w:pPr>
            <w:r w:rsidRPr="00E3414C">
              <w:rPr>
                <w:rFonts w:cs="Times New Roman"/>
              </w:rPr>
              <w:t>6.65</w:t>
            </w:r>
          </w:p>
        </w:tc>
      </w:tr>
      <w:tr w:rsidR="00BE02F9" w:rsidRPr="00E3414C" w14:paraId="593DACA9" w14:textId="77777777" w:rsidTr="00081DBA">
        <w:tc>
          <w:tcPr>
            <w:tcW w:w="1578" w:type="dxa"/>
            <w:vMerge/>
          </w:tcPr>
          <w:p w14:paraId="5CC26376" w14:textId="77777777" w:rsidR="00BE02F9" w:rsidRPr="00E3414C" w:rsidRDefault="00BE02F9" w:rsidP="00081DBA">
            <w:pPr>
              <w:spacing w:line="240" w:lineRule="auto"/>
              <w:rPr>
                <w:rFonts w:cs="Times New Roman"/>
              </w:rPr>
            </w:pPr>
          </w:p>
        </w:tc>
        <w:tc>
          <w:tcPr>
            <w:tcW w:w="3633" w:type="dxa"/>
          </w:tcPr>
          <w:p w14:paraId="286E7DAF" w14:textId="77777777" w:rsidR="00BE02F9" w:rsidRPr="00E3414C" w:rsidRDefault="00BE02F9" w:rsidP="00081DBA">
            <w:pPr>
              <w:spacing w:line="240" w:lineRule="auto"/>
              <w:rPr>
                <w:rFonts w:cs="Times New Roman"/>
              </w:rPr>
            </w:pPr>
            <w:r w:rsidRPr="00E3414C">
              <w:rPr>
                <w:rFonts w:cs="Times New Roman"/>
              </w:rPr>
              <w:t xml:space="preserve">Negative </w:t>
            </w:r>
            <w:r>
              <w:rPr>
                <w:rFonts w:cs="Times New Roman"/>
              </w:rPr>
              <w:t>imagery</w:t>
            </w:r>
          </w:p>
        </w:tc>
        <w:tc>
          <w:tcPr>
            <w:tcW w:w="993" w:type="dxa"/>
            <w:vAlign w:val="center"/>
          </w:tcPr>
          <w:p w14:paraId="31D877EB" w14:textId="77777777" w:rsidR="00BE02F9" w:rsidRPr="00E3414C" w:rsidRDefault="00BE02F9" w:rsidP="00081DBA">
            <w:pPr>
              <w:spacing w:line="240" w:lineRule="auto"/>
              <w:rPr>
                <w:rFonts w:cs="Times New Roman"/>
              </w:rPr>
            </w:pPr>
            <w:r w:rsidRPr="00E3414C">
              <w:rPr>
                <w:rFonts w:cs="Times New Roman"/>
              </w:rPr>
              <w:t>17.58</w:t>
            </w:r>
          </w:p>
        </w:tc>
        <w:tc>
          <w:tcPr>
            <w:tcW w:w="992" w:type="dxa"/>
            <w:vAlign w:val="center"/>
          </w:tcPr>
          <w:p w14:paraId="587D47F0" w14:textId="77777777" w:rsidR="00BE02F9" w:rsidRPr="00E3414C" w:rsidRDefault="00BE02F9" w:rsidP="00081DBA">
            <w:pPr>
              <w:spacing w:line="240" w:lineRule="auto"/>
              <w:rPr>
                <w:rFonts w:cs="Times New Roman"/>
              </w:rPr>
            </w:pPr>
            <w:r w:rsidRPr="00E3414C">
              <w:rPr>
                <w:rFonts w:cs="Times New Roman"/>
              </w:rPr>
              <w:t>5.89</w:t>
            </w:r>
          </w:p>
        </w:tc>
      </w:tr>
      <w:tr w:rsidR="00BE02F9" w:rsidRPr="00E3414C" w14:paraId="566A90B7" w14:textId="77777777" w:rsidTr="00081DBA">
        <w:tc>
          <w:tcPr>
            <w:tcW w:w="1578" w:type="dxa"/>
            <w:vMerge/>
          </w:tcPr>
          <w:p w14:paraId="2E15AD82" w14:textId="77777777" w:rsidR="00BE02F9" w:rsidRPr="00E3414C" w:rsidRDefault="00BE02F9" w:rsidP="00081DBA">
            <w:pPr>
              <w:spacing w:line="240" w:lineRule="auto"/>
              <w:rPr>
                <w:rFonts w:cs="Times New Roman"/>
              </w:rPr>
            </w:pPr>
          </w:p>
        </w:tc>
        <w:tc>
          <w:tcPr>
            <w:tcW w:w="3633" w:type="dxa"/>
          </w:tcPr>
          <w:p w14:paraId="10AE0D1A" w14:textId="77777777" w:rsidR="00BE02F9" w:rsidRPr="00E3414C" w:rsidRDefault="00BE02F9" w:rsidP="00081DBA">
            <w:pPr>
              <w:spacing w:line="240" w:lineRule="auto"/>
              <w:rPr>
                <w:rFonts w:cs="Times New Roman"/>
              </w:rPr>
            </w:pPr>
            <w:r w:rsidRPr="00E3414C">
              <w:rPr>
                <w:rFonts w:cs="Times New Roman"/>
              </w:rPr>
              <w:t>Drinkaware URL</w:t>
            </w:r>
          </w:p>
        </w:tc>
        <w:tc>
          <w:tcPr>
            <w:tcW w:w="993" w:type="dxa"/>
            <w:vAlign w:val="center"/>
          </w:tcPr>
          <w:p w14:paraId="00394CC1" w14:textId="77777777" w:rsidR="00BE02F9" w:rsidRPr="00E3414C" w:rsidRDefault="00BE02F9" w:rsidP="00081DBA">
            <w:pPr>
              <w:spacing w:line="240" w:lineRule="auto"/>
              <w:rPr>
                <w:rFonts w:cs="Times New Roman"/>
              </w:rPr>
            </w:pPr>
            <w:r w:rsidRPr="00E3414C">
              <w:rPr>
                <w:rFonts w:cs="Times New Roman"/>
              </w:rPr>
              <w:t>2.19</w:t>
            </w:r>
          </w:p>
        </w:tc>
        <w:tc>
          <w:tcPr>
            <w:tcW w:w="992" w:type="dxa"/>
            <w:vAlign w:val="center"/>
          </w:tcPr>
          <w:p w14:paraId="31424555" w14:textId="77777777" w:rsidR="00BE02F9" w:rsidRPr="00E3414C" w:rsidRDefault="00BE02F9" w:rsidP="00081DBA">
            <w:pPr>
              <w:spacing w:line="240" w:lineRule="auto"/>
              <w:rPr>
                <w:rFonts w:cs="Times New Roman"/>
              </w:rPr>
            </w:pPr>
            <w:r w:rsidRPr="00E3414C">
              <w:rPr>
                <w:rFonts w:cs="Times New Roman"/>
              </w:rPr>
              <w:t>1.58</w:t>
            </w:r>
          </w:p>
        </w:tc>
      </w:tr>
      <w:tr w:rsidR="00BE02F9" w:rsidRPr="00E3414C" w14:paraId="0E5684DE" w14:textId="77777777" w:rsidTr="00081DBA">
        <w:tc>
          <w:tcPr>
            <w:tcW w:w="1578" w:type="dxa"/>
            <w:vMerge w:val="restart"/>
          </w:tcPr>
          <w:p w14:paraId="513EA59B" w14:textId="77777777" w:rsidR="00BE02F9" w:rsidRPr="00E3414C" w:rsidRDefault="00BE02F9" w:rsidP="00BE02F9">
            <w:pPr>
              <w:spacing w:line="240" w:lineRule="auto"/>
              <w:rPr>
                <w:rFonts w:cs="Times New Roman"/>
              </w:rPr>
            </w:pPr>
            <w:r w:rsidRPr="00E3414C">
              <w:rPr>
                <w:rFonts w:cs="Times New Roman"/>
              </w:rPr>
              <w:t>C</w:t>
            </w:r>
            <w:r>
              <w:rPr>
                <w:rFonts w:cs="Times New Roman"/>
              </w:rPr>
              <w:t>ontrol</w:t>
            </w:r>
          </w:p>
        </w:tc>
        <w:tc>
          <w:tcPr>
            <w:tcW w:w="3633" w:type="dxa"/>
          </w:tcPr>
          <w:p w14:paraId="6B63FF13" w14:textId="77777777" w:rsidR="00BE02F9" w:rsidRPr="00E3414C" w:rsidRDefault="00BE02F9" w:rsidP="00081DBA">
            <w:pPr>
              <w:spacing w:line="240" w:lineRule="auto"/>
              <w:rPr>
                <w:rFonts w:cs="Times New Roman"/>
              </w:rPr>
            </w:pPr>
            <w:r w:rsidRPr="00E3414C">
              <w:rPr>
                <w:rFonts w:cs="Times New Roman"/>
              </w:rPr>
              <w:t>Health message</w:t>
            </w:r>
          </w:p>
        </w:tc>
        <w:tc>
          <w:tcPr>
            <w:tcW w:w="993" w:type="dxa"/>
            <w:vAlign w:val="center"/>
          </w:tcPr>
          <w:p w14:paraId="763D7EF3" w14:textId="77777777" w:rsidR="00BE02F9" w:rsidRPr="00E3414C" w:rsidRDefault="00BE02F9" w:rsidP="00081DBA">
            <w:pPr>
              <w:spacing w:line="240" w:lineRule="auto"/>
              <w:rPr>
                <w:rFonts w:cs="Times New Roman"/>
              </w:rPr>
            </w:pPr>
            <w:r w:rsidRPr="00E3414C">
              <w:rPr>
                <w:rFonts w:cs="Times New Roman"/>
              </w:rPr>
              <w:t>14.82</w:t>
            </w:r>
          </w:p>
        </w:tc>
        <w:tc>
          <w:tcPr>
            <w:tcW w:w="992" w:type="dxa"/>
            <w:vAlign w:val="center"/>
          </w:tcPr>
          <w:p w14:paraId="303C24A4" w14:textId="77777777" w:rsidR="00BE02F9" w:rsidRPr="00E3414C" w:rsidRDefault="00BE02F9" w:rsidP="00081DBA">
            <w:pPr>
              <w:spacing w:line="240" w:lineRule="auto"/>
              <w:rPr>
                <w:rFonts w:cs="Times New Roman"/>
              </w:rPr>
            </w:pPr>
            <w:r w:rsidRPr="00E3414C">
              <w:rPr>
                <w:rFonts w:cs="Times New Roman"/>
              </w:rPr>
              <w:t>5.81</w:t>
            </w:r>
          </w:p>
        </w:tc>
      </w:tr>
      <w:tr w:rsidR="00BE02F9" w:rsidRPr="00E3414C" w14:paraId="4E9C1E93" w14:textId="77777777" w:rsidTr="00081DBA">
        <w:tc>
          <w:tcPr>
            <w:tcW w:w="1578" w:type="dxa"/>
            <w:vMerge/>
          </w:tcPr>
          <w:p w14:paraId="2833F199" w14:textId="77777777" w:rsidR="00BE02F9" w:rsidRPr="00E3414C" w:rsidRDefault="00BE02F9" w:rsidP="00081DBA">
            <w:pPr>
              <w:spacing w:line="240" w:lineRule="auto"/>
              <w:rPr>
                <w:rFonts w:cs="Times New Roman"/>
              </w:rPr>
            </w:pPr>
          </w:p>
        </w:tc>
        <w:tc>
          <w:tcPr>
            <w:tcW w:w="3633" w:type="dxa"/>
          </w:tcPr>
          <w:p w14:paraId="6BC82FDB" w14:textId="77777777" w:rsidR="00BE02F9" w:rsidRPr="00E3414C" w:rsidRDefault="00BE02F9" w:rsidP="00081DBA">
            <w:pPr>
              <w:spacing w:line="240" w:lineRule="auto"/>
              <w:rPr>
                <w:rFonts w:cs="Times New Roman"/>
              </w:rPr>
            </w:pPr>
            <w:r w:rsidRPr="00E3414C">
              <w:rPr>
                <w:rFonts w:cs="Times New Roman"/>
              </w:rPr>
              <w:t>Illustration</w:t>
            </w:r>
          </w:p>
        </w:tc>
        <w:tc>
          <w:tcPr>
            <w:tcW w:w="993" w:type="dxa"/>
            <w:vAlign w:val="center"/>
          </w:tcPr>
          <w:p w14:paraId="79E0C404" w14:textId="77777777" w:rsidR="00BE02F9" w:rsidRPr="00E3414C" w:rsidRDefault="00BE02F9" w:rsidP="00081DBA">
            <w:pPr>
              <w:spacing w:line="240" w:lineRule="auto"/>
              <w:rPr>
                <w:rFonts w:cs="Times New Roman"/>
              </w:rPr>
            </w:pPr>
            <w:r w:rsidRPr="00E3414C">
              <w:rPr>
                <w:rFonts w:cs="Times New Roman"/>
              </w:rPr>
              <w:t>19.92</w:t>
            </w:r>
          </w:p>
        </w:tc>
        <w:tc>
          <w:tcPr>
            <w:tcW w:w="992" w:type="dxa"/>
            <w:vAlign w:val="center"/>
          </w:tcPr>
          <w:p w14:paraId="3ECCB72D" w14:textId="77777777" w:rsidR="00BE02F9" w:rsidRPr="00E3414C" w:rsidRDefault="00BE02F9" w:rsidP="00081DBA">
            <w:pPr>
              <w:spacing w:line="240" w:lineRule="auto"/>
              <w:rPr>
                <w:rFonts w:cs="Times New Roman"/>
              </w:rPr>
            </w:pPr>
            <w:r w:rsidRPr="00E3414C">
              <w:rPr>
                <w:rFonts w:cs="Times New Roman"/>
              </w:rPr>
              <w:t>6.18</w:t>
            </w:r>
          </w:p>
        </w:tc>
      </w:tr>
      <w:tr w:rsidR="00BE02F9" w:rsidRPr="00E3414C" w14:paraId="7948C939" w14:textId="77777777" w:rsidTr="00081DBA">
        <w:tc>
          <w:tcPr>
            <w:tcW w:w="1578" w:type="dxa"/>
            <w:vMerge/>
          </w:tcPr>
          <w:p w14:paraId="564DD673" w14:textId="77777777" w:rsidR="00BE02F9" w:rsidRPr="00E3414C" w:rsidRDefault="00BE02F9" w:rsidP="00081DBA">
            <w:pPr>
              <w:spacing w:line="240" w:lineRule="auto"/>
              <w:rPr>
                <w:rFonts w:cs="Times New Roman"/>
              </w:rPr>
            </w:pPr>
          </w:p>
        </w:tc>
        <w:tc>
          <w:tcPr>
            <w:tcW w:w="3633" w:type="dxa"/>
          </w:tcPr>
          <w:p w14:paraId="0328ECF2" w14:textId="77777777" w:rsidR="00BE02F9" w:rsidRPr="00E3414C" w:rsidRDefault="00BE02F9" w:rsidP="00081DBA">
            <w:pPr>
              <w:spacing w:line="240" w:lineRule="auto"/>
              <w:rPr>
                <w:rFonts w:cs="Times New Roman"/>
              </w:rPr>
            </w:pPr>
            <w:r w:rsidRPr="00E3414C">
              <w:rPr>
                <w:rFonts w:cs="Times New Roman"/>
              </w:rPr>
              <w:t>Further info link</w:t>
            </w:r>
          </w:p>
        </w:tc>
        <w:tc>
          <w:tcPr>
            <w:tcW w:w="993" w:type="dxa"/>
            <w:vAlign w:val="center"/>
          </w:tcPr>
          <w:p w14:paraId="5416BA5B" w14:textId="77777777" w:rsidR="00BE02F9" w:rsidRPr="00E3414C" w:rsidRDefault="00BE02F9" w:rsidP="00081DBA">
            <w:pPr>
              <w:spacing w:line="240" w:lineRule="auto"/>
              <w:rPr>
                <w:rFonts w:cs="Times New Roman"/>
              </w:rPr>
            </w:pPr>
            <w:r w:rsidRPr="00E3414C">
              <w:rPr>
                <w:rFonts w:cs="Times New Roman"/>
              </w:rPr>
              <w:t>2.12</w:t>
            </w:r>
          </w:p>
        </w:tc>
        <w:tc>
          <w:tcPr>
            <w:tcW w:w="992" w:type="dxa"/>
            <w:vAlign w:val="center"/>
          </w:tcPr>
          <w:p w14:paraId="06F828FB" w14:textId="77777777" w:rsidR="00BE02F9" w:rsidRPr="00E3414C" w:rsidRDefault="00BE02F9" w:rsidP="00081DBA">
            <w:pPr>
              <w:spacing w:line="240" w:lineRule="auto"/>
              <w:rPr>
                <w:rFonts w:cs="Times New Roman"/>
              </w:rPr>
            </w:pPr>
            <w:r w:rsidRPr="00E3414C">
              <w:rPr>
                <w:rFonts w:cs="Times New Roman"/>
              </w:rPr>
              <w:t>1.75</w:t>
            </w:r>
          </w:p>
        </w:tc>
      </w:tr>
      <w:tr w:rsidR="00BE02F9" w:rsidRPr="00E3414C" w14:paraId="7CC338C6" w14:textId="77777777" w:rsidTr="00081DBA">
        <w:tc>
          <w:tcPr>
            <w:tcW w:w="1578" w:type="dxa"/>
            <w:vMerge/>
            <w:tcBorders>
              <w:bottom w:val="single" w:sz="4" w:space="0" w:color="auto"/>
            </w:tcBorders>
          </w:tcPr>
          <w:p w14:paraId="785C77B4" w14:textId="77777777" w:rsidR="00BE02F9" w:rsidRPr="00E3414C" w:rsidRDefault="00BE02F9" w:rsidP="00081DBA">
            <w:pPr>
              <w:spacing w:line="240" w:lineRule="auto"/>
              <w:rPr>
                <w:rFonts w:cs="Times New Roman"/>
              </w:rPr>
            </w:pPr>
          </w:p>
        </w:tc>
        <w:tc>
          <w:tcPr>
            <w:tcW w:w="3633" w:type="dxa"/>
            <w:tcBorders>
              <w:bottom w:val="single" w:sz="4" w:space="0" w:color="auto"/>
            </w:tcBorders>
          </w:tcPr>
          <w:p w14:paraId="0E693918" w14:textId="77777777" w:rsidR="00BE02F9" w:rsidRPr="00E3414C" w:rsidRDefault="00BE02F9" w:rsidP="00081DBA">
            <w:pPr>
              <w:spacing w:line="240" w:lineRule="auto"/>
              <w:rPr>
                <w:rFonts w:cs="Times New Roman"/>
              </w:rPr>
            </w:pPr>
            <w:r w:rsidRPr="00E3414C">
              <w:rPr>
                <w:rFonts w:cs="Times New Roman"/>
              </w:rPr>
              <w:t>C</w:t>
            </w:r>
            <w:r>
              <w:rPr>
                <w:rFonts w:cs="Times New Roman"/>
              </w:rPr>
              <w:t>hange</w:t>
            </w:r>
            <w:r w:rsidRPr="00E3414C">
              <w:rPr>
                <w:rFonts w:cs="Times New Roman"/>
              </w:rPr>
              <w:t>4L</w:t>
            </w:r>
            <w:r>
              <w:rPr>
                <w:rFonts w:cs="Times New Roman"/>
              </w:rPr>
              <w:t>ife</w:t>
            </w:r>
            <w:r w:rsidRPr="00E3414C">
              <w:rPr>
                <w:rFonts w:cs="Times New Roman"/>
              </w:rPr>
              <w:t xml:space="preserve"> logo</w:t>
            </w:r>
          </w:p>
        </w:tc>
        <w:tc>
          <w:tcPr>
            <w:tcW w:w="993" w:type="dxa"/>
            <w:tcBorders>
              <w:bottom w:val="single" w:sz="4" w:space="0" w:color="auto"/>
            </w:tcBorders>
            <w:vAlign w:val="center"/>
          </w:tcPr>
          <w:p w14:paraId="75BFF534" w14:textId="77777777" w:rsidR="00BE02F9" w:rsidRPr="00E3414C" w:rsidRDefault="00BE02F9" w:rsidP="00081DBA">
            <w:pPr>
              <w:spacing w:line="240" w:lineRule="auto"/>
              <w:rPr>
                <w:rFonts w:cs="Times New Roman"/>
              </w:rPr>
            </w:pPr>
            <w:r w:rsidRPr="00E3414C">
              <w:rPr>
                <w:rFonts w:cs="Times New Roman"/>
              </w:rPr>
              <w:t>1.78</w:t>
            </w:r>
          </w:p>
        </w:tc>
        <w:tc>
          <w:tcPr>
            <w:tcW w:w="992" w:type="dxa"/>
            <w:tcBorders>
              <w:bottom w:val="single" w:sz="4" w:space="0" w:color="auto"/>
            </w:tcBorders>
            <w:vAlign w:val="center"/>
          </w:tcPr>
          <w:p w14:paraId="602EC187" w14:textId="77777777" w:rsidR="00BE02F9" w:rsidRPr="00E3414C" w:rsidRDefault="00BE02F9" w:rsidP="00081DBA">
            <w:pPr>
              <w:spacing w:line="240" w:lineRule="auto"/>
              <w:rPr>
                <w:rFonts w:cs="Times New Roman"/>
              </w:rPr>
            </w:pPr>
            <w:r w:rsidRPr="00E3414C">
              <w:rPr>
                <w:rFonts w:cs="Times New Roman"/>
              </w:rPr>
              <w:t>1.48</w:t>
            </w:r>
          </w:p>
        </w:tc>
      </w:tr>
    </w:tbl>
    <w:p w14:paraId="6865F0E0" w14:textId="7F0E8717" w:rsidR="00A23D6A" w:rsidRPr="00E3414C" w:rsidRDefault="00A23D6A" w:rsidP="00A23D6A">
      <w:pPr>
        <w:spacing w:line="480" w:lineRule="auto"/>
        <w:rPr>
          <w:rFonts w:cs="Times New Roman"/>
        </w:rPr>
      </w:pPr>
    </w:p>
    <w:p w14:paraId="29D69F69" w14:textId="77777777" w:rsidR="00A23D6A" w:rsidRDefault="00A23D6A" w:rsidP="00357970"/>
    <w:p w14:paraId="29AE5769" w14:textId="77777777" w:rsidR="00A23D6A" w:rsidRDefault="00A23D6A" w:rsidP="00357970"/>
    <w:p w14:paraId="205C2FF0" w14:textId="77777777" w:rsidR="00607A1F" w:rsidRDefault="00607A1F" w:rsidP="00357970">
      <w:pPr>
        <w:sectPr w:rsidR="00607A1F" w:rsidSect="00087471">
          <w:pgSz w:w="11907" w:h="16839" w:code="9"/>
          <w:pgMar w:top="1440" w:right="1440" w:bottom="1440" w:left="1440" w:header="709" w:footer="709" w:gutter="0"/>
          <w:cols w:space="708"/>
          <w:docGrid w:linePitch="360"/>
        </w:sectPr>
      </w:pPr>
    </w:p>
    <w:p w14:paraId="0BA7C708" w14:textId="77777777" w:rsidR="00607A1F" w:rsidRDefault="00607A1F" w:rsidP="00607A1F">
      <w:pPr>
        <w:spacing w:line="480" w:lineRule="auto"/>
        <w:ind w:left="709" w:hanging="709"/>
        <w:jc w:val="center"/>
      </w:pPr>
      <w:r w:rsidRPr="00607A1F">
        <w:lastRenderedPageBreak/>
        <w:t>Figure Captions</w:t>
      </w:r>
    </w:p>
    <w:p w14:paraId="3E8B4444" w14:textId="77777777" w:rsidR="00607A1F" w:rsidRPr="00607A1F" w:rsidRDefault="00607A1F" w:rsidP="00607A1F">
      <w:pPr>
        <w:spacing w:line="480" w:lineRule="auto"/>
        <w:ind w:left="709" w:hanging="709"/>
        <w:jc w:val="center"/>
      </w:pPr>
    </w:p>
    <w:p w14:paraId="7FC6ADAE" w14:textId="77777777" w:rsidR="00607A1F" w:rsidRPr="00087471" w:rsidRDefault="00607A1F" w:rsidP="00607A1F">
      <w:pPr>
        <w:spacing w:line="480" w:lineRule="auto"/>
        <w:rPr>
          <w:rFonts w:cs="Times New Roman"/>
        </w:rPr>
      </w:pPr>
      <w:proofErr w:type="gramStart"/>
      <w:r w:rsidRPr="00D66C4B">
        <w:rPr>
          <w:rFonts w:cs="Times New Roman"/>
        </w:rPr>
        <w:t>Figure 1</w:t>
      </w:r>
      <w:r>
        <w:t>.</w:t>
      </w:r>
      <w:proofErr w:type="gramEnd"/>
      <w:r>
        <w:t xml:space="preserve"> </w:t>
      </w:r>
      <w:proofErr w:type="gramStart"/>
      <w:r>
        <w:t xml:space="preserve">Interaction graph showing the effects of drinking context and RDPs on consumption (error bars show </w:t>
      </w:r>
      <w:r>
        <w:rPr>
          <w:rFonts w:cs="Times New Roman"/>
        </w:rPr>
        <w:t>±</w:t>
      </w:r>
      <w:r>
        <w:t>1SE).</w:t>
      </w:r>
      <w:proofErr w:type="gramEnd"/>
    </w:p>
    <w:p w14:paraId="0401E945" w14:textId="77777777" w:rsidR="00607A1F" w:rsidRDefault="00607A1F" w:rsidP="00607A1F">
      <w:pPr>
        <w:spacing w:line="480" w:lineRule="auto"/>
        <w:ind w:left="709" w:hanging="709"/>
      </w:pPr>
    </w:p>
    <w:p w14:paraId="585EB5AF" w14:textId="77777777" w:rsidR="00607A1F" w:rsidRDefault="00607A1F" w:rsidP="00607A1F">
      <w:pPr>
        <w:spacing w:line="480" w:lineRule="auto"/>
      </w:pPr>
      <w:proofErr w:type="gramStart"/>
      <w:r w:rsidRPr="00D66C4B">
        <w:t>Figure 2</w:t>
      </w:r>
      <w:r w:rsidRPr="007E7B65">
        <w:t>.</w:t>
      </w:r>
      <w:proofErr w:type="gramEnd"/>
      <w:r w:rsidRPr="007E7B65">
        <w:t xml:space="preserve"> </w:t>
      </w:r>
      <w:proofErr w:type="gramStart"/>
      <w:r w:rsidRPr="007E7B65">
        <w:t>Interaction graph showing the effects of RDP and Online Information on consumption (error bars show ±1SE).</w:t>
      </w:r>
      <w:proofErr w:type="gramEnd"/>
    </w:p>
    <w:p w14:paraId="446CEE90" w14:textId="77777777" w:rsidR="00607A1F" w:rsidRDefault="00607A1F" w:rsidP="00607A1F">
      <w:pPr>
        <w:spacing w:line="480" w:lineRule="auto"/>
      </w:pPr>
    </w:p>
    <w:p w14:paraId="2208EB0C" w14:textId="77777777" w:rsidR="00607A1F" w:rsidRDefault="00607A1F" w:rsidP="00607A1F">
      <w:pPr>
        <w:spacing w:line="480" w:lineRule="auto"/>
      </w:pPr>
      <w:proofErr w:type="gramStart"/>
      <w:r>
        <w:t>Figure 3.</w:t>
      </w:r>
      <w:proofErr w:type="gramEnd"/>
      <w:r>
        <w:t xml:space="preserve"> </w:t>
      </w:r>
      <w:proofErr w:type="gramStart"/>
      <w:r>
        <w:t>Interest area locations for the DA posters.</w:t>
      </w:r>
      <w:proofErr w:type="gramEnd"/>
    </w:p>
    <w:p w14:paraId="4B2DF1F1" w14:textId="77777777" w:rsidR="00607A1F" w:rsidRDefault="00607A1F" w:rsidP="00607A1F">
      <w:pPr>
        <w:spacing w:line="480" w:lineRule="auto"/>
      </w:pPr>
    </w:p>
    <w:p w14:paraId="3CA78870" w14:textId="77777777" w:rsidR="00607A1F" w:rsidRDefault="00607A1F" w:rsidP="00607A1F">
      <w:pPr>
        <w:spacing w:line="480" w:lineRule="auto"/>
      </w:pPr>
      <w:proofErr w:type="gramStart"/>
      <w:r>
        <w:t>Figure 4.</w:t>
      </w:r>
      <w:proofErr w:type="gramEnd"/>
      <w:r>
        <w:t xml:space="preserve"> </w:t>
      </w:r>
      <w:proofErr w:type="gramStart"/>
      <w:r>
        <w:t>Interest area locations for the C4L posters.</w:t>
      </w:r>
      <w:proofErr w:type="gramEnd"/>
    </w:p>
    <w:p w14:paraId="0229FB05" w14:textId="77777777" w:rsidR="00607A1F" w:rsidRDefault="00607A1F" w:rsidP="00607A1F">
      <w:pPr>
        <w:spacing w:line="480" w:lineRule="auto"/>
      </w:pPr>
    </w:p>
    <w:p w14:paraId="1F8FA97D" w14:textId="13070C22" w:rsidR="00607A1F" w:rsidRDefault="00607A1F" w:rsidP="00607A1F">
      <w:pPr>
        <w:spacing w:line="480" w:lineRule="auto"/>
      </w:pPr>
      <w:proofErr w:type="gramStart"/>
      <w:r>
        <w:t>Figure 5.</w:t>
      </w:r>
      <w:proofErr w:type="gramEnd"/>
      <w:r>
        <w:t xml:space="preserve"> </w:t>
      </w:r>
      <w:proofErr w:type="gramStart"/>
      <w:r>
        <w:t>Proportion of initial fixatio</w:t>
      </w:r>
      <w:r w:rsidR="00936ED0">
        <w:t>ns by each interest area in the</w:t>
      </w:r>
      <w:r>
        <w:t xml:space="preserve"> DA poster condition.</w:t>
      </w:r>
      <w:proofErr w:type="gramEnd"/>
    </w:p>
    <w:p w14:paraId="6565DC81" w14:textId="77777777" w:rsidR="00607A1F" w:rsidRDefault="00607A1F" w:rsidP="00607A1F">
      <w:pPr>
        <w:spacing w:line="480" w:lineRule="auto"/>
      </w:pPr>
    </w:p>
    <w:p w14:paraId="0FC92545" w14:textId="77777777" w:rsidR="00607A1F" w:rsidRDefault="00607A1F" w:rsidP="00607A1F">
      <w:pPr>
        <w:spacing w:line="480" w:lineRule="auto"/>
      </w:pPr>
      <w:proofErr w:type="gramStart"/>
      <w:r>
        <w:t>Figure 6.</w:t>
      </w:r>
      <w:proofErr w:type="gramEnd"/>
      <w:r>
        <w:t xml:space="preserve"> </w:t>
      </w:r>
      <w:proofErr w:type="gramStart"/>
      <w:r>
        <w:t>Proportion of initial fixations by each interest area in the C4L poster condition.</w:t>
      </w:r>
      <w:proofErr w:type="gramEnd"/>
    </w:p>
    <w:p w14:paraId="32A78AD4" w14:textId="77777777" w:rsidR="00A23D6A" w:rsidRDefault="00A23D6A" w:rsidP="002939C2"/>
    <w:sectPr w:rsidR="00A23D6A" w:rsidSect="0008747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94F36" w14:textId="77777777" w:rsidR="006718E1" w:rsidRDefault="006718E1" w:rsidP="005F100D">
      <w:pPr>
        <w:spacing w:line="240" w:lineRule="auto"/>
      </w:pPr>
      <w:r>
        <w:separator/>
      </w:r>
    </w:p>
  </w:endnote>
  <w:endnote w:type="continuationSeparator" w:id="0">
    <w:p w14:paraId="4FC0F56B" w14:textId="77777777" w:rsidR="006718E1" w:rsidRDefault="006718E1" w:rsidP="005F10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Sans"/>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B83BE" w14:textId="77777777" w:rsidR="00C14805" w:rsidRDefault="00C14805" w:rsidP="005F100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7DEB7" w14:textId="77777777" w:rsidR="006718E1" w:rsidRDefault="006718E1" w:rsidP="005F100D">
      <w:pPr>
        <w:spacing w:line="240" w:lineRule="auto"/>
      </w:pPr>
      <w:r>
        <w:separator/>
      </w:r>
    </w:p>
  </w:footnote>
  <w:footnote w:type="continuationSeparator" w:id="0">
    <w:p w14:paraId="31CBBC73" w14:textId="77777777" w:rsidR="006718E1" w:rsidRDefault="006718E1" w:rsidP="005F10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0B34" w14:textId="77777777" w:rsidR="00C14805" w:rsidRDefault="00C14805" w:rsidP="00F8087D">
    <w:pPr>
      <w:pStyle w:val="Header"/>
      <w:tabs>
        <w:tab w:val="clear" w:pos="4513"/>
        <w:tab w:val="clear" w:pos="9026"/>
      </w:tabs>
      <w:jc w:val="center"/>
    </w:pPr>
    <w:r>
      <w:t xml:space="preserve">RESPONSIBLE DRINKING MESSAGES   </w:t>
    </w:r>
    <w:r>
      <w:tab/>
    </w:r>
    <w:r>
      <w:tab/>
      <w:t xml:space="preserve">                                                 </w:t>
    </w:r>
    <w:r>
      <w:fldChar w:fldCharType="begin"/>
    </w:r>
    <w:r>
      <w:instrText xml:space="preserve"> PAGE   \* MERGEFORMAT </w:instrText>
    </w:r>
    <w:r>
      <w:fldChar w:fldCharType="separate"/>
    </w:r>
    <w:r w:rsidR="00220544">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AE7"/>
    <w:multiLevelType w:val="hybridMultilevel"/>
    <w:tmpl w:val="8E74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EA0444"/>
    <w:multiLevelType w:val="hybridMultilevel"/>
    <w:tmpl w:val="CC7C6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F70EF2"/>
    <w:multiLevelType w:val="hybridMultilevel"/>
    <w:tmpl w:val="3A788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717781"/>
    <w:multiLevelType w:val="multilevel"/>
    <w:tmpl w:val="C77ECE40"/>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0503ACE"/>
    <w:multiLevelType w:val="hybridMultilevel"/>
    <w:tmpl w:val="564E8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2"/>
  </w:docVars>
  <w:rsids>
    <w:rsidRoot w:val="009168EE"/>
    <w:rsid w:val="00005E57"/>
    <w:rsid w:val="00007015"/>
    <w:rsid w:val="00012367"/>
    <w:rsid w:val="000130C5"/>
    <w:rsid w:val="00013628"/>
    <w:rsid w:val="00017B01"/>
    <w:rsid w:val="00024B1C"/>
    <w:rsid w:val="00026923"/>
    <w:rsid w:val="00027DCF"/>
    <w:rsid w:val="00030CCC"/>
    <w:rsid w:val="00036191"/>
    <w:rsid w:val="00040DE1"/>
    <w:rsid w:val="0005023C"/>
    <w:rsid w:val="00050488"/>
    <w:rsid w:val="0005691B"/>
    <w:rsid w:val="00062C58"/>
    <w:rsid w:val="00064F69"/>
    <w:rsid w:val="00070A55"/>
    <w:rsid w:val="000710D0"/>
    <w:rsid w:val="0007533D"/>
    <w:rsid w:val="00081DBA"/>
    <w:rsid w:val="00081FC6"/>
    <w:rsid w:val="00087471"/>
    <w:rsid w:val="00093BE0"/>
    <w:rsid w:val="000A1F4B"/>
    <w:rsid w:val="000B7F1A"/>
    <w:rsid w:val="000C2980"/>
    <w:rsid w:val="000D1153"/>
    <w:rsid w:val="000D1C6B"/>
    <w:rsid w:val="000D2B29"/>
    <w:rsid w:val="000D2F16"/>
    <w:rsid w:val="000D758B"/>
    <w:rsid w:val="000E745D"/>
    <w:rsid w:val="000F23A2"/>
    <w:rsid w:val="000F2934"/>
    <w:rsid w:val="000F5E30"/>
    <w:rsid w:val="000F735F"/>
    <w:rsid w:val="000F7CD5"/>
    <w:rsid w:val="00105BED"/>
    <w:rsid w:val="00107746"/>
    <w:rsid w:val="00112E47"/>
    <w:rsid w:val="001154EC"/>
    <w:rsid w:val="001163B8"/>
    <w:rsid w:val="001200DF"/>
    <w:rsid w:val="00125A98"/>
    <w:rsid w:val="001273AB"/>
    <w:rsid w:val="00127F3D"/>
    <w:rsid w:val="001312F7"/>
    <w:rsid w:val="00132E1D"/>
    <w:rsid w:val="00140430"/>
    <w:rsid w:val="00140B51"/>
    <w:rsid w:val="00141537"/>
    <w:rsid w:val="0015071B"/>
    <w:rsid w:val="00151FE1"/>
    <w:rsid w:val="0015525E"/>
    <w:rsid w:val="001646FC"/>
    <w:rsid w:val="00165D82"/>
    <w:rsid w:val="00167129"/>
    <w:rsid w:val="0017086A"/>
    <w:rsid w:val="001832F0"/>
    <w:rsid w:val="0018626B"/>
    <w:rsid w:val="00186C57"/>
    <w:rsid w:val="00196E3D"/>
    <w:rsid w:val="001971E7"/>
    <w:rsid w:val="001A3E6A"/>
    <w:rsid w:val="001A508A"/>
    <w:rsid w:val="001B2B09"/>
    <w:rsid w:val="001B3141"/>
    <w:rsid w:val="001B6F37"/>
    <w:rsid w:val="001C3B8B"/>
    <w:rsid w:val="001C464E"/>
    <w:rsid w:val="001D372B"/>
    <w:rsid w:val="001D565D"/>
    <w:rsid w:val="001D5F20"/>
    <w:rsid w:val="001D6317"/>
    <w:rsid w:val="001D6CD0"/>
    <w:rsid w:val="001E21F5"/>
    <w:rsid w:val="001E6059"/>
    <w:rsid w:val="001F4A01"/>
    <w:rsid w:val="001F7326"/>
    <w:rsid w:val="00217B41"/>
    <w:rsid w:val="00220544"/>
    <w:rsid w:val="00223FF7"/>
    <w:rsid w:val="002252E2"/>
    <w:rsid w:val="00231365"/>
    <w:rsid w:val="00246305"/>
    <w:rsid w:val="00250788"/>
    <w:rsid w:val="00252D50"/>
    <w:rsid w:val="00254005"/>
    <w:rsid w:val="00257764"/>
    <w:rsid w:val="002606DF"/>
    <w:rsid w:val="0026286D"/>
    <w:rsid w:val="00262CCE"/>
    <w:rsid w:val="00264108"/>
    <w:rsid w:val="002716DE"/>
    <w:rsid w:val="00273668"/>
    <w:rsid w:val="002817B0"/>
    <w:rsid w:val="00286007"/>
    <w:rsid w:val="002939C2"/>
    <w:rsid w:val="00297950"/>
    <w:rsid w:val="002A1B85"/>
    <w:rsid w:val="002A2529"/>
    <w:rsid w:val="002A4C51"/>
    <w:rsid w:val="002A61E3"/>
    <w:rsid w:val="002B14C6"/>
    <w:rsid w:val="002B38B8"/>
    <w:rsid w:val="002B7757"/>
    <w:rsid w:val="002C23CB"/>
    <w:rsid w:val="002D4AF6"/>
    <w:rsid w:val="002E3236"/>
    <w:rsid w:val="002E607D"/>
    <w:rsid w:val="002F6E1F"/>
    <w:rsid w:val="00304AA3"/>
    <w:rsid w:val="00310B8A"/>
    <w:rsid w:val="0031509F"/>
    <w:rsid w:val="003172EE"/>
    <w:rsid w:val="00317FA0"/>
    <w:rsid w:val="003214C9"/>
    <w:rsid w:val="003260FE"/>
    <w:rsid w:val="00326368"/>
    <w:rsid w:val="00327742"/>
    <w:rsid w:val="00331726"/>
    <w:rsid w:val="00336C8C"/>
    <w:rsid w:val="003414FC"/>
    <w:rsid w:val="00357970"/>
    <w:rsid w:val="00357A16"/>
    <w:rsid w:val="00373713"/>
    <w:rsid w:val="00382781"/>
    <w:rsid w:val="00385379"/>
    <w:rsid w:val="003857B7"/>
    <w:rsid w:val="00386494"/>
    <w:rsid w:val="00391EAB"/>
    <w:rsid w:val="003A2CF2"/>
    <w:rsid w:val="003B0251"/>
    <w:rsid w:val="003B1856"/>
    <w:rsid w:val="003B7860"/>
    <w:rsid w:val="003C180D"/>
    <w:rsid w:val="003C2B5F"/>
    <w:rsid w:val="003C4AD9"/>
    <w:rsid w:val="003C520F"/>
    <w:rsid w:val="003C73B8"/>
    <w:rsid w:val="003C7C30"/>
    <w:rsid w:val="003D1170"/>
    <w:rsid w:val="003D6F04"/>
    <w:rsid w:val="003E1D64"/>
    <w:rsid w:val="003E49C4"/>
    <w:rsid w:val="003F24F8"/>
    <w:rsid w:val="003F347C"/>
    <w:rsid w:val="003F38FB"/>
    <w:rsid w:val="003F6F54"/>
    <w:rsid w:val="00400EDA"/>
    <w:rsid w:val="004107A9"/>
    <w:rsid w:val="00411368"/>
    <w:rsid w:val="00425701"/>
    <w:rsid w:val="004330A7"/>
    <w:rsid w:val="004331C7"/>
    <w:rsid w:val="004367E2"/>
    <w:rsid w:val="00437252"/>
    <w:rsid w:val="00445670"/>
    <w:rsid w:val="00446DFE"/>
    <w:rsid w:val="00451BD1"/>
    <w:rsid w:val="00453062"/>
    <w:rsid w:val="00455CB8"/>
    <w:rsid w:val="0047128C"/>
    <w:rsid w:val="00473E81"/>
    <w:rsid w:val="00477FB4"/>
    <w:rsid w:val="004800EC"/>
    <w:rsid w:val="00485221"/>
    <w:rsid w:val="004930DA"/>
    <w:rsid w:val="004B2254"/>
    <w:rsid w:val="004B6C19"/>
    <w:rsid w:val="004C5CBB"/>
    <w:rsid w:val="004D4377"/>
    <w:rsid w:val="004D6DAD"/>
    <w:rsid w:val="004E201E"/>
    <w:rsid w:val="004E27EE"/>
    <w:rsid w:val="004E3FE9"/>
    <w:rsid w:val="004E585A"/>
    <w:rsid w:val="004F5827"/>
    <w:rsid w:val="005000B1"/>
    <w:rsid w:val="0050249C"/>
    <w:rsid w:val="005044C6"/>
    <w:rsid w:val="00505BE4"/>
    <w:rsid w:val="00510020"/>
    <w:rsid w:val="0051122A"/>
    <w:rsid w:val="00511599"/>
    <w:rsid w:val="0052119D"/>
    <w:rsid w:val="0052149C"/>
    <w:rsid w:val="0052469B"/>
    <w:rsid w:val="00530C1D"/>
    <w:rsid w:val="00535062"/>
    <w:rsid w:val="00544459"/>
    <w:rsid w:val="00547968"/>
    <w:rsid w:val="00550155"/>
    <w:rsid w:val="0055063F"/>
    <w:rsid w:val="00554953"/>
    <w:rsid w:val="00554ECD"/>
    <w:rsid w:val="00556320"/>
    <w:rsid w:val="00556A4F"/>
    <w:rsid w:val="00557651"/>
    <w:rsid w:val="00561E15"/>
    <w:rsid w:val="005625AE"/>
    <w:rsid w:val="00565517"/>
    <w:rsid w:val="00565574"/>
    <w:rsid w:val="00570C8F"/>
    <w:rsid w:val="00573439"/>
    <w:rsid w:val="0057355E"/>
    <w:rsid w:val="00580813"/>
    <w:rsid w:val="00583499"/>
    <w:rsid w:val="005843FD"/>
    <w:rsid w:val="005939D1"/>
    <w:rsid w:val="005947D9"/>
    <w:rsid w:val="005A0794"/>
    <w:rsid w:val="005A16BE"/>
    <w:rsid w:val="005B517D"/>
    <w:rsid w:val="005B5775"/>
    <w:rsid w:val="005B7BC9"/>
    <w:rsid w:val="005C2A41"/>
    <w:rsid w:val="005C5184"/>
    <w:rsid w:val="005C567B"/>
    <w:rsid w:val="005C762C"/>
    <w:rsid w:val="005D2986"/>
    <w:rsid w:val="005D5824"/>
    <w:rsid w:val="005E10AA"/>
    <w:rsid w:val="005E6675"/>
    <w:rsid w:val="005F100D"/>
    <w:rsid w:val="005F1752"/>
    <w:rsid w:val="005F4497"/>
    <w:rsid w:val="005F7204"/>
    <w:rsid w:val="00605160"/>
    <w:rsid w:val="00607A1F"/>
    <w:rsid w:val="00612043"/>
    <w:rsid w:val="00623176"/>
    <w:rsid w:val="00632C51"/>
    <w:rsid w:val="00632CB4"/>
    <w:rsid w:val="00641C7C"/>
    <w:rsid w:val="00645E48"/>
    <w:rsid w:val="00647216"/>
    <w:rsid w:val="00652920"/>
    <w:rsid w:val="00655DAB"/>
    <w:rsid w:val="0066083C"/>
    <w:rsid w:val="00663E60"/>
    <w:rsid w:val="0066691C"/>
    <w:rsid w:val="00667316"/>
    <w:rsid w:val="006674FC"/>
    <w:rsid w:val="00670B7E"/>
    <w:rsid w:val="006718E1"/>
    <w:rsid w:val="006737F9"/>
    <w:rsid w:val="00685AFC"/>
    <w:rsid w:val="006869B4"/>
    <w:rsid w:val="0068784A"/>
    <w:rsid w:val="00690228"/>
    <w:rsid w:val="00693F81"/>
    <w:rsid w:val="00697F0F"/>
    <w:rsid w:val="006A2BCE"/>
    <w:rsid w:val="006A2E31"/>
    <w:rsid w:val="006A69CF"/>
    <w:rsid w:val="006B3499"/>
    <w:rsid w:val="006B6D27"/>
    <w:rsid w:val="006C2269"/>
    <w:rsid w:val="006C2A9F"/>
    <w:rsid w:val="006D2BCB"/>
    <w:rsid w:val="006D2F3F"/>
    <w:rsid w:val="006D6203"/>
    <w:rsid w:val="006E1F2A"/>
    <w:rsid w:val="006F12D6"/>
    <w:rsid w:val="00700184"/>
    <w:rsid w:val="00700C19"/>
    <w:rsid w:val="00711DA1"/>
    <w:rsid w:val="00712507"/>
    <w:rsid w:val="00715D9D"/>
    <w:rsid w:val="00725233"/>
    <w:rsid w:val="00731536"/>
    <w:rsid w:val="00735FCE"/>
    <w:rsid w:val="00743D62"/>
    <w:rsid w:val="00745687"/>
    <w:rsid w:val="007557FD"/>
    <w:rsid w:val="0075753E"/>
    <w:rsid w:val="00766D79"/>
    <w:rsid w:val="00773322"/>
    <w:rsid w:val="007775BD"/>
    <w:rsid w:val="00784722"/>
    <w:rsid w:val="00785A4D"/>
    <w:rsid w:val="007936B9"/>
    <w:rsid w:val="007A175C"/>
    <w:rsid w:val="007A2B07"/>
    <w:rsid w:val="007B14E7"/>
    <w:rsid w:val="007B6732"/>
    <w:rsid w:val="007E59BE"/>
    <w:rsid w:val="007E5FC6"/>
    <w:rsid w:val="007E6618"/>
    <w:rsid w:val="007E6941"/>
    <w:rsid w:val="007E7B65"/>
    <w:rsid w:val="007F20B9"/>
    <w:rsid w:val="007F59B6"/>
    <w:rsid w:val="00801BB3"/>
    <w:rsid w:val="008041C5"/>
    <w:rsid w:val="0080449C"/>
    <w:rsid w:val="00806A33"/>
    <w:rsid w:val="00813EC8"/>
    <w:rsid w:val="008150C7"/>
    <w:rsid w:val="00822107"/>
    <w:rsid w:val="00831A1A"/>
    <w:rsid w:val="00831EFC"/>
    <w:rsid w:val="00832674"/>
    <w:rsid w:val="0083439A"/>
    <w:rsid w:val="00836DEA"/>
    <w:rsid w:val="0084160B"/>
    <w:rsid w:val="00841E51"/>
    <w:rsid w:val="008455A7"/>
    <w:rsid w:val="00851860"/>
    <w:rsid w:val="0086198D"/>
    <w:rsid w:val="0086314F"/>
    <w:rsid w:val="00872FA8"/>
    <w:rsid w:val="00875066"/>
    <w:rsid w:val="00884EE6"/>
    <w:rsid w:val="0088509D"/>
    <w:rsid w:val="008854D4"/>
    <w:rsid w:val="00887B50"/>
    <w:rsid w:val="0089394C"/>
    <w:rsid w:val="00894E6F"/>
    <w:rsid w:val="00894EB3"/>
    <w:rsid w:val="0089587F"/>
    <w:rsid w:val="00895BE9"/>
    <w:rsid w:val="008A1E70"/>
    <w:rsid w:val="008A38DA"/>
    <w:rsid w:val="008B6854"/>
    <w:rsid w:val="008C7895"/>
    <w:rsid w:val="008D04F4"/>
    <w:rsid w:val="008D631D"/>
    <w:rsid w:val="008E2DCC"/>
    <w:rsid w:val="008E32CB"/>
    <w:rsid w:val="008E3633"/>
    <w:rsid w:val="008E45F4"/>
    <w:rsid w:val="008E5332"/>
    <w:rsid w:val="008F09DB"/>
    <w:rsid w:val="008F11FC"/>
    <w:rsid w:val="008F2F3C"/>
    <w:rsid w:val="008F35ED"/>
    <w:rsid w:val="008F3A70"/>
    <w:rsid w:val="009013C8"/>
    <w:rsid w:val="00903751"/>
    <w:rsid w:val="00906A4D"/>
    <w:rsid w:val="00911CAF"/>
    <w:rsid w:val="009134E8"/>
    <w:rsid w:val="0091373E"/>
    <w:rsid w:val="009153CA"/>
    <w:rsid w:val="009168EE"/>
    <w:rsid w:val="00920222"/>
    <w:rsid w:val="00933473"/>
    <w:rsid w:val="00936ED0"/>
    <w:rsid w:val="00942BFD"/>
    <w:rsid w:val="009456F7"/>
    <w:rsid w:val="00953E50"/>
    <w:rsid w:val="0096213E"/>
    <w:rsid w:val="00962150"/>
    <w:rsid w:val="009652EA"/>
    <w:rsid w:val="009654CB"/>
    <w:rsid w:val="009659D3"/>
    <w:rsid w:val="009713B8"/>
    <w:rsid w:val="00972D51"/>
    <w:rsid w:val="00975A7A"/>
    <w:rsid w:val="00976A44"/>
    <w:rsid w:val="00980C1E"/>
    <w:rsid w:val="00983644"/>
    <w:rsid w:val="009A5341"/>
    <w:rsid w:val="009B2B48"/>
    <w:rsid w:val="009B7D2E"/>
    <w:rsid w:val="009B7E03"/>
    <w:rsid w:val="009C020B"/>
    <w:rsid w:val="009C2EC2"/>
    <w:rsid w:val="009D4B22"/>
    <w:rsid w:val="009D5CEF"/>
    <w:rsid w:val="009D6896"/>
    <w:rsid w:val="009D6A2C"/>
    <w:rsid w:val="009E19D4"/>
    <w:rsid w:val="009E38BF"/>
    <w:rsid w:val="009E433B"/>
    <w:rsid w:val="009E6900"/>
    <w:rsid w:val="009F18D4"/>
    <w:rsid w:val="00A02EF6"/>
    <w:rsid w:val="00A12752"/>
    <w:rsid w:val="00A13033"/>
    <w:rsid w:val="00A17AFE"/>
    <w:rsid w:val="00A20165"/>
    <w:rsid w:val="00A21CDA"/>
    <w:rsid w:val="00A21D11"/>
    <w:rsid w:val="00A23D6A"/>
    <w:rsid w:val="00A31941"/>
    <w:rsid w:val="00A3269D"/>
    <w:rsid w:val="00A54586"/>
    <w:rsid w:val="00A55FBD"/>
    <w:rsid w:val="00A6241F"/>
    <w:rsid w:val="00A634C0"/>
    <w:rsid w:val="00A63682"/>
    <w:rsid w:val="00A63955"/>
    <w:rsid w:val="00A96C8A"/>
    <w:rsid w:val="00AA4C3B"/>
    <w:rsid w:val="00AB4A75"/>
    <w:rsid w:val="00AC0BA1"/>
    <w:rsid w:val="00AC5604"/>
    <w:rsid w:val="00AD1047"/>
    <w:rsid w:val="00AD16C8"/>
    <w:rsid w:val="00AD4B3E"/>
    <w:rsid w:val="00AD6020"/>
    <w:rsid w:val="00AE1824"/>
    <w:rsid w:val="00AE3FE3"/>
    <w:rsid w:val="00AE6369"/>
    <w:rsid w:val="00AE7BAD"/>
    <w:rsid w:val="00AF0202"/>
    <w:rsid w:val="00AF0B38"/>
    <w:rsid w:val="00AF4471"/>
    <w:rsid w:val="00B0261A"/>
    <w:rsid w:val="00B02FAB"/>
    <w:rsid w:val="00B11E25"/>
    <w:rsid w:val="00B12DC7"/>
    <w:rsid w:val="00B13714"/>
    <w:rsid w:val="00B1559D"/>
    <w:rsid w:val="00B15C09"/>
    <w:rsid w:val="00B243AD"/>
    <w:rsid w:val="00B3020F"/>
    <w:rsid w:val="00B3323A"/>
    <w:rsid w:val="00B33576"/>
    <w:rsid w:val="00B35A7E"/>
    <w:rsid w:val="00B36FF8"/>
    <w:rsid w:val="00B42FB0"/>
    <w:rsid w:val="00B53260"/>
    <w:rsid w:val="00B5598A"/>
    <w:rsid w:val="00B63676"/>
    <w:rsid w:val="00B67734"/>
    <w:rsid w:val="00B76DE8"/>
    <w:rsid w:val="00B80159"/>
    <w:rsid w:val="00B854C5"/>
    <w:rsid w:val="00B86526"/>
    <w:rsid w:val="00B865CB"/>
    <w:rsid w:val="00B90A76"/>
    <w:rsid w:val="00B974CB"/>
    <w:rsid w:val="00BA3CD6"/>
    <w:rsid w:val="00BC2AFC"/>
    <w:rsid w:val="00BC364A"/>
    <w:rsid w:val="00BC3F76"/>
    <w:rsid w:val="00BC4070"/>
    <w:rsid w:val="00BC4658"/>
    <w:rsid w:val="00BC4F25"/>
    <w:rsid w:val="00BE02F9"/>
    <w:rsid w:val="00BE37EA"/>
    <w:rsid w:val="00BE6CAB"/>
    <w:rsid w:val="00BF5B79"/>
    <w:rsid w:val="00C07845"/>
    <w:rsid w:val="00C07AB0"/>
    <w:rsid w:val="00C12724"/>
    <w:rsid w:val="00C14805"/>
    <w:rsid w:val="00C177F4"/>
    <w:rsid w:val="00C27A1A"/>
    <w:rsid w:val="00C33862"/>
    <w:rsid w:val="00C41ACD"/>
    <w:rsid w:val="00C428C9"/>
    <w:rsid w:val="00C457C3"/>
    <w:rsid w:val="00C511B4"/>
    <w:rsid w:val="00C51EB2"/>
    <w:rsid w:val="00C62CE3"/>
    <w:rsid w:val="00C662B0"/>
    <w:rsid w:val="00C771F1"/>
    <w:rsid w:val="00C81CC5"/>
    <w:rsid w:val="00C941AE"/>
    <w:rsid w:val="00C97BD5"/>
    <w:rsid w:val="00CA4BFC"/>
    <w:rsid w:val="00CB10A5"/>
    <w:rsid w:val="00CB2E85"/>
    <w:rsid w:val="00CB300B"/>
    <w:rsid w:val="00CB5E4C"/>
    <w:rsid w:val="00CC36EE"/>
    <w:rsid w:val="00CC5085"/>
    <w:rsid w:val="00CD116F"/>
    <w:rsid w:val="00CE2504"/>
    <w:rsid w:val="00CE5311"/>
    <w:rsid w:val="00CE7999"/>
    <w:rsid w:val="00CF4E3D"/>
    <w:rsid w:val="00CF61D3"/>
    <w:rsid w:val="00D00A55"/>
    <w:rsid w:val="00D033F0"/>
    <w:rsid w:val="00D2025A"/>
    <w:rsid w:val="00D20D68"/>
    <w:rsid w:val="00D22382"/>
    <w:rsid w:val="00D23C66"/>
    <w:rsid w:val="00D247DD"/>
    <w:rsid w:val="00D26DA7"/>
    <w:rsid w:val="00D2730F"/>
    <w:rsid w:val="00D306AD"/>
    <w:rsid w:val="00D43751"/>
    <w:rsid w:val="00D46A19"/>
    <w:rsid w:val="00D5600D"/>
    <w:rsid w:val="00D61FD8"/>
    <w:rsid w:val="00D625E9"/>
    <w:rsid w:val="00D63C7F"/>
    <w:rsid w:val="00D64065"/>
    <w:rsid w:val="00D65D1B"/>
    <w:rsid w:val="00D66482"/>
    <w:rsid w:val="00D66C4B"/>
    <w:rsid w:val="00D7732D"/>
    <w:rsid w:val="00D841CF"/>
    <w:rsid w:val="00D91D29"/>
    <w:rsid w:val="00D96963"/>
    <w:rsid w:val="00DA3A49"/>
    <w:rsid w:val="00DC2F86"/>
    <w:rsid w:val="00DC36D8"/>
    <w:rsid w:val="00DC4A54"/>
    <w:rsid w:val="00DC508D"/>
    <w:rsid w:val="00DC64BB"/>
    <w:rsid w:val="00DC70FB"/>
    <w:rsid w:val="00DD5609"/>
    <w:rsid w:val="00DE37B7"/>
    <w:rsid w:val="00DE3A5B"/>
    <w:rsid w:val="00DE52D6"/>
    <w:rsid w:val="00DF007C"/>
    <w:rsid w:val="00DF5654"/>
    <w:rsid w:val="00DF5971"/>
    <w:rsid w:val="00DF6B94"/>
    <w:rsid w:val="00E06353"/>
    <w:rsid w:val="00E06BD4"/>
    <w:rsid w:val="00E23AB9"/>
    <w:rsid w:val="00E30060"/>
    <w:rsid w:val="00E32614"/>
    <w:rsid w:val="00E337BC"/>
    <w:rsid w:val="00E3414C"/>
    <w:rsid w:val="00E41F99"/>
    <w:rsid w:val="00E43991"/>
    <w:rsid w:val="00E46EAA"/>
    <w:rsid w:val="00E50784"/>
    <w:rsid w:val="00E5598E"/>
    <w:rsid w:val="00E65232"/>
    <w:rsid w:val="00E75695"/>
    <w:rsid w:val="00E76852"/>
    <w:rsid w:val="00E772DE"/>
    <w:rsid w:val="00E91D3F"/>
    <w:rsid w:val="00E92FCF"/>
    <w:rsid w:val="00EA0A5A"/>
    <w:rsid w:val="00EA2850"/>
    <w:rsid w:val="00EA7FE6"/>
    <w:rsid w:val="00EB771D"/>
    <w:rsid w:val="00EC621B"/>
    <w:rsid w:val="00EC7D09"/>
    <w:rsid w:val="00ED123F"/>
    <w:rsid w:val="00ED7DD0"/>
    <w:rsid w:val="00EE07CD"/>
    <w:rsid w:val="00EE38D2"/>
    <w:rsid w:val="00EE5C1B"/>
    <w:rsid w:val="00F1163E"/>
    <w:rsid w:val="00F214D9"/>
    <w:rsid w:val="00F239A6"/>
    <w:rsid w:val="00F24120"/>
    <w:rsid w:val="00F259EB"/>
    <w:rsid w:val="00F27837"/>
    <w:rsid w:val="00F33A9A"/>
    <w:rsid w:val="00F4371F"/>
    <w:rsid w:val="00F43DA5"/>
    <w:rsid w:val="00F533EA"/>
    <w:rsid w:val="00F548AA"/>
    <w:rsid w:val="00F5576E"/>
    <w:rsid w:val="00F566E3"/>
    <w:rsid w:val="00F66624"/>
    <w:rsid w:val="00F706E6"/>
    <w:rsid w:val="00F741D3"/>
    <w:rsid w:val="00F77954"/>
    <w:rsid w:val="00F8087D"/>
    <w:rsid w:val="00F82A7A"/>
    <w:rsid w:val="00F85302"/>
    <w:rsid w:val="00F93ED6"/>
    <w:rsid w:val="00F950E0"/>
    <w:rsid w:val="00F95464"/>
    <w:rsid w:val="00F975FB"/>
    <w:rsid w:val="00FA0331"/>
    <w:rsid w:val="00FB0701"/>
    <w:rsid w:val="00FB0D28"/>
    <w:rsid w:val="00FB2961"/>
    <w:rsid w:val="00FB48E9"/>
    <w:rsid w:val="00FB58A9"/>
    <w:rsid w:val="00FB58E7"/>
    <w:rsid w:val="00FC0304"/>
    <w:rsid w:val="00FC0434"/>
    <w:rsid w:val="00FC1577"/>
    <w:rsid w:val="00FD76C4"/>
    <w:rsid w:val="00FE197E"/>
    <w:rsid w:val="00FF2E9C"/>
    <w:rsid w:val="00FF3632"/>
    <w:rsid w:val="00FF5CEA"/>
    <w:rsid w:val="00FF6544"/>
    <w:rsid w:val="00FF78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3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01"/>
    <w:pPr>
      <w:spacing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68EE"/>
    <w:rPr>
      <w:rFonts w:cs="Times New Roman"/>
      <w:color w:val="0000FF"/>
      <w:u w:val="single"/>
    </w:rPr>
  </w:style>
  <w:style w:type="table" w:styleId="TableGrid">
    <w:name w:val="Table Grid"/>
    <w:basedOn w:val="TableNormal"/>
    <w:uiPriority w:val="59"/>
    <w:rsid w:val="00AC56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F100D"/>
    <w:pPr>
      <w:tabs>
        <w:tab w:val="center" w:pos="4513"/>
        <w:tab w:val="right" w:pos="9026"/>
      </w:tabs>
      <w:spacing w:line="240" w:lineRule="auto"/>
    </w:pPr>
  </w:style>
  <w:style w:type="character" w:customStyle="1" w:styleId="HeaderChar">
    <w:name w:val="Header Char"/>
    <w:basedOn w:val="DefaultParagraphFont"/>
    <w:link w:val="Header"/>
    <w:uiPriority w:val="99"/>
    <w:locked/>
    <w:rsid w:val="005F100D"/>
    <w:rPr>
      <w:rFonts w:cs="Times New Roman"/>
    </w:rPr>
  </w:style>
  <w:style w:type="paragraph" w:styleId="Footer">
    <w:name w:val="footer"/>
    <w:basedOn w:val="Normal"/>
    <w:link w:val="FooterChar"/>
    <w:uiPriority w:val="99"/>
    <w:rsid w:val="005F100D"/>
    <w:pPr>
      <w:tabs>
        <w:tab w:val="center" w:pos="4513"/>
        <w:tab w:val="right" w:pos="9026"/>
      </w:tabs>
      <w:spacing w:line="240" w:lineRule="auto"/>
    </w:pPr>
  </w:style>
  <w:style w:type="character" w:customStyle="1" w:styleId="FooterChar">
    <w:name w:val="Footer Char"/>
    <w:basedOn w:val="DefaultParagraphFont"/>
    <w:link w:val="Footer"/>
    <w:uiPriority w:val="99"/>
    <w:locked/>
    <w:rsid w:val="005F100D"/>
    <w:rPr>
      <w:rFonts w:cs="Times New Roman"/>
    </w:rPr>
  </w:style>
  <w:style w:type="paragraph" w:styleId="BalloonText">
    <w:name w:val="Balloon Text"/>
    <w:basedOn w:val="Normal"/>
    <w:link w:val="BalloonTextChar"/>
    <w:uiPriority w:val="99"/>
    <w:semiHidden/>
    <w:rsid w:val="0041136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1368"/>
    <w:rPr>
      <w:rFonts w:ascii="Lucida Grande" w:hAnsi="Lucida Grande" w:cs="Lucida Grande"/>
      <w:sz w:val="18"/>
      <w:szCs w:val="18"/>
    </w:rPr>
  </w:style>
  <w:style w:type="character" w:styleId="CommentReference">
    <w:name w:val="annotation reference"/>
    <w:basedOn w:val="DefaultParagraphFont"/>
    <w:uiPriority w:val="99"/>
    <w:semiHidden/>
    <w:rsid w:val="00FF5CEA"/>
    <w:rPr>
      <w:rFonts w:cs="Times New Roman"/>
      <w:sz w:val="18"/>
      <w:szCs w:val="18"/>
    </w:rPr>
  </w:style>
  <w:style w:type="paragraph" w:styleId="CommentText">
    <w:name w:val="annotation text"/>
    <w:basedOn w:val="Normal"/>
    <w:link w:val="CommentTextChar"/>
    <w:uiPriority w:val="99"/>
    <w:semiHidden/>
    <w:rsid w:val="00FF5CEA"/>
    <w:pPr>
      <w:spacing w:line="240" w:lineRule="auto"/>
    </w:pPr>
  </w:style>
  <w:style w:type="character" w:customStyle="1" w:styleId="CommentTextChar">
    <w:name w:val="Comment Text Char"/>
    <w:basedOn w:val="DefaultParagraphFont"/>
    <w:link w:val="CommentText"/>
    <w:uiPriority w:val="99"/>
    <w:semiHidden/>
    <w:locked/>
    <w:rsid w:val="00FF5CEA"/>
    <w:rPr>
      <w:rFonts w:cs="Times New Roman"/>
    </w:rPr>
  </w:style>
  <w:style w:type="paragraph" w:styleId="CommentSubject">
    <w:name w:val="annotation subject"/>
    <w:basedOn w:val="CommentText"/>
    <w:next w:val="CommentText"/>
    <w:link w:val="CommentSubjectChar"/>
    <w:uiPriority w:val="99"/>
    <w:semiHidden/>
    <w:rsid w:val="00FF5CEA"/>
    <w:rPr>
      <w:b/>
      <w:bCs/>
      <w:sz w:val="20"/>
      <w:szCs w:val="20"/>
    </w:rPr>
  </w:style>
  <w:style w:type="character" w:customStyle="1" w:styleId="CommentSubjectChar">
    <w:name w:val="Comment Subject Char"/>
    <w:basedOn w:val="CommentTextChar"/>
    <w:link w:val="CommentSubject"/>
    <w:uiPriority w:val="99"/>
    <w:semiHidden/>
    <w:locked/>
    <w:rsid w:val="00FF5CEA"/>
    <w:rPr>
      <w:rFonts w:cs="Times New Roman"/>
      <w:b/>
      <w:bCs/>
      <w:sz w:val="20"/>
      <w:szCs w:val="20"/>
    </w:rPr>
  </w:style>
  <w:style w:type="paragraph" w:styleId="FootnoteText">
    <w:name w:val="footnote text"/>
    <w:basedOn w:val="Normal"/>
    <w:link w:val="FootnoteTextChar"/>
    <w:uiPriority w:val="99"/>
    <w:semiHidden/>
    <w:rsid w:val="00735FCE"/>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735FCE"/>
    <w:rPr>
      <w:rFonts w:cs="Times New Roman"/>
      <w:sz w:val="20"/>
      <w:szCs w:val="20"/>
    </w:rPr>
  </w:style>
  <w:style w:type="character" w:styleId="FootnoteReference">
    <w:name w:val="footnote reference"/>
    <w:basedOn w:val="DefaultParagraphFont"/>
    <w:uiPriority w:val="99"/>
    <w:semiHidden/>
    <w:rsid w:val="00735FCE"/>
    <w:rPr>
      <w:rFonts w:cs="Times New Roman"/>
      <w:vertAlign w:val="superscript"/>
    </w:rPr>
  </w:style>
  <w:style w:type="paragraph" w:styleId="Revision">
    <w:name w:val="Revision"/>
    <w:hidden/>
    <w:uiPriority w:val="99"/>
    <w:semiHidden/>
    <w:rsid w:val="009B2B48"/>
    <w:rPr>
      <w:sz w:val="24"/>
      <w:szCs w:val="24"/>
      <w:lang w:eastAsia="en-US"/>
    </w:rPr>
  </w:style>
  <w:style w:type="character" w:styleId="FollowedHyperlink">
    <w:name w:val="FollowedHyperlink"/>
    <w:basedOn w:val="DefaultParagraphFont"/>
    <w:uiPriority w:val="99"/>
    <w:semiHidden/>
    <w:unhideWhenUsed/>
    <w:rsid w:val="00F533EA"/>
    <w:rPr>
      <w:color w:val="800080" w:themeColor="followedHyperlink"/>
      <w:u w:val="single"/>
    </w:rPr>
  </w:style>
  <w:style w:type="paragraph" w:styleId="ListParagraph">
    <w:name w:val="List Paragraph"/>
    <w:basedOn w:val="Normal"/>
    <w:uiPriority w:val="34"/>
    <w:qFormat/>
    <w:rsid w:val="00C51EB2"/>
    <w:pPr>
      <w:ind w:left="720"/>
      <w:contextualSpacing/>
    </w:pPr>
  </w:style>
  <w:style w:type="paragraph" w:styleId="NormalWeb">
    <w:name w:val="Normal (Web)"/>
    <w:basedOn w:val="Normal"/>
    <w:uiPriority w:val="99"/>
    <w:semiHidden/>
    <w:unhideWhenUsed/>
    <w:rsid w:val="008041C5"/>
    <w:pPr>
      <w:spacing w:before="100" w:beforeAutospacing="1" w:after="100" w:afterAutospacing="1" w:line="240" w:lineRule="auto"/>
    </w:pPr>
    <w:rPr>
      <w:rFonts w:eastAsiaTheme="minorEastAsia"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01"/>
    <w:pPr>
      <w:spacing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68EE"/>
    <w:rPr>
      <w:rFonts w:cs="Times New Roman"/>
      <w:color w:val="0000FF"/>
      <w:u w:val="single"/>
    </w:rPr>
  </w:style>
  <w:style w:type="table" w:styleId="TableGrid">
    <w:name w:val="Table Grid"/>
    <w:basedOn w:val="TableNormal"/>
    <w:uiPriority w:val="59"/>
    <w:rsid w:val="00AC56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F100D"/>
    <w:pPr>
      <w:tabs>
        <w:tab w:val="center" w:pos="4513"/>
        <w:tab w:val="right" w:pos="9026"/>
      </w:tabs>
      <w:spacing w:line="240" w:lineRule="auto"/>
    </w:pPr>
  </w:style>
  <w:style w:type="character" w:customStyle="1" w:styleId="HeaderChar">
    <w:name w:val="Header Char"/>
    <w:basedOn w:val="DefaultParagraphFont"/>
    <w:link w:val="Header"/>
    <w:uiPriority w:val="99"/>
    <w:locked/>
    <w:rsid w:val="005F100D"/>
    <w:rPr>
      <w:rFonts w:cs="Times New Roman"/>
    </w:rPr>
  </w:style>
  <w:style w:type="paragraph" w:styleId="Footer">
    <w:name w:val="footer"/>
    <w:basedOn w:val="Normal"/>
    <w:link w:val="FooterChar"/>
    <w:uiPriority w:val="99"/>
    <w:rsid w:val="005F100D"/>
    <w:pPr>
      <w:tabs>
        <w:tab w:val="center" w:pos="4513"/>
        <w:tab w:val="right" w:pos="9026"/>
      </w:tabs>
      <w:spacing w:line="240" w:lineRule="auto"/>
    </w:pPr>
  </w:style>
  <w:style w:type="character" w:customStyle="1" w:styleId="FooterChar">
    <w:name w:val="Footer Char"/>
    <w:basedOn w:val="DefaultParagraphFont"/>
    <w:link w:val="Footer"/>
    <w:uiPriority w:val="99"/>
    <w:locked/>
    <w:rsid w:val="005F100D"/>
    <w:rPr>
      <w:rFonts w:cs="Times New Roman"/>
    </w:rPr>
  </w:style>
  <w:style w:type="paragraph" w:styleId="BalloonText">
    <w:name w:val="Balloon Text"/>
    <w:basedOn w:val="Normal"/>
    <w:link w:val="BalloonTextChar"/>
    <w:uiPriority w:val="99"/>
    <w:semiHidden/>
    <w:rsid w:val="0041136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1368"/>
    <w:rPr>
      <w:rFonts w:ascii="Lucida Grande" w:hAnsi="Lucida Grande" w:cs="Lucida Grande"/>
      <w:sz w:val="18"/>
      <w:szCs w:val="18"/>
    </w:rPr>
  </w:style>
  <w:style w:type="character" w:styleId="CommentReference">
    <w:name w:val="annotation reference"/>
    <w:basedOn w:val="DefaultParagraphFont"/>
    <w:uiPriority w:val="99"/>
    <w:semiHidden/>
    <w:rsid w:val="00FF5CEA"/>
    <w:rPr>
      <w:rFonts w:cs="Times New Roman"/>
      <w:sz w:val="18"/>
      <w:szCs w:val="18"/>
    </w:rPr>
  </w:style>
  <w:style w:type="paragraph" w:styleId="CommentText">
    <w:name w:val="annotation text"/>
    <w:basedOn w:val="Normal"/>
    <w:link w:val="CommentTextChar"/>
    <w:uiPriority w:val="99"/>
    <w:semiHidden/>
    <w:rsid w:val="00FF5CEA"/>
    <w:pPr>
      <w:spacing w:line="240" w:lineRule="auto"/>
    </w:pPr>
  </w:style>
  <w:style w:type="character" w:customStyle="1" w:styleId="CommentTextChar">
    <w:name w:val="Comment Text Char"/>
    <w:basedOn w:val="DefaultParagraphFont"/>
    <w:link w:val="CommentText"/>
    <w:uiPriority w:val="99"/>
    <w:semiHidden/>
    <w:locked/>
    <w:rsid w:val="00FF5CEA"/>
    <w:rPr>
      <w:rFonts w:cs="Times New Roman"/>
    </w:rPr>
  </w:style>
  <w:style w:type="paragraph" w:styleId="CommentSubject">
    <w:name w:val="annotation subject"/>
    <w:basedOn w:val="CommentText"/>
    <w:next w:val="CommentText"/>
    <w:link w:val="CommentSubjectChar"/>
    <w:uiPriority w:val="99"/>
    <w:semiHidden/>
    <w:rsid w:val="00FF5CEA"/>
    <w:rPr>
      <w:b/>
      <w:bCs/>
      <w:sz w:val="20"/>
      <w:szCs w:val="20"/>
    </w:rPr>
  </w:style>
  <w:style w:type="character" w:customStyle="1" w:styleId="CommentSubjectChar">
    <w:name w:val="Comment Subject Char"/>
    <w:basedOn w:val="CommentTextChar"/>
    <w:link w:val="CommentSubject"/>
    <w:uiPriority w:val="99"/>
    <w:semiHidden/>
    <w:locked/>
    <w:rsid w:val="00FF5CEA"/>
    <w:rPr>
      <w:rFonts w:cs="Times New Roman"/>
      <w:b/>
      <w:bCs/>
      <w:sz w:val="20"/>
      <w:szCs w:val="20"/>
    </w:rPr>
  </w:style>
  <w:style w:type="paragraph" w:styleId="FootnoteText">
    <w:name w:val="footnote text"/>
    <w:basedOn w:val="Normal"/>
    <w:link w:val="FootnoteTextChar"/>
    <w:uiPriority w:val="99"/>
    <w:semiHidden/>
    <w:rsid w:val="00735FCE"/>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735FCE"/>
    <w:rPr>
      <w:rFonts w:cs="Times New Roman"/>
      <w:sz w:val="20"/>
      <w:szCs w:val="20"/>
    </w:rPr>
  </w:style>
  <w:style w:type="character" w:styleId="FootnoteReference">
    <w:name w:val="footnote reference"/>
    <w:basedOn w:val="DefaultParagraphFont"/>
    <w:uiPriority w:val="99"/>
    <w:semiHidden/>
    <w:rsid w:val="00735FCE"/>
    <w:rPr>
      <w:rFonts w:cs="Times New Roman"/>
      <w:vertAlign w:val="superscript"/>
    </w:rPr>
  </w:style>
  <w:style w:type="paragraph" w:styleId="Revision">
    <w:name w:val="Revision"/>
    <w:hidden/>
    <w:uiPriority w:val="99"/>
    <w:semiHidden/>
    <w:rsid w:val="009B2B48"/>
    <w:rPr>
      <w:sz w:val="24"/>
      <w:szCs w:val="24"/>
      <w:lang w:eastAsia="en-US"/>
    </w:rPr>
  </w:style>
  <w:style w:type="character" w:styleId="FollowedHyperlink">
    <w:name w:val="FollowedHyperlink"/>
    <w:basedOn w:val="DefaultParagraphFont"/>
    <w:uiPriority w:val="99"/>
    <w:semiHidden/>
    <w:unhideWhenUsed/>
    <w:rsid w:val="00F533EA"/>
    <w:rPr>
      <w:color w:val="800080" w:themeColor="followedHyperlink"/>
      <w:u w:val="single"/>
    </w:rPr>
  </w:style>
  <w:style w:type="paragraph" w:styleId="ListParagraph">
    <w:name w:val="List Paragraph"/>
    <w:basedOn w:val="Normal"/>
    <w:uiPriority w:val="34"/>
    <w:qFormat/>
    <w:rsid w:val="00C51EB2"/>
    <w:pPr>
      <w:ind w:left="720"/>
      <w:contextualSpacing/>
    </w:pPr>
  </w:style>
  <w:style w:type="paragraph" w:styleId="NormalWeb">
    <w:name w:val="Normal (Web)"/>
    <w:basedOn w:val="Normal"/>
    <w:uiPriority w:val="99"/>
    <w:semiHidden/>
    <w:unhideWhenUsed/>
    <w:rsid w:val="008041C5"/>
    <w:pPr>
      <w:spacing w:before="100" w:beforeAutospacing="1" w:after="100" w:afterAutospacing="1" w:line="240" w:lineRule="auto"/>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7603">
      <w:bodyDiv w:val="1"/>
      <w:marLeft w:val="0"/>
      <w:marRight w:val="0"/>
      <w:marTop w:val="0"/>
      <w:marBottom w:val="0"/>
      <w:divBdr>
        <w:top w:val="none" w:sz="0" w:space="0" w:color="auto"/>
        <w:left w:val="none" w:sz="0" w:space="0" w:color="auto"/>
        <w:bottom w:val="none" w:sz="0" w:space="0" w:color="auto"/>
        <w:right w:val="none" w:sz="0" w:space="0" w:color="auto"/>
      </w:divBdr>
    </w:div>
    <w:div w:id="134837378">
      <w:bodyDiv w:val="1"/>
      <w:marLeft w:val="0"/>
      <w:marRight w:val="0"/>
      <w:marTop w:val="0"/>
      <w:marBottom w:val="0"/>
      <w:divBdr>
        <w:top w:val="none" w:sz="0" w:space="0" w:color="auto"/>
        <w:left w:val="none" w:sz="0" w:space="0" w:color="auto"/>
        <w:bottom w:val="none" w:sz="0" w:space="0" w:color="auto"/>
        <w:right w:val="none" w:sz="0" w:space="0" w:color="auto"/>
      </w:divBdr>
    </w:div>
    <w:div w:id="296497484">
      <w:bodyDiv w:val="1"/>
      <w:marLeft w:val="0"/>
      <w:marRight w:val="0"/>
      <w:marTop w:val="0"/>
      <w:marBottom w:val="0"/>
      <w:divBdr>
        <w:top w:val="none" w:sz="0" w:space="0" w:color="auto"/>
        <w:left w:val="none" w:sz="0" w:space="0" w:color="auto"/>
        <w:bottom w:val="none" w:sz="0" w:space="0" w:color="auto"/>
        <w:right w:val="none" w:sz="0" w:space="0" w:color="auto"/>
      </w:divBdr>
    </w:div>
    <w:div w:id="727340027">
      <w:bodyDiv w:val="1"/>
      <w:marLeft w:val="0"/>
      <w:marRight w:val="0"/>
      <w:marTop w:val="0"/>
      <w:marBottom w:val="0"/>
      <w:divBdr>
        <w:top w:val="none" w:sz="0" w:space="0" w:color="auto"/>
        <w:left w:val="none" w:sz="0" w:space="0" w:color="auto"/>
        <w:bottom w:val="none" w:sz="0" w:space="0" w:color="auto"/>
        <w:right w:val="none" w:sz="0" w:space="0" w:color="auto"/>
      </w:divBdr>
    </w:div>
    <w:div w:id="768811132">
      <w:bodyDiv w:val="1"/>
      <w:marLeft w:val="0"/>
      <w:marRight w:val="0"/>
      <w:marTop w:val="0"/>
      <w:marBottom w:val="0"/>
      <w:divBdr>
        <w:top w:val="none" w:sz="0" w:space="0" w:color="auto"/>
        <w:left w:val="none" w:sz="0" w:space="0" w:color="auto"/>
        <w:bottom w:val="none" w:sz="0" w:space="0" w:color="auto"/>
        <w:right w:val="none" w:sz="0" w:space="0" w:color="auto"/>
      </w:divBdr>
    </w:div>
    <w:div w:id="848444386">
      <w:bodyDiv w:val="1"/>
      <w:marLeft w:val="0"/>
      <w:marRight w:val="0"/>
      <w:marTop w:val="0"/>
      <w:marBottom w:val="0"/>
      <w:divBdr>
        <w:top w:val="none" w:sz="0" w:space="0" w:color="auto"/>
        <w:left w:val="none" w:sz="0" w:space="0" w:color="auto"/>
        <w:bottom w:val="none" w:sz="0" w:space="0" w:color="auto"/>
        <w:right w:val="none" w:sz="0" w:space="0" w:color="auto"/>
      </w:divBdr>
    </w:div>
    <w:div w:id="970860944">
      <w:marLeft w:val="0"/>
      <w:marRight w:val="0"/>
      <w:marTop w:val="0"/>
      <w:marBottom w:val="0"/>
      <w:divBdr>
        <w:top w:val="none" w:sz="0" w:space="0" w:color="auto"/>
        <w:left w:val="none" w:sz="0" w:space="0" w:color="auto"/>
        <w:bottom w:val="none" w:sz="0" w:space="0" w:color="auto"/>
        <w:right w:val="none" w:sz="0" w:space="0" w:color="auto"/>
      </w:divBdr>
    </w:div>
    <w:div w:id="970860945">
      <w:marLeft w:val="0"/>
      <w:marRight w:val="0"/>
      <w:marTop w:val="0"/>
      <w:marBottom w:val="0"/>
      <w:divBdr>
        <w:top w:val="none" w:sz="0" w:space="0" w:color="auto"/>
        <w:left w:val="none" w:sz="0" w:space="0" w:color="auto"/>
        <w:bottom w:val="none" w:sz="0" w:space="0" w:color="auto"/>
        <w:right w:val="none" w:sz="0" w:space="0" w:color="auto"/>
      </w:divBdr>
    </w:div>
    <w:div w:id="1016150207">
      <w:bodyDiv w:val="1"/>
      <w:marLeft w:val="0"/>
      <w:marRight w:val="0"/>
      <w:marTop w:val="0"/>
      <w:marBottom w:val="0"/>
      <w:divBdr>
        <w:top w:val="none" w:sz="0" w:space="0" w:color="auto"/>
        <w:left w:val="none" w:sz="0" w:space="0" w:color="auto"/>
        <w:bottom w:val="none" w:sz="0" w:space="0" w:color="auto"/>
        <w:right w:val="none" w:sz="0" w:space="0" w:color="auto"/>
      </w:divBdr>
      <w:divsChild>
        <w:div w:id="2439754">
          <w:marLeft w:val="0"/>
          <w:marRight w:val="0"/>
          <w:marTop w:val="0"/>
          <w:marBottom w:val="0"/>
          <w:divBdr>
            <w:top w:val="none" w:sz="0" w:space="0" w:color="auto"/>
            <w:left w:val="none" w:sz="0" w:space="0" w:color="auto"/>
            <w:bottom w:val="none" w:sz="0" w:space="0" w:color="auto"/>
            <w:right w:val="none" w:sz="0" w:space="0" w:color="auto"/>
          </w:divBdr>
        </w:div>
      </w:divsChild>
    </w:div>
    <w:div w:id="1408502055">
      <w:bodyDiv w:val="1"/>
      <w:marLeft w:val="0"/>
      <w:marRight w:val="0"/>
      <w:marTop w:val="0"/>
      <w:marBottom w:val="0"/>
      <w:divBdr>
        <w:top w:val="none" w:sz="0" w:space="0" w:color="auto"/>
        <w:left w:val="none" w:sz="0" w:space="0" w:color="auto"/>
        <w:bottom w:val="none" w:sz="0" w:space="0" w:color="auto"/>
        <w:right w:val="none" w:sz="0" w:space="0" w:color="auto"/>
      </w:divBdr>
    </w:div>
    <w:div w:id="1508519190">
      <w:bodyDiv w:val="1"/>
      <w:marLeft w:val="0"/>
      <w:marRight w:val="0"/>
      <w:marTop w:val="0"/>
      <w:marBottom w:val="0"/>
      <w:divBdr>
        <w:top w:val="none" w:sz="0" w:space="0" w:color="auto"/>
        <w:left w:val="none" w:sz="0" w:space="0" w:color="auto"/>
        <w:bottom w:val="none" w:sz="0" w:space="0" w:color="auto"/>
        <w:right w:val="none" w:sz="0" w:space="0" w:color="auto"/>
      </w:divBdr>
    </w:div>
    <w:div w:id="1566329527">
      <w:bodyDiv w:val="1"/>
      <w:marLeft w:val="0"/>
      <w:marRight w:val="0"/>
      <w:marTop w:val="0"/>
      <w:marBottom w:val="0"/>
      <w:divBdr>
        <w:top w:val="none" w:sz="0" w:space="0" w:color="auto"/>
        <w:left w:val="none" w:sz="0" w:space="0" w:color="auto"/>
        <w:bottom w:val="none" w:sz="0" w:space="0" w:color="auto"/>
        <w:right w:val="none" w:sz="0" w:space="0" w:color="auto"/>
      </w:divBdr>
    </w:div>
    <w:div w:id="16407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ssac@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A581-0153-4C69-8FAB-074C3F88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8044</Words>
  <Characters>45855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Running Head: Why let the good times stop here</vt:lpstr>
    </vt:vector>
  </TitlesOfParts>
  <Company>London South Bank University</Company>
  <LinksUpToDate>false</LinksUpToDate>
  <CharactersWithSpaces>53792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Why let the good times stop here</dc:title>
  <dc:creator>Dr Antony C. Moss</dc:creator>
  <cp:lastModifiedBy>Moss, Antony Charles</cp:lastModifiedBy>
  <cp:revision>13</cp:revision>
  <cp:lastPrinted>2014-10-30T17:40:00Z</cp:lastPrinted>
  <dcterms:created xsi:type="dcterms:W3CDTF">2014-11-21T14:22:00Z</dcterms:created>
  <dcterms:modified xsi:type="dcterms:W3CDTF">2014-11-25T17:44:00Z</dcterms:modified>
</cp:coreProperties>
</file>