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0C9BE" w14:textId="750EAB27" w:rsidR="00F71CBD" w:rsidRDefault="00F71CBD" w:rsidP="003C23D2">
      <w:pPr>
        <w:pStyle w:val="BodyText"/>
        <w:spacing w:line="480" w:lineRule="auto"/>
        <w:outlineLvl w:val="0"/>
        <w:rPr>
          <w:b w:val="0"/>
        </w:rPr>
      </w:pPr>
      <w:r>
        <w:rPr>
          <w:b w:val="0"/>
        </w:rPr>
        <w:t xml:space="preserve">Running Head: </w:t>
      </w:r>
      <w:r w:rsidR="00B10ADD" w:rsidRPr="00B10ADD">
        <w:rPr>
          <w:b w:val="0"/>
        </w:rPr>
        <w:t>Novel psychoactive substance use and attentional bias</w:t>
      </w:r>
    </w:p>
    <w:p w14:paraId="64285F5A" w14:textId="77777777" w:rsidR="00F71CBD" w:rsidRDefault="00F71CBD">
      <w:pPr>
        <w:pStyle w:val="BodyText"/>
        <w:spacing w:line="480" w:lineRule="auto"/>
        <w:jc w:val="center"/>
        <w:rPr>
          <w:b w:val="0"/>
        </w:rPr>
      </w:pPr>
    </w:p>
    <w:p w14:paraId="42AA2523" w14:textId="77777777" w:rsidR="00F71CBD" w:rsidRDefault="00F71CBD" w:rsidP="00FF265F">
      <w:pPr>
        <w:pStyle w:val="BodyText"/>
        <w:spacing w:line="480" w:lineRule="auto"/>
        <w:rPr>
          <w:b w:val="0"/>
        </w:rPr>
      </w:pPr>
    </w:p>
    <w:p w14:paraId="145F8C7B" w14:textId="77777777" w:rsidR="00F71CBD" w:rsidRDefault="00F71CBD">
      <w:pPr>
        <w:pStyle w:val="BodyText"/>
        <w:spacing w:line="480" w:lineRule="auto"/>
        <w:jc w:val="center"/>
        <w:rPr>
          <w:b w:val="0"/>
        </w:rPr>
      </w:pPr>
    </w:p>
    <w:p w14:paraId="309CF937" w14:textId="1F38F30F" w:rsidR="00F71CBD" w:rsidRPr="00F04AE9" w:rsidRDefault="004149B4">
      <w:pPr>
        <w:pStyle w:val="BodyText"/>
        <w:spacing w:line="480" w:lineRule="auto"/>
        <w:jc w:val="center"/>
      </w:pPr>
      <w:r w:rsidRPr="00F04AE9">
        <w:t>Selective</w:t>
      </w:r>
      <w:r w:rsidR="00261761" w:rsidRPr="00F04AE9">
        <w:t xml:space="preserve"> </w:t>
      </w:r>
      <w:r w:rsidR="00512508" w:rsidRPr="00F04AE9">
        <w:t xml:space="preserve">attentional bias for </w:t>
      </w:r>
      <w:r w:rsidR="006617C3" w:rsidRPr="00F04AE9">
        <w:t xml:space="preserve">novel psychoactive substance </w:t>
      </w:r>
      <w:r w:rsidR="00203053" w:rsidRPr="00F04AE9">
        <w:t xml:space="preserve">(NPS) </w:t>
      </w:r>
      <w:r w:rsidR="0022472B" w:rsidRPr="00F04AE9">
        <w:t xml:space="preserve">and </w:t>
      </w:r>
      <w:r w:rsidR="00512508" w:rsidRPr="00F04AE9">
        <w:t>expectancy-related</w:t>
      </w:r>
      <w:r w:rsidR="00695EB5" w:rsidRPr="00F04AE9">
        <w:t xml:space="preserve"> </w:t>
      </w:r>
      <w:r w:rsidRPr="00F04AE9">
        <w:t xml:space="preserve">stimuli amongst </w:t>
      </w:r>
      <w:r w:rsidR="00695EB5" w:rsidRPr="00F04AE9">
        <w:t xml:space="preserve">non-problematic </w:t>
      </w:r>
      <w:r w:rsidR="00203053" w:rsidRPr="00F04AE9">
        <w:t xml:space="preserve">NPS users and </w:t>
      </w:r>
      <w:r w:rsidR="00C433C7" w:rsidRPr="00F04AE9">
        <w:t xml:space="preserve">never </w:t>
      </w:r>
      <w:r w:rsidR="00D54EEC" w:rsidRPr="00F04AE9">
        <w:t xml:space="preserve">NPS </w:t>
      </w:r>
      <w:r w:rsidR="00203053" w:rsidRPr="00F04AE9">
        <w:t>users</w:t>
      </w:r>
      <w:r w:rsidRPr="00F04AE9">
        <w:t>.</w:t>
      </w:r>
    </w:p>
    <w:p w14:paraId="1111851B" w14:textId="77777777" w:rsidR="004149B4" w:rsidRDefault="004149B4">
      <w:pPr>
        <w:pStyle w:val="BodyText"/>
        <w:spacing w:line="480" w:lineRule="auto"/>
        <w:jc w:val="center"/>
        <w:rPr>
          <w:b w:val="0"/>
        </w:rPr>
      </w:pPr>
    </w:p>
    <w:p w14:paraId="0B31B7AA" w14:textId="77777777" w:rsidR="00E335CB" w:rsidRPr="004149B4" w:rsidRDefault="00E335CB" w:rsidP="00E335CB">
      <w:pPr>
        <w:pStyle w:val="BodyText"/>
        <w:spacing w:line="480" w:lineRule="auto"/>
        <w:jc w:val="center"/>
        <w:rPr>
          <w:b w:val="0"/>
        </w:rPr>
      </w:pPr>
      <w:r>
        <w:rPr>
          <w:b w:val="0"/>
        </w:rPr>
        <w:t xml:space="preserve">Ian P. </w:t>
      </w:r>
      <w:proofErr w:type="spellStart"/>
      <w:r>
        <w:rPr>
          <w:b w:val="0"/>
        </w:rPr>
        <w:t>Albery</w:t>
      </w:r>
      <w:proofErr w:type="spellEnd"/>
      <w:r>
        <w:rPr>
          <w:b w:val="0"/>
        </w:rPr>
        <w:t xml:space="preserve">, Antony C. Moss, Nicola Davidson, </w:t>
      </w:r>
      <w:proofErr w:type="spellStart"/>
      <w:r>
        <w:rPr>
          <w:b w:val="0"/>
        </w:rPr>
        <w:t>Mba</w:t>
      </w:r>
      <w:proofErr w:type="spellEnd"/>
      <w:r>
        <w:rPr>
          <w:b w:val="0"/>
        </w:rPr>
        <w:t xml:space="preserve">, S., Ursula </w:t>
      </w:r>
      <w:proofErr w:type="spellStart"/>
      <w:r>
        <w:rPr>
          <w:b w:val="0"/>
        </w:rPr>
        <w:t>Blaszko</w:t>
      </w:r>
      <w:proofErr w:type="spellEnd"/>
      <w:r>
        <w:rPr>
          <w:b w:val="0"/>
        </w:rPr>
        <w:t xml:space="preserve"> &amp; Alexander P. Marchant</w:t>
      </w:r>
    </w:p>
    <w:p w14:paraId="0D5FACE2" w14:textId="77777777" w:rsidR="00E335CB" w:rsidRDefault="00E335CB" w:rsidP="00E335CB">
      <w:pPr>
        <w:pStyle w:val="BodyText"/>
        <w:spacing w:line="480" w:lineRule="auto"/>
        <w:jc w:val="center"/>
        <w:rPr>
          <w:b w:val="0"/>
        </w:rPr>
      </w:pPr>
      <w:r>
        <w:rPr>
          <w:b w:val="0"/>
        </w:rPr>
        <w:t xml:space="preserve">Centre for Addictive Behaviours Research, London South Bank University, London, United Kingdom </w:t>
      </w:r>
    </w:p>
    <w:p w14:paraId="2A780F74" w14:textId="77777777" w:rsidR="00E335CB" w:rsidRDefault="00E335CB" w:rsidP="00E335CB">
      <w:pPr>
        <w:pStyle w:val="BodyText"/>
        <w:spacing w:line="480" w:lineRule="auto"/>
        <w:jc w:val="center"/>
        <w:rPr>
          <w:b w:val="0"/>
        </w:rPr>
      </w:pPr>
    </w:p>
    <w:p w14:paraId="5AF59534" w14:textId="77777777" w:rsidR="00E335CB" w:rsidRDefault="00E335CB" w:rsidP="00E335CB">
      <w:pPr>
        <w:pStyle w:val="BodyText"/>
        <w:spacing w:line="480" w:lineRule="auto"/>
        <w:rPr>
          <w:b w:val="0"/>
        </w:rPr>
      </w:pPr>
    </w:p>
    <w:p w14:paraId="1A69D159" w14:textId="77777777" w:rsidR="00E335CB" w:rsidRDefault="00E335CB" w:rsidP="00E335CB">
      <w:pPr>
        <w:pStyle w:val="BodyText"/>
        <w:spacing w:line="480" w:lineRule="auto"/>
        <w:rPr>
          <w:b w:val="0"/>
        </w:rPr>
      </w:pPr>
    </w:p>
    <w:p w14:paraId="6890F48F" w14:textId="77777777" w:rsidR="00E335CB" w:rsidRDefault="00E335CB" w:rsidP="00E335CB">
      <w:pPr>
        <w:pStyle w:val="BodyText"/>
        <w:spacing w:line="480" w:lineRule="auto"/>
        <w:rPr>
          <w:b w:val="0"/>
        </w:rPr>
      </w:pPr>
    </w:p>
    <w:p w14:paraId="1C02F8C1" w14:textId="77777777" w:rsidR="00E335CB" w:rsidRDefault="00E335CB" w:rsidP="00E335CB">
      <w:pPr>
        <w:pStyle w:val="BodyText"/>
        <w:spacing w:line="480" w:lineRule="auto"/>
        <w:rPr>
          <w:b w:val="0"/>
        </w:rPr>
      </w:pPr>
    </w:p>
    <w:p w14:paraId="390DBFAF" w14:textId="77777777" w:rsidR="00E335CB" w:rsidRDefault="00E335CB" w:rsidP="00E335CB">
      <w:pPr>
        <w:pStyle w:val="BodyText"/>
        <w:spacing w:line="480" w:lineRule="auto"/>
        <w:rPr>
          <w:b w:val="0"/>
        </w:rPr>
      </w:pPr>
    </w:p>
    <w:p w14:paraId="5F7F5F8F" w14:textId="77777777" w:rsidR="00E335CB" w:rsidRDefault="00E335CB" w:rsidP="00E335CB">
      <w:pPr>
        <w:pStyle w:val="BodyText"/>
        <w:spacing w:line="480" w:lineRule="auto"/>
        <w:rPr>
          <w:b w:val="0"/>
        </w:rPr>
      </w:pPr>
    </w:p>
    <w:p w14:paraId="3481D9A0" w14:textId="77777777" w:rsidR="00E335CB" w:rsidRPr="00B92918" w:rsidRDefault="00E335CB" w:rsidP="00E335CB">
      <w:pPr>
        <w:spacing w:line="480" w:lineRule="auto"/>
        <w:rPr>
          <w:bCs/>
          <w:color w:val="000000"/>
        </w:rPr>
      </w:pPr>
      <w:r w:rsidRPr="003850CC">
        <w:rPr>
          <w:bCs/>
          <w:color w:val="000000"/>
          <w:vertAlign w:val="superscript"/>
        </w:rPr>
        <w:t xml:space="preserve">* </w:t>
      </w:r>
      <w:r w:rsidRPr="003850CC">
        <w:rPr>
          <w:bCs/>
          <w:color w:val="000000"/>
        </w:rPr>
        <w:t xml:space="preserve">Correspondence to: </w:t>
      </w:r>
      <w:r w:rsidRPr="00B92918">
        <w:t>Centre for Addictive Behaviours Research</w:t>
      </w:r>
      <w:r>
        <w:rPr>
          <w:bCs/>
          <w:color w:val="000000"/>
        </w:rPr>
        <w:t xml:space="preserve">, </w:t>
      </w:r>
      <w:r w:rsidRPr="003850CC">
        <w:rPr>
          <w:bCs/>
          <w:color w:val="000000"/>
        </w:rPr>
        <w:t xml:space="preserve">School of Applied Sciences, London South Bank University, United Kingdom. Tel. +44 (0)20 7815 5876, e-mail </w:t>
      </w:r>
      <w:hyperlink r:id="rId8" w:history="1">
        <w:r w:rsidRPr="003850CC">
          <w:rPr>
            <w:rStyle w:val="Hyperlink"/>
            <w:bCs/>
          </w:rPr>
          <w:t>alberyip@lsbu.ac.uk</w:t>
        </w:r>
      </w:hyperlink>
    </w:p>
    <w:p w14:paraId="682C1348" w14:textId="77777777" w:rsidR="004149B4" w:rsidRDefault="004149B4">
      <w:pPr>
        <w:pStyle w:val="BodyText"/>
        <w:spacing w:line="480" w:lineRule="auto"/>
        <w:jc w:val="center"/>
        <w:rPr>
          <w:b w:val="0"/>
        </w:rPr>
      </w:pPr>
    </w:p>
    <w:p w14:paraId="58A7CEC4" w14:textId="77777777" w:rsidR="00F71CBD" w:rsidRDefault="00F71CBD">
      <w:pPr>
        <w:pStyle w:val="BodyText"/>
        <w:spacing w:line="480" w:lineRule="auto"/>
        <w:rPr>
          <w:b w:val="0"/>
        </w:rPr>
      </w:pPr>
    </w:p>
    <w:p w14:paraId="6E0B322B" w14:textId="77777777" w:rsidR="00F71CBD" w:rsidRPr="00B26A43" w:rsidRDefault="00F71CBD" w:rsidP="00B26A43">
      <w:pPr>
        <w:pStyle w:val="BodyText"/>
        <w:spacing w:line="480" w:lineRule="auto"/>
        <w:jc w:val="center"/>
        <w:outlineLvl w:val="0"/>
      </w:pPr>
      <w:bookmarkStart w:id="0" w:name="_GoBack"/>
      <w:bookmarkEnd w:id="0"/>
      <w:r w:rsidRPr="00B26A43">
        <w:lastRenderedPageBreak/>
        <w:t>Abstract</w:t>
      </w:r>
    </w:p>
    <w:p w14:paraId="4838F321" w14:textId="571E1353" w:rsidR="00144019" w:rsidRDefault="00DA02D1" w:rsidP="006F49EC">
      <w:pPr>
        <w:pStyle w:val="BodyText"/>
        <w:spacing w:line="480" w:lineRule="auto"/>
        <w:rPr>
          <w:b w:val="0"/>
        </w:rPr>
      </w:pPr>
      <w:r>
        <w:rPr>
          <w:b w:val="0"/>
        </w:rPr>
        <w:t xml:space="preserve">Background: </w:t>
      </w:r>
      <w:r w:rsidR="008B4680">
        <w:rPr>
          <w:b w:val="0"/>
        </w:rPr>
        <w:t>N</w:t>
      </w:r>
      <w:r w:rsidR="001A7668">
        <w:rPr>
          <w:b w:val="0"/>
        </w:rPr>
        <w:t>ovel psychoactive substance (</w:t>
      </w:r>
      <w:r w:rsidR="00144019">
        <w:rPr>
          <w:b w:val="0"/>
        </w:rPr>
        <w:t>NPS</w:t>
      </w:r>
      <w:r w:rsidR="001A7668">
        <w:rPr>
          <w:b w:val="0"/>
        </w:rPr>
        <w:t>)</w:t>
      </w:r>
      <w:r w:rsidR="00144019" w:rsidRPr="00F53220">
        <w:rPr>
          <w:b w:val="0"/>
        </w:rPr>
        <w:t xml:space="preserve"> use ha</w:t>
      </w:r>
      <w:r w:rsidR="00144019">
        <w:rPr>
          <w:b w:val="0"/>
        </w:rPr>
        <w:t>s</w:t>
      </w:r>
      <w:r w:rsidR="00283AAD">
        <w:rPr>
          <w:b w:val="0"/>
        </w:rPr>
        <w:t xml:space="preserve"> </w:t>
      </w:r>
      <w:r w:rsidR="00144019">
        <w:rPr>
          <w:b w:val="0"/>
        </w:rPr>
        <w:t>e</w:t>
      </w:r>
      <w:r w:rsidR="00144019" w:rsidRPr="00F53220">
        <w:rPr>
          <w:b w:val="0"/>
        </w:rPr>
        <w:t xml:space="preserve">merged as a new trend in the recreational drug market with </w:t>
      </w:r>
      <w:r w:rsidR="00144019">
        <w:rPr>
          <w:b w:val="0"/>
        </w:rPr>
        <w:t>increasing prevalence and availability rates</w:t>
      </w:r>
      <w:r w:rsidR="008B4680">
        <w:rPr>
          <w:b w:val="0"/>
        </w:rPr>
        <w:t>.  L</w:t>
      </w:r>
      <w:r w:rsidR="00E31287">
        <w:rPr>
          <w:b w:val="0"/>
        </w:rPr>
        <w:t>ittle evidence has focussed on psychologically-based cognitive/motivational processes that may increase the likelihood of continuing NPS use</w:t>
      </w:r>
      <w:r w:rsidR="001A7668">
        <w:rPr>
          <w:b w:val="0"/>
        </w:rPr>
        <w:t xml:space="preserve"> leading to</w:t>
      </w:r>
      <w:r w:rsidR="00E31287">
        <w:rPr>
          <w:b w:val="0"/>
        </w:rPr>
        <w:t xml:space="preserve"> habitual behaviour patterns</w:t>
      </w:r>
      <w:r w:rsidR="003C333E">
        <w:rPr>
          <w:b w:val="0"/>
        </w:rPr>
        <w:t>/</w:t>
      </w:r>
      <w:r w:rsidR="001A7668">
        <w:rPr>
          <w:b w:val="0"/>
        </w:rPr>
        <w:t>dependence</w:t>
      </w:r>
      <w:r w:rsidR="00E31287">
        <w:rPr>
          <w:b w:val="0"/>
        </w:rPr>
        <w:t xml:space="preserve">. One such process, highlighted in studies examining a plethora of addictive behaviours, concerns users’ </w:t>
      </w:r>
      <w:r w:rsidR="00E31287" w:rsidRPr="0043634E">
        <w:rPr>
          <w:b w:val="0"/>
        </w:rPr>
        <w:t xml:space="preserve">preferential attention </w:t>
      </w:r>
      <w:r w:rsidR="00E31287">
        <w:rPr>
          <w:b w:val="0"/>
        </w:rPr>
        <w:t xml:space="preserve">(attentional bias) </w:t>
      </w:r>
      <w:r w:rsidR="00E31287" w:rsidRPr="0043634E">
        <w:rPr>
          <w:b w:val="0"/>
        </w:rPr>
        <w:t>to concern-related stimuli</w:t>
      </w:r>
      <w:r w:rsidR="00E31287">
        <w:rPr>
          <w:b w:val="0"/>
        </w:rPr>
        <w:t>.</w:t>
      </w:r>
      <w:r w:rsidR="001A7668">
        <w:rPr>
          <w:b w:val="0"/>
        </w:rPr>
        <w:t xml:space="preserve"> </w:t>
      </w:r>
      <w:r w:rsidR="001D5F50">
        <w:rPr>
          <w:b w:val="0"/>
        </w:rPr>
        <w:t xml:space="preserve">Methods: </w:t>
      </w:r>
      <w:r w:rsidR="00144019" w:rsidRPr="002A0477">
        <w:rPr>
          <w:b w:val="0"/>
        </w:rPr>
        <w:t>The current study</w:t>
      </w:r>
      <w:r w:rsidR="00144019">
        <w:rPr>
          <w:b w:val="0"/>
        </w:rPr>
        <w:t xml:space="preserve"> </w:t>
      </w:r>
      <w:r w:rsidR="008B4680">
        <w:rPr>
          <w:b w:val="0"/>
        </w:rPr>
        <w:t>assessed</w:t>
      </w:r>
      <w:r w:rsidR="00144019" w:rsidRPr="002A0477">
        <w:rPr>
          <w:b w:val="0"/>
        </w:rPr>
        <w:t xml:space="preserve"> whether current </w:t>
      </w:r>
      <w:r w:rsidR="00144019">
        <w:rPr>
          <w:b w:val="0"/>
        </w:rPr>
        <w:t>NPS</w:t>
      </w:r>
      <w:r w:rsidR="00144019" w:rsidRPr="002A0477">
        <w:rPr>
          <w:b w:val="0"/>
        </w:rPr>
        <w:t xml:space="preserve"> users compared to never </w:t>
      </w:r>
      <w:r w:rsidR="00144019">
        <w:rPr>
          <w:b w:val="0"/>
        </w:rPr>
        <w:t>NPS</w:t>
      </w:r>
      <w:r w:rsidR="00144019" w:rsidRPr="002A0477">
        <w:rPr>
          <w:b w:val="0"/>
        </w:rPr>
        <w:t xml:space="preserve"> users showed differential attentional processing of (</w:t>
      </w:r>
      <w:proofErr w:type="spellStart"/>
      <w:r w:rsidR="00144019" w:rsidRPr="002A0477">
        <w:rPr>
          <w:b w:val="0"/>
        </w:rPr>
        <w:t>i</w:t>
      </w:r>
      <w:proofErr w:type="spellEnd"/>
      <w:r w:rsidR="00144019" w:rsidRPr="002A0477">
        <w:rPr>
          <w:b w:val="0"/>
        </w:rPr>
        <w:t xml:space="preserve">) </w:t>
      </w:r>
      <w:r w:rsidR="00144019">
        <w:rPr>
          <w:b w:val="0"/>
        </w:rPr>
        <w:t>NPS</w:t>
      </w:r>
      <w:r w:rsidR="00144019" w:rsidRPr="002A0477">
        <w:rPr>
          <w:b w:val="0"/>
        </w:rPr>
        <w:t xml:space="preserve">-related words, (ii) </w:t>
      </w:r>
      <w:r w:rsidR="00144019">
        <w:rPr>
          <w:b w:val="0"/>
        </w:rPr>
        <w:t>NPS</w:t>
      </w:r>
      <w:r w:rsidR="00144019" w:rsidRPr="002A0477">
        <w:rPr>
          <w:b w:val="0"/>
        </w:rPr>
        <w:t xml:space="preserve"> positive expectancy words and, (iii) </w:t>
      </w:r>
      <w:r w:rsidR="00144019">
        <w:rPr>
          <w:b w:val="0"/>
        </w:rPr>
        <w:t>NPS</w:t>
      </w:r>
      <w:r w:rsidR="00144019" w:rsidRPr="002A0477">
        <w:rPr>
          <w:b w:val="0"/>
        </w:rPr>
        <w:t xml:space="preserve"> negative expectancy words</w:t>
      </w:r>
      <w:r w:rsidR="008B4680">
        <w:rPr>
          <w:b w:val="0"/>
        </w:rPr>
        <w:t xml:space="preserve"> i</w:t>
      </w:r>
      <w:r w:rsidR="001D5F50">
        <w:rPr>
          <w:b w:val="0"/>
        </w:rPr>
        <w:t>n a modified Stroop task</w:t>
      </w:r>
      <w:r w:rsidR="00144019" w:rsidRPr="002A0477">
        <w:rPr>
          <w:b w:val="0"/>
        </w:rPr>
        <w:t>.</w:t>
      </w:r>
      <w:r w:rsidR="00283AAD">
        <w:rPr>
          <w:b w:val="0"/>
        </w:rPr>
        <w:t xml:space="preserve"> </w:t>
      </w:r>
      <w:r w:rsidR="001D5F50">
        <w:rPr>
          <w:b w:val="0"/>
        </w:rPr>
        <w:t xml:space="preserve">Results: </w:t>
      </w:r>
      <w:r w:rsidR="00911B46">
        <w:rPr>
          <w:b w:val="0"/>
        </w:rPr>
        <w:t xml:space="preserve">For </w:t>
      </w:r>
      <w:r w:rsidR="001D5F50">
        <w:rPr>
          <w:b w:val="0"/>
        </w:rPr>
        <w:t>NPS</w:t>
      </w:r>
      <w:r w:rsidR="00911B46">
        <w:rPr>
          <w:b w:val="0"/>
        </w:rPr>
        <w:t xml:space="preserve"> </w:t>
      </w:r>
      <w:r w:rsidR="009A41BD">
        <w:rPr>
          <w:b w:val="0"/>
        </w:rPr>
        <w:t xml:space="preserve">users </w:t>
      </w:r>
      <w:r w:rsidR="00911B46">
        <w:rPr>
          <w:b w:val="0"/>
        </w:rPr>
        <w:t xml:space="preserve">only negative expectancies captured increased attention </w:t>
      </w:r>
      <w:r w:rsidR="00695EB5">
        <w:rPr>
          <w:b w:val="0"/>
        </w:rPr>
        <w:t xml:space="preserve">- </w:t>
      </w:r>
      <w:r w:rsidR="00911B46">
        <w:rPr>
          <w:b w:val="0"/>
        </w:rPr>
        <w:t>the semantic nature of the word interfered with the secondary task o</w:t>
      </w:r>
      <w:r w:rsidR="001D5F50">
        <w:rPr>
          <w:b w:val="0"/>
        </w:rPr>
        <w:t>f colour-naming the ink within the</w:t>
      </w:r>
      <w:r w:rsidR="00911B46">
        <w:rPr>
          <w:b w:val="0"/>
        </w:rPr>
        <w:t xml:space="preserve"> Stroop task. In addition</w:t>
      </w:r>
      <w:r w:rsidR="00695EB5">
        <w:rPr>
          <w:b w:val="0"/>
        </w:rPr>
        <w:t>,</w:t>
      </w:r>
      <w:r w:rsidR="00911B46">
        <w:rPr>
          <w:b w:val="0"/>
        </w:rPr>
        <w:t xml:space="preserve"> the magnitude of this attentional bias was significantly different from zero (t</w:t>
      </w:r>
      <w:r w:rsidR="00750E61">
        <w:rPr>
          <w:b w:val="0"/>
        </w:rPr>
        <w:t>he point of no registered inter</w:t>
      </w:r>
      <w:r w:rsidR="00911B46">
        <w:rPr>
          <w:b w:val="0"/>
        </w:rPr>
        <w:t>ference).</w:t>
      </w:r>
      <w:r w:rsidR="00695EB5" w:rsidRPr="00695EB5">
        <w:rPr>
          <w:b w:val="0"/>
        </w:rPr>
        <w:t xml:space="preserve"> </w:t>
      </w:r>
      <w:r w:rsidR="00695EB5">
        <w:rPr>
          <w:b w:val="0"/>
        </w:rPr>
        <w:t xml:space="preserve">Finally, we found no association between attentional biases for all word types and severity of problems associated with NPS use in NPS users. </w:t>
      </w:r>
      <w:r w:rsidR="001D5F50">
        <w:rPr>
          <w:b w:val="0"/>
        </w:rPr>
        <w:t xml:space="preserve">Conclusions: </w:t>
      </w:r>
      <w:r w:rsidR="009A41BD">
        <w:rPr>
          <w:b w:val="0"/>
        </w:rPr>
        <w:t>Among non-problematic NPS users, expectancy-based cognitions may be characterised by highly accessible negative NPS expectancies</w:t>
      </w:r>
      <w:r w:rsidR="00DA3ADC">
        <w:rPr>
          <w:b w:val="0"/>
        </w:rPr>
        <w:t xml:space="preserve"> which are </w:t>
      </w:r>
      <w:r w:rsidR="009A41BD">
        <w:rPr>
          <w:b w:val="0"/>
        </w:rPr>
        <w:t xml:space="preserve">salient for attentional capture and preoccupation. </w:t>
      </w:r>
    </w:p>
    <w:p w14:paraId="3D00133C" w14:textId="10110086" w:rsidR="00B26A43" w:rsidRPr="00B26A43" w:rsidRDefault="00B26A43" w:rsidP="00B10ADD">
      <w:pPr>
        <w:pStyle w:val="BodyText"/>
        <w:spacing w:line="480" w:lineRule="auto"/>
        <w:rPr>
          <w:b w:val="0"/>
        </w:rPr>
      </w:pPr>
      <w:r>
        <w:t>Keywords:</w:t>
      </w:r>
      <w:r>
        <w:rPr>
          <w:b w:val="0"/>
        </w:rPr>
        <w:t xml:space="preserve"> </w:t>
      </w:r>
      <w:r w:rsidR="00FF265F">
        <w:rPr>
          <w:b w:val="0"/>
        </w:rPr>
        <w:t>novel psychoactive substances; attentional bias; expectancies</w:t>
      </w:r>
    </w:p>
    <w:p w14:paraId="4A1824B7" w14:textId="77777777" w:rsidR="00FF265F" w:rsidRDefault="00F71CBD" w:rsidP="00FF265F">
      <w:pPr>
        <w:pStyle w:val="BodyText"/>
        <w:spacing w:line="480" w:lineRule="auto"/>
        <w:rPr>
          <w:b w:val="0"/>
        </w:rPr>
      </w:pPr>
      <w:r w:rsidRPr="00B26A43">
        <w:br w:type="page"/>
      </w:r>
      <w:r w:rsidR="00203053" w:rsidRPr="00B10ADD">
        <w:rPr>
          <w:b w:val="0"/>
        </w:rPr>
        <w:lastRenderedPageBreak/>
        <w:t>Selective</w:t>
      </w:r>
      <w:r w:rsidR="00D54EEC" w:rsidRPr="00B10ADD">
        <w:rPr>
          <w:b w:val="0"/>
        </w:rPr>
        <w:t xml:space="preserve"> </w:t>
      </w:r>
      <w:r w:rsidR="00203053" w:rsidRPr="00B10ADD">
        <w:rPr>
          <w:b w:val="0"/>
        </w:rPr>
        <w:t xml:space="preserve">attentional bias for novel psychoactive substances </w:t>
      </w:r>
      <w:r w:rsidR="003B42E8" w:rsidRPr="00B10ADD">
        <w:rPr>
          <w:b w:val="0"/>
        </w:rPr>
        <w:t xml:space="preserve">(NPS) </w:t>
      </w:r>
      <w:r w:rsidR="00203053" w:rsidRPr="00B10ADD">
        <w:rPr>
          <w:b w:val="0"/>
        </w:rPr>
        <w:t>and expectancy-related</w:t>
      </w:r>
      <w:r w:rsidR="00D54EEC" w:rsidRPr="00B10ADD">
        <w:rPr>
          <w:b w:val="0"/>
        </w:rPr>
        <w:t xml:space="preserve"> </w:t>
      </w:r>
      <w:r w:rsidR="00203053" w:rsidRPr="00B10ADD">
        <w:rPr>
          <w:b w:val="0"/>
        </w:rPr>
        <w:t xml:space="preserve">stimuli amongst </w:t>
      </w:r>
      <w:r w:rsidR="00D54EEC" w:rsidRPr="00B10ADD">
        <w:rPr>
          <w:b w:val="0"/>
        </w:rPr>
        <w:t xml:space="preserve">non-problematic </w:t>
      </w:r>
      <w:r w:rsidR="003B42E8" w:rsidRPr="00B10ADD">
        <w:rPr>
          <w:b w:val="0"/>
        </w:rPr>
        <w:t xml:space="preserve">NPS </w:t>
      </w:r>
      <w:r w:rsidR="00203053" w:rsidRPr="00B10ADD">
        <w:rPr>
          <w:b w:val="0"/>
        </w:rPr>
        <w:t xml:space="preserve">users and never </w:t>
      </w:r>
      <w:r w:rsidR="003B42E8" w:rsidRPr="00B10ADD">
        <w:rPr>
          <w:b w:val="0"/>
        </w:rPr>
        <w:t xml:space="preserve">NPS </w:t>
      </w:r>
      <w:r w:rsidR="00203053" w:rsidRPr="00B10ADD">
        <w:rPr>
          <w:b w:val="0"/>
        </w:rPr>
        <w:t>users.</w:t>
      </w:r>
    </w:p>
    <w:p w14:paraId="70D036D4" w14:textId="1B4551B5" w:rsidR="00CA4843" w:rsidRPr="00FF265F" w:rsidRDefault="00CA4843" w:rsidP="00FF265F">
      <w:pPr>
        <w:pStyle w:val="BodyText"/>
        <w:spacing w:line="480" w:lineRule="auto"/>
        <w:jc w:val="center"/>
      </w:pPr>
      <w:r w:rsidRPr="00FF265F">
        <w:t>Introduction</w:t>
      </w:r>
    </w:p>
    <w:p w14:paraId="22AF3782" w14:textId="02B69E1B" w:rsidR="00EC02C4" w:rsidRDefault="006617C3" w:rsidP="00342AAF">
      <w:pPr>
        <w:pStyle w:val="BodyText"/>
        <w:spacing w:line="480" w:lineRule="auto"/>
        <w:ind w:firstLine="720"/>
        <w:rPr>
          <w:b w:val="0"/>
        </w:rPr>
      </w:pPr>
      <w:r>
        <w:rPr>
          <w:b w:val="0"/>
        </w:rPr>
        <w:t>Novel psychoactive substances</w:t>
      </w:r>
      <w:r w:rsidR="00D54EEC">
        <w:rPr>
          <w:b w:val="0"/>
        </w:rPr>
        <w:t xml:space="preserve"> </w:t>
      </w:r>
      <w:r w:rsidR="00311F8D" w:rsidRPr="00F53220">
        <w:rPr>
          <w:b w:val="0"/>
        </w:rPr>
        <w:t>(</w:t>
      </w:r>
      <w:r>
        <w:rPr>
          <w:b w:val="0"/>
        </w:rPr>
        <w:t>NPS</w:t>
      </w:r>
      <w:r w:rsidR="00311F8D" w:rsidRPr="00F53220">
        <w:rPr>
          <w:b w:val="0"/>
        </w:rPr>
        <w:t>)</w:t>
      </w:r>
      <w:r w:rsidR="00FC161E">
        <w:rPr>
          <w:b w:val="0"/>
        </w:rPr>
        <w:t>,</w:t>
      </w:r>
      <w:r w:rsidR="00F1781C">
        <w:rPr>
          <w:b w:val="0"/>
        </w:rPr>
        <w:t xml:space="preserve"> previously</w:t>
      </w:r>
      <w:r w:rsidR="00FC161E">
        <w:rPr>
          <w:b w:val="0"/>
        </w:rPr>
        <w:t xml:space="preserve"> </w:t>
      </w:r>
      <w:r w:rsidR="00F64E0F">
        <w:rPr>
          <w:b w:val="0"/>
        </w:rPr>
        <w:t>known as</w:t>
      </w:r>
      <w:r w:rsidR="00FC161E">
        <w:rPr>
          <w:b w:val="0"/>
        </w:rPr>
        <w:t xml:space="preserve"> “legal highs”,</w:t>
      </w:r>
      <w:r w:rsidR="00311F8D" w:rsidRPr="00F53220">
        <w:rPr>
          <w:b w:val="0"/>
        </w:rPr>
        <w:t xml:space="preserve"> are synthetic chemicals, fungal or plant matter </w:t>
      </w:r>
      <w:r w:rsidR="00DD51CF">
        <w:rPr>
          <w:b w:val="0"/>
        </w:rPr>
        <w:t xml:space="preserve">which are </w:t>
      </w:r>
      <w:r w:rsidR="00311F8D" w:rsidRPr="00F53220">
        <w:rPr>
          <w:b w:val="0"/>
        </w:rPr>
        <w:t>used to elicit a similar psychoactive response to illegal drugs such as ecstasy, cannabis or cocaine</w:t>
      </w:r>
      <w:r w:rsidR="00CA314F">
        <w:rPr>
          <w:b w:val="0"/>
        </w:rPr>
        <w:t xml:space="preserve"> (</w:t>
      </w:r>
      <w:proofErr w:type="spellStart"/>
      <w:r w:rsidR="00CA314F">
        <w:rPr>
          <w:b w:val="0"/>
        </w:rPr>
        <w:t>Karila</w:t>
      </w:r>
      <w:proofErr w:type="spellEnd"/>
      <w:r w:rsidR="00CA314F">
        <w:rPr>
          <w:b w:val="0"/>
        </w:rPr>
        <w:t xml:space="preserve"> &amp; Reynau</w:t>
      </w:r>
      <w:r w:rsidR="00F53220" w:rsidRPr="00F53220">
        <w:rPr>
          <w:b w:val="0"/>
        </w:rPr>
        <w:t>d, 2011)</w:t>
      </w:r>
      <w:r w:rsidR="00311F8D" w:rsidRPr="00F53220">
        <w:rPr>
          <w:b w:val="0"/>
        </w:rPr>
        <w:t xml:space="preserve">.  </w:t>
      </w:r>
      <w:r>
        <w:rPr>
          <w:b w:val="0"/>
        </w:rPr>
        <w:t>NPS</w:t>
      </w:r>
      <w:r w:rsidRPr="00F53220">
        <w:rPr>
          <w:b w:val="0"/>
        </w:rPr>
        <w:t xml:space="preserve">s </w:t>
      </w:r>
      <w:r w:rsidR="00311F8D" w:rsidRPr="00F53220">
        <w:rPr>
          <w:b w:val="0"/>
        </w:rPr>
        <w:t xml:space="preserve">can be categorised as either stimulants, psychedelics/hallucinogens or sedatives (McNabb, Russell, </w:t>
      </w:r>
      <w:proofErr w:type="spellStart"/>
      <w:r w:rsidR="00311F8D" w:rsidRPr="00F53220">
        <w:rPr>
          <w:b w:val="0"/>
        </w:rPr>
        <w:t>Caprioli</w:t>
      </w:r>
      <w:proofErr w:type="spellEnd"/>
      <w:r w:rsidR="00311F8D" w:rsidRPr="00F53220">
        <w:rPr>
          <w:b w:val="0"/>
        </w:rPr>
        <w:t xml:space="preserve">, </w:t>
      </w:r>
      <w:proofErr w:type="spellStart"/>
      <w:r w:rsidR="00311F8D" w:rsidRPr="00F53220">
        <w:rPr>
          <w:b w:val="0"/>
        </w:rPr>
        <w:t>Nutts</w:t>
      </w:r>
      <w:proofErr w:type="spellEnd"/>
      <w:r w:rsidR="00311F8D" w:rsidRPr="00F53220">
        <w:rPr>
          <w:b w:val="0"/>
        </w:rPr>
        <w:t xml:space="preserve">, Gibbons &amp; </w:t>
      </w:r>
      <w:proofErr w:type="spellStart"/>
      <w:r w:rsidR="00311F8D" w:rsidRPr="00F53220">
        <w:rPr>
          <w:b w:val="0"/>
        </w:rPr>
        <w:t>Dalley</w:t>
      </w:r>
      <w:proofErr w:type="spellEnd"/>
      <w:r w:rsidR="00311F8D" w:rsidRPr="00F53220">
        <w:rPr>
          <w:b w:val="0"/>
        </w:rPr>
        <w:t xml:space="preserve">, 2012). </w:t>
      </w:r>
      <w:r w:rsidR="007B6A45">
        <w:rPr>
          <w:b w:val="0"/>
        </w:rPr>
        <w:t>Until recently, t</w:t>
      </w:r>
      <w:r w:rsidR="00311F8D" w:rsidRPr="00F53220">
        <w:rPr>
          <w:b w:val="0"/>
        </w:rPr>
        <w:t>he term ‘legal’ g</w:t>
      </w:r>
      <w:r w:rsidR="007B6A45">
        <w:rPr>
          <w:b w:val="0"/>
        </w:rPr>
        <w:t>a</w:t>
      </w:r>
      <w:r w:rsidR="00311F8D" w:rsidRPr="00F53220">
        <w:rPr>
          <w:b w:val="0"/>
        </w:rPr>
        <w:t xml:space="preserve">ve users the ability to </w:t>
      </w:r>
      <w:r w:rsidR="00841A85">
        <w:rPr>
          <w:b w:val="0"/>
        </w:rPr>
        <w:t xml:space="preserve">obtain and carry </w:t>
      </w:r>
      <w:r w:rsidR="00311F8D" w:rsidRPr="00F53220">
        <w:rPr>
          <w:b w:val="0"/>
        </w:rPr>
        <w:t>these compounds without fear of prosecution or criminal conviction</w:t>
      </w:r>
      <w:r w:rsidR="00B673CC">
        <w:rPr>
          <w:b w:val="0"/>
        </w:rPr>
        <w:t xml:space="preserve"> </w:t>
      </w:r>
      <w:r w:rsidR="00841A85">
        <w:rPr>
          <w:b w:val="0"/>
        </w:rPr>
        <w:t>which</w:t>
      </w:r>
      <w:r w:rsidR="00462D08">
        <w:rPr>
          <w:b w:val="0"/>
        </w:rPr>
        <w:t xml:space="preserve"> presented</w:t>
      </w:r>
      <w:r w:rsidR="00841A85">
        <w:rPr>
          <w:b w:val="0"/>
        </w:rPr>
        <w:t xml:space="preserve"> </w:t>
      </w:r>
      <w:r w:rsidR="00B673CC">
        <w:rPr>
          <w:b w:val="0"/>
        </w:rPr>
        <w:t>a significant motivating factor for their use (</w:t>
      </w:r>
      <w:r w:rsidR="00B673CC">
        <w:rPr>
          <w:b w:val="0"/>
          <w:lang w:val="en-US"/>
        </w:rPr>
        <w:t xml:space="preserve">Van </w:t>
      </w:r>
      <w:proofErr w:type="spellStart"/>
      <w:r w:rsidR="00B673CC">
        <w:rPr>
          <w:b w:val="0"/>
          <w:lang w:val="en-US"/>
        </w:rPr>
        <w:t>Hout</w:t>
      </w:r>
      <w:proofErr w:type="spellEnd"/>
      <w:r w:rsidR="00B673CC">
        <w:rPr>
          <w:b w:val="0"/>
          <w:lang w:val="en-US"/>
        </w:rPr>
        <w:t xml:space="preserve"> &amp; Brennan, </w:t>
      </w:r>
      <w:r w:rsidR="00B673CC" w:rsidRPr="00B673CC">
        <w:rPr>
          <w:b w:val="0"/>
          <w:lang w:val="en-US"/>
        </w:rPr>
        <w:t>2011, 2012</w:t>
      </w:r>
      <w:r w:rsidR="00297732">
        <w:rPr>
          <w:b w:val="0"/>
          <w:lang w:val="en-US"/>
        </w:rPr>
        <w:t>;</w:t>
      </w:r>
      <w:r w:rsidR="00F64E0F">
        <w:rPr>
          <w:b w:val="0"/>
          <w:lang w:val="en-US"/>
        </w:rPr>
        <w:t xml:space="preserve"> </w:t>
      </w:r>
      <w:r w:rsidR="00297732" w:rsidRPr="00297732">
        <w:rPr>
          <w:b w:val="0"/>
          <w:lang w:val="en-US"/>
        </w:rPr>
        <w:t>Sheridan &amp; Butler, 2010</w:t>
      </w:r>
      <w:r w:rsidR="00B673CC">
        <w:rPr>
          <w:b w:val="0"/>
          <w:lang w:val="en-US"/>
        </w:rPr>
        <w:t>)</w:t>
      </w:r>
      <w:r w:rsidR="00311F8D" w:rsidRPr="00F53220">
        <w:rPr>
          <w:b w:val="0"/>
        </w:rPr>
        <w:t xml:space="preserve">. </w:t>
      </w:r>
      <w:r w:rsidR="00462D08">
        <w:rPr>
          <w:b w:val="0"/>
        </w:rPr>
        <w:t>The lack of legal consequences</w:t>
      </w:r>
      <w:r w:rsidR="00311F8D" w:rsidRPr="00F53220">
        <w:rPr>
          <w:b w:val="0"/>
        </w:rPr>
        <w:t xml:space="preserve"> may </w:t>
      </w:r>
      <w:r w:rsidR="007B6A45">
        <w:rPr>
          <w:b w:val="0"/>
        </w:rPr>
        <w:t xml:space="preserve">have </w:t>
      </w:r>
      <w:r w:rsidR="00311F8D" w:rsidRPr="00F53220">
        <w:rPr>
          <w:b w:val="0"/>
        </w:rPr>
        <w:t xml:space="preserve">led individuals to believe that legality </w:t>
      </w:r>
      <w:r w:rsidR="000930FD">
        <w:rPr>
          <w:b w:val="0"/>
        </w:rPr>
        <w:t xml:space="preserve">arose from </w:t>
      </w:r>
      <w:r w:rsidR="00F64E0F">
        <w:rPr>
          <w:b w:val="0"/>
        </w:rPr>
        <w:t xml:space="preserve">the </w:t>
      </w:r>
      <w:r w:rsidR="000930FD">
        <w:rPr>
          <w:b w:val="0"/>
        </w:rPr>
        <w:t xml:space="preserve">safety of </w:t>
      </w:r>
      <w:r w:rsidR="00311F8D" w:rsidRPr="00F53220">
        <w:rPr>
          <w:b w:val="0"/>
        </w:rPr>
        <w:t>these compounds</w:t>
      </w:r>
      <w:r w:rsidR="000930FD">
        <w:rPr>
          <w:b w:val="0"/>
        </w:rPr>
        <w:t>,</w:t>
      </w:r>
      <w:r w:rsidR="00311F8D" w:rsidRPr="00F53220">
        <w:rPr>
          <w:b w:val="0"/>
        </w:rPr>
        <w:t xml:space="preserve"> resulting in any potential risks </w:t>
      </w:r>
      <w:r w:rsidR="00480499">
        <w:rPr>
          <w:b w:val="0"/>
        </w:rPr>
        <w:t>being underestimated</w:t>
      </w:r>
      <w:r w:rsidR="00311F8D" w:rsidRPr="00F53220">
        <w:rPr>
          <w:b w:val="0"/>
        </w:rPr>
        <w:t xml:space="preserve"> (Ramsay, Dargan, </w:t>
      </w:r>
      <w:proofErr w:type="spellStart"/>
      <w:r w:rsidR="00311F8D" w:rsidRPr="00F53220">
        <w:rPr>
          <w:b w:val="0"/>
        </w:rPr>
        <w:t>Smyllie</w:t>
      </w:r>
      <w:proofErr w:type="spellEnd"/>
      <w:r w:rsidR="00311F8D" w:rsidRPr="00F53220">
        <w:rPr>
          <w:b w:val="0"/>
        </w:rPr>
        <w:t xml:space="preserve">, Davis, Button, Holt &amp; Wood, 2010). </w:t>
      </w:r>
      <w:r w:rsidR="00033FF8">
        <w:rPr>
          <w:b w:val="0"/>
        </w:rPr>
        <w:t xml:space="preserve">With </w:t>
      </w:r>
      <w:r w:rsidR="00EC02C4">
        <w:rPr>
          <w:b w:val="0"/>
        </w:rPr>
        <w:t xml:space="preserve">the recent Psychoactive Substances Bill (2016) </w:t>
      </w:r>
      <w:r w:rsidR="00033FF8">
        <w:rPr>
          <w:b w:val="0"/>
        </w:rPr>
        <w:t xml:space="preserve">in the UK, NPS have become </w:t>
      </w:r>
      <w:r w:rsidR="00EC02C4">
        <w:rPr>
          <w:b w:val="0"/>
        </w:rPr>
        <w:t>illegal</w:t>
      </w:r>
      <w:r w:rsidR="00033FF8">
        <w:rPr>
          <w:b w:val="0"/>
        </w:rPr>
        <w:t xml:space="preserve">, yet </w:t>
      </w:r>
      <w:r w:rsidR="00EC02C4">
        <w:rPr>
          <w:b w:val="0"/>
        </w:rPr>
        <w:t xml:space="preserve">the impact that this change in the law will have on perceptions related to </w:t>
      </w:r>
      <w:r w:rsidR="003C23D2">
        <w:rPr>
          <w:b w:val="0"/>
        </w:rPr>
        <w:t>NPS</w:t>
      </w:r>
      <w:r w:rsidR="00EC02C4">
        <w:rPr>
          <w:b w:val="0"/>
        </w:rPr>
        <w:t>, and ultimately their rates of use</w:t>
      </w:r>
      <w:r w:rsidR="00033FF8">
        <w:rPr>
          <w:b w:val="0"/>
        </w:rPr>
        <w:t>, is uncertain</w:t>
      </w:r>
      <w:r w:rsidR="00EC02C4">
        <w:rPr>
          <w:b w:val="0"/>
        </w:rPr>
        <w:t xml:space="preserve">. </w:t>
      </w:r>
    </w:p>
    <w:p w14:paraId="36F13791" w14:textId="3E79C12B" w:rsidR="005035D4" w:rsidRDefault="005B1AB0" w:rsidP="00342AAF">
      <w:pPr>
        <w:pStyle w:val="BodyText"/>
        <w:spacing w:line="480" w:lineRule="auto"/>
        <w:ind w:firstLine="720"/>
        <w:rPr>
          <w:b w:val="0"/>
        </w:rPr>
      </w:pPr>
      <w:r>
        <w:rPr>
          <w:b w:val="0"/>
        </w:rPr>
        <w:t>NPS</w:t>
      </w:r>
      <w:r w:rsidR="00F53220" w:rsidRPr="00F53220">
        <w:rPr>
          <w:b w:val="0"/>
        </w:rPr>
        <w:t xml:space="preserve"> use </w:t>
      </w:r>
      <w:r w:rsidR="00EC02C4" w:rsidRPr="00F53220">
        <w:rPr>
          <w:b w:val="0"/>
        </w:rPr>
        <w:t>ha</w:t>
      </w:r>
      <w:r w:rsidR="00EC02C4">
        <w:rPr>
          <w:b w:val="0"/>
        </w:rPr>
        <w:t>s</w:t>
      </w:r>
      <w:r w:rsidR="00F556C3">
        <w:rPr>
          <w:b w:val="0"/>
        </w:rPr>
        <w:t xml:space="preserve"> </w:t>
      </w:r>
      <w:r w:rsidR="00EC02C4">
        <w:rPr>
          <w:b w:val="0"/>
        </w:rPr>
        <w:t>e</w:t>
      </w:r>
      <w:r w:rsidR="00F53220" w:rsidRPr="00F53220">
        <w:rPr>
          <w:b w:val="0"/>
        </w:rPr>
        <w:t xml:space="preserve">merged as a new trend in the recreational drug market with numerous </w:t>
      </w:r>
      <w:r w:rsidR="001C329F">
        <w:rPr>
          <w:b w:val="0"/>
        </w:rPr>
        <w:t>studies</w:t>
      </w:r>
      <w:r w:rsidR="00F53220" w:rsidRPr="00F53220">
        <w:rPr>
          <w:b w:val="0"/>
        </w:rPr>
        <w:t xml:space="preserve"> highlighting </w:t>
      </w:r>
      <w:r w:rsidR="001C329F">
        <w:rPr>
          <w:b w:val="0"/>
        </w:rPr>
        <w:t xml:space="preserve">increasing prevalence </w:t>
      </w:r>
      <w:r w:rsidR="00B45F3F">
        <w:rPr>
          <w:b w:val="0"/>
        </w:rPr>
        <w:t xml:space="preserve">and availability </w:t>
      </w:r>
      <w:r w:rsidR="00600591">
        <w:rPr>
          <w:b w:val="0"/>
        </w:rPr>
        <w:t xml:space="preserve">rates (e.g. </w:t>
      </w:r>
      <w:r w:rsidR="0049352A" w:rsidRPr="0049352A">
        <w:rPr>
          <w:b w:val="0"/>
        </w:rPr>
        <w:t>European Monitoring Centre for Drugs and Drug Addiction</w:t>
      </w:r>
      <w:r w:rsidR="00B45F3F">
        <w:rPr>
          <w:b w:val="0"/>
          <w:lang w:val="en-US"/>
        </w:rPr>
        <w:t xml:space="preserve">, 2014; </w:t>
      </w:r>
      <w:proofErr w:type="spellStart"/>
      <w:r w:rsidR="00600591">
        <w:rPr>
          <w:b w:val="0"/>
        </w:rPr>
        <w:t>McCambridge</w:t>
      </w:r>
      <w:proofErr w:type="spellEnd"/>
      <w:r w:rsidR="00600591">
        <w:rPr>
          <w:b w:val="0"/>
        </w:rPr>
        <w:t xml:space="preserve">, </w:t>
      </w:r>
      <w:proofErr w:type="spellStart"/>
      <w:r w:rsidR="00600591">
        <w:rPr>
          <w:b w:val="0"/>
        </w:rPr>
        <w:t>Winsto</w:t>
      </w:r>
      <w:r w:rsidR="001C329F">
        <w:rPr>
          <w:b w:val="0"/>
        </w:rPr>
        <w:t>ck</w:t>
      </w:r>
      <w:proofErr w:type="spellEnd"/>
      <w:r w:rsidR="001C329F">
        <w:rPr>
          <w:b w:val="0"/>
        </w:rPr>
        <w:t xml:space="preserve">, </w:t>
      </w:r>
      <w:r w:rsidR="009F316A">
        <w:rPr>
          <w:b w:val="0"/>
        </w:rPr>
        <w:t xml:space="preserve">Hunt &amp; </w:t>
      </w:r>
      <w:proofErr w:type="spellStart"/>
      <w:r w:rsidR="009F316A">
        <w:rPr>
          <w:b w:val="0"/>
        </w:rPr>
        <w:t>Mitcheson</w:t>
      </w:r>
      <w:proofErr w:type="spellEnd"/>
      <w:r w:rsidR="009F316A">
        <w:rPr>
          <w:b w:val="0"/>
        </w:rPr>
        <w:t xml:space="preserve">, 2007; </w:t>
      </w:r>
      <w:proofErr w:type="spellStart"/>
      <w:r w:rsidR="009F316A">
        <w:rPr>
          <w:b w:val="0"/>
        </w:rPr>
        <w:t>Measham</w:t>
      </w:r>
      <w:proofErr w:type="spellEnd"/>
      <w:r w:rsidR="009F316A">
        <w:rPr>
          <w:b w:val="0"/>
        </w:rPr>
        <w:t>, Wood, Dargan &amp; Moore, 2011)</w:t>
      </w:r>
      <w:r w:rsidR="00DD51CF">
        <w:rPr>
          <w:b w:val="0"/>
        </w:rPr>
        <w:t xml:space="preserve">. Other </w:t>
      </w:r>
      <w:proofErr w:type="spellStart"/>
      <w:r w:rsidR="00DD51CF">
        <w:rPr>
          <w:b w:val="0"/>
        </w:rPr>
        <w:t>reseach</w:t>
      </w:r>
      <w:proofErr w:type="spellEnd"/>
      <w:r w:rsidR="00DD51CF">
        <w:rPr>
          <w:b w:val="0"/>
        </w:rPr>
        <w:t xml:space="preserve"> has shown </w:t>
      </w:r>
      <w:r w:rsidR="00681584">
        <w:rPr>
          <w:b w:val="0"/>
        </w:rPr>
        <w:t>impaired e</w:t>
      </w:r>
      <w:r w:rsidR="005035D4">
        <w:rPr>
          <w:b w:val="0"/>
        </w:rPr>
        <w:t>xecutive function</w:t>
      </w:r>
      <w:r w:rsidR="00681584">
        <w:rPr>
          <w:b w:val="0"/>
        </w:rPr>
        <w:t xml:space="preserve"> among user groups (e.g. </w:t>
      </w:r>
      <w:proofErr w:type="spellStart"/>
      <w:r w:rsidR="00681584">
        <w:rPr>
          <w:b w:val="0"/>
        </w:rPr>
        <w:t>mephedrone</w:t>
      </w:r>
      <w:proofErr w:type="spellEnd"/>
      <w:r w:rsidR="00681584">
        <w:rPr>
          <w:b w:val="0"/>
        </w:rPr>
        <w:t>: Freeman,</w:t>
      </w:r>
      <w:r w:rsidR="0042211F">
        <w:rPr>
          <w:b w:val="0"/>
        </w:rPr>
        <w:t xml:space="preserve"> Morgan, Vaughn-Jo</w:t>
      </w:r>
      <w:r w:rsidR="00681584">
        <w:rPr>
          <w:b w:val="0"/>
        </w:rPr>
        <w:t xml:space="preserve">nes, Hussain, </w:t>
      </w:r>
      <w:proofErr w:type="spellStart"/>
      <w:r w:rsidR="00681584">
        <w:rPr>
          <w:b w:val="0"/>
        </w:rPr>
        <w:t>Karimi</w:t>
      </w:r>
      <w:proofErr w:type="spellEnd"/>
      <w:r w:rsidR="00681584">
        <w:rPr>
          <w:b w:val="0"/>
        </w:rPr>
        <w:t xml:space="preserve"> &amp; Curran, 2012), </w:t>
      </w:r>
      <w:r w:rsidR="00681584">
        <w:rPr>
          <w:b w:val="0"/>
        </w:rPr>
        <w:lastRenderedPageBreak/>
        <w:t xml:space="preserve">and </w:t>
      </w:r>
      <w:r w:rsidR="00F53220" w:rsidRPr="00F53220">
        <w:rPr>
          <w:b w:val="0"/>
        </w:rPr>
        <w:t xml:space="preserve">concern over their detrimental usage including instances of abuse, dependence, </w:t>
      </w:r>
      <w:r w:rsidR="00DF168A">
        <w:rPr>
          <w:b w:val="0"/>
        </w:rPr>
        <w:t xml:space="preserve">habitual use, </w:t>
      </w:r>
      <w:r w:rsidR="00F53220" w:rsidRPr="00F53220">
        <w:rPr>
          <w:b w:val="0"/>
        </w:rPr>
        <w:t xml:space="preserve">severe intoxication and </w:t>
      </w:r>
      <w:r w:rsidR="00681584">
        <w:rPr>
          <w:b w:val="0"/>
        </w:rPr>
        <w:t>fatality</w:t>
      </w:r>
      <w:r w:rsidR="00F53220" w:rsidRPr="00F53220">
        <w:rPr>
          <w:b w:val="0"/>
        </w:rPr>
        <w:t xml:space="preserve"> (</w:t>
      </w:r>
      <w:r w:rsidR="005035D4">
        <w:rPr>
          <w:b w:val="0"/>
        </w:rPr>
        <w:t>e</w:t>
      </w:r>
      <w:r w:rsidR="00FA2A26">
        <w:rPr>
          <w:b w:val="0"/>
        </w:rPr>
        <w:t xml:space="preserve">.g. Bajaj, Mullen &amp; Wylie, </w:t>
      </w:r>
      <w:proofErr w:type="gramStart"/>
      <w:r w:rsidR="00FA2A26">
        <w:rPr>
          <w:b w:val="0"/>
        </w:rPr>
        <w:t>2010;</w:t>
      </w:r>
      <w:r w:rsidR="00F53220" w:rsidRPr="00F53220">
        <w:rPr>
          <w:b w:val="0"/>
        </w:rPr>
        <w:t>Spiller</w:t>
      </w:r>
      <w:proofErr w:type="gramEnd"/>
      <w:r w:rsidR="00F53220" w:rsidRPr="00F53220">
        <w:rPr>
          <w:b w:val="0"/>
        </w:rPr>
        <w:t>,</w:t>
      </w:r>
      <w:r w:rsidR="00F53220">
        <w:rPr>
          <w:b w:val="0"/>
        </w:rPr>
        <w:t xml:space="preserve"> Ryan, Weston &amp; Jansen, 2011). </w:t>
      </w:r>
      <w:r w:rsidR="00C31EAA">
        <w:rPr>
          <w:b w:val="0"/>
        </w:rPr>
        <w:t>For some user</w:t>
      </w:r>
      <w:r w:rsidR="00BD44E4">
        <w:rPr>
          <w:b w:val="0"/>
        </w:rPr>
        <w:t>s,</w:t>
      </w:r>
      <w:r w:rsidR="00475F37">
        <w:rPr>
          <w:b w:val="0"/>
        </w:rPr>
        <w:t xml:space="preserve"> NPS h</w:t>
      </w:r>
      <w:r w:rsidR="00C31EAA">
        <w:rPr>
          <w:b w:val="0"/>
        </w:rPr>
        <w:t>ave become the</w:t>
      </w:r>
      <w:r w:rsidR="00BD44E4">
        <w:rPr>
          <w:b w:val="0"/>
        </w:rPr>
        <w:t>ir main</w:t>
      </w:r>
      <w:r w:rsidR="00C31EAA">
        <w:rPr>
          <w:b w:val="0"/>
        </w:rPr>
        <w:t xml:space="preserve"> drug of choice (Wood, </w:t>
      </w:r>
      <w:proofErr w:type="spellStart"/>
      <w:r w:rsidR="00C31EAA">
        <w:rPr>
          <w:b w:val="0"/>
        </w:rPr>
        <w:t>Measham</w:t>
      </w:r>
      <w:proofErr w:type="spellEnd"/>
      <w:r w:rsidR="00C31EAA">
        <w:rPr>
          <w:b w:val="0"/>
        </w:rPr>
        <w:t xml:space="preserve"> &amp; Dargan, 2012).</w:t>
      </w:r>
    </w:p>
    <w:p w14:paraId="559B0944" w14:textId="639C7BA3" w:rsidR="005D68D5" w:rsidRDefault="00B45F3F" w:rsidP="00342AAF">
      <w:pPr>
        <w:pStyle w:val="BodyText"/>
        <w:spacing w:line="480" w:lineRule="auto"/>
        <w:ind w:firstLine="720"/>
        <w:rPr>
          <w:b w:val="0"/>
        </w:rPr>
      </w:pPr>
      <w:r>
        <w:rPr>
          <w:b w:val="0"/>
        </w:rPr>
        <w:t xml:space="preserve"> </w:t>
      </w:r>
      <w:r w:rsidR="00B0408B">
        <w:rPr>
          <w:b w:val="0"/>
        </w:rPr>
        <w:t xml:space="preserve">Qualitative studies </w:t>
      </w:r>
      <w:r>
        <w:rPr>
          <w:b w:val="0"/>
        </w:rPr>
        <w:t>suggest</w:t>
      </w:r>
      <w:r w:rsidR="00F5040A">
        <w:rPr>
          <w:b w:val="0"/>
        </w:rPr>
        <w:t xml:space="preserve"> various motivati</w:t>
      </w:r>
      <w:r w:rsidR="007D4851">
        <w:rPr>
          <w:b w:val="0"/>
        </w:rPr>
        <w:t>ng</w:t>
      </w:r>
      <w:r w:rsidR="00F5040A">
        <w:rPr>
          <w:b w:val="0"/>
        </w:rPr>
        <w:t xml:space="preserve"> factors associated with</w:t>
      </w:r>
      <w:r w:rsidR="00E613B5">
        <w:rPr>
          <w:b w:val="0"/>
        </w:rPr>
        <w:t xml:space="preserve"> NPS</w:t>
      </w:r>
      <w:r w:rsidR="00F5040A">
        <w:rPr>
          <w:b w:val="0"/>
        </w:rPr>
        <w:t xml:space="preserve"> use</w:t>
      </w:r>
      <w:r w:rsidR="00677EED">
        <w:rPr>
          <w:b w:val="0"/>
        </w:rPr>
        <w:t xml:space="preserve">, for example </w:t>
      </w:r>
      <w:r w:rsidR="00F5040A">
        <w:rPr>
          <w:b w:val="0"/>
        </w:rPr>
        <w:t>legality, availability and accessibility, pricing,</w:t>
      </w:r>
      <w:r w:rsidR="00677EED">
        <w:rPr>
          <w:b w:val="0"/>
        </w:rPr>
        <w:t xml:space="preserve"> and</w:t>
      </w:r>
      <w:r w:rsidR="00F5040A">
        <w:rPr>
          <w:b w:val="0"/>
        </w:rPr>
        <w:t xml:space="preserve"> social </w:t>
      </w:r>
      <w:proofErr w:type="gramStart"/>
      <w:r w:rsidR="00F5040A">
        <w:rPr>
          <w:b w:val="0"/>
        </w:rPr>
        <w:t xml:space="preserve">acceptability  </w:t>
      </w:r>
      <w:r w:rsidR="00F556C3">
        <w:rPr>
          <w:b w:val="0"/>
        </w:rPr>
        <w:t>(</w:t>
      </w:r>
      <w:proofErr w:type="spellStart"/>
      <w:proofErr w:type="gramEnd"/>
      <w:r w:rsidR="00F556C3">
        <w:rPr>
          <w:b w:val="0"/>
        </w:rPr>
        <w:t>e.g</w:t>
      </w:r>
      <w:proofErr w:type="spellEnd"/>
      <w:r w:rsidR="00F556C3">
        <w:rPr>
          <w:b w:val="0"/>
        </w:rPr>
        <w:t xml:space="preserve"> </w:t>
      </w:r>
      <w:r w:rsidR="00F5040A" w:rsidRPr="00342AAF">
        <w:rPr>
          <w:b w:val="0"/>
        </w:rPr>
        <w:t xml:space="preserve">Van </w:t>
      </w:r>
      <w:proofErr w:type="spellStart"/>
      <w:r w:rsidR="00F5040A" w:rsidRPr="00342AAF">
        <w:rPr>
          <w:b w:val="0"/>
        </w:rPr>
        <w:t>Hout</w:t>
      </w:r>
      <w:proofErr w:type="spellEnd"/>
      <w:r w:rsidR="00F5040A" w:rsidRPr="00342AAF">
        <w:rPr>
          <w:b w:val="0"/>
        </w:rPr>
        <w:t xml:space="preserve"> &amp; Brennan, 2011</w:t>
      </w:r>
      <w:r w:rsidR="005F164C" w:rsidRPr="00342AAF">
        <w:rPr>
          <w:b w:val="0"/>
        </w:rPr>
        <w:t>)</w:t>
      </w:r>
      <w:r w:rsidR="00677EED">
        <w:rPr>
          <w:b w:val="0"/>
        </w:rPr>
        <w:t>. R</w:t>
      </w:r>
      <w:r w:rsidR="00BD44E4">
        <w:rPr>
          <w:b w:val="0"/>
        </w:rPr>
        <w:t xml:space="preserve">ecent </w:t>
      </w:r>
      <w:r w:rsidR="00B0408B">
        <w:rPr>
          <w:b w:val="0"/>
        </w:rPr>
        <w:t xml:space="preserve">evidence </w:t>
      </w:r>
      <w:r w:rsidR="00BD44E4">
        <w:rPr>
          <w:b w:val="0"/>
        </w:rPr>
        <w:t xml:space="preserve">has </w:t>
      </w:r>
      <w:r w:rsidR="00677EED">
        <w:rPr>
          <w:b w:val="0"/>
        </w:rPr>
        <w:t xml:space="preserve">also </w:t>
      </w:r>
      <w:r w:rsidR="00BD44E4">
        <w:rPr>
          <w:b w:val="0"/>
        </w:rPr>
        <w:t xml:space="preserve">begun to </w:t>
      </w:r>
      <w:r w:rsidR="00B0408B">
        <w:rPr>
          <w:b w:val="0"/>
        </w:rPr>
        <w:t xml:space="preserve">unpick </w:t>
      </w:r>
      <w:r w:rsidR="00BD44E4">
        <w:rPr>
          <w:b w:val="0"/>
        </w:rPr>
        <w:t xml:space="preserve">the </w:t>
      </w:r>
      <w:r w:rsidR="00513C26">
        <w:rPr>
          <w:b w:val="0"/>
        </w:rPr>
        <w:t xml:space="preserve">reasons </w:t>
      </w:r>
      <w:r w:rsidR="00437EA5">
        <w:rPr>
          <w:b w:val="0"/>
        </w:rPr>
        <w:t>for</w:t>
      </w:r>
      <w:r w:rsidR="00677EED">
        <w:rPr>
          <w:b w:val="0"/>
        </w:rPr>
        <w:t>,</w:t>
      </w:r>
      <w:r w:rsidR="00BD44E4">
        <w:rPr>
          <w:b w:val="0"/>
        </w:rPr>
        <w:t xml:space="preserve"> and consequences of </w:t>
      </w:r>
      <w:r w:rsidR="00677EED">
        <w:rPr>
          <w:b w:val="0"/>
        </w:rPr>
        <w:t xml:space="preserve">NPS </w:t>
      </w:r>
      <w:r w:rsidR="00BD44E4">
        <w:rPr>
          <w:b w:val="0"/>
        </w:rPr>
        <w:t xml:space="preserve">use (Barnard, Russell, </w:t>
      </w:r>
      <w:proofErr w:type="spellStart"/>
      <w:r w:rsidR="00BD44E4">
        <w:rPr>
          <w:b w:val="0"/>
        </w:rPr>
        <w:t>McKeganey</w:t>
      </w:r>
      <w:proofErr w:type="spellEnd"/>
      <w:r w:rsidR="00BD44E4">
        <w:rPr>
          <w:b w:val="0"/>
        </w:rPr>
        <w:t xml:space="preserve"> &amp; Tiffany, </w:t>
      </w:r>
      <w:r w:rsidR="009F2641">
        <w:rPr>
          <w:b w:val="0"/>
        </w:rPr>
        <w:t>2017</w:t>
      </w:r>
      <w:r w:rsidR="00BD44E4">
        <w:rPr>
          <w:b w:val="0"/>
        </w:rPr>
        <w:t>).</w:t>
      </w:r>
    </w:p>
    <w:p w14:paraId="5EED7823" w14:textId="3B2A7105" w:rsidR="00D06107" w:rsidRDefault="005D68D5" w:rsidP="00342AAF">
      <w:pPr>
        <w:pStyle w:val="BodyText"/>
        <w:spacing w:line="480" w:lineRule="auto"/>
        <w:ind w:firstLine="720"/>
        <w:rPr>
          <w:b w:val="0"/>
        </w:rPr>
      </w:pPr>
      <w:r>
        <w:rPr>
          <w:b w:val="0"/>
        </w:rPr>
        <w:t xml:space="preserve">The perceived </w:t>
      </w:r>
      <w:r>
        <w:rPr>
          <w:rStyle w:val="CharAttribute0"/>
          <w:rFonts w:ascii="Times New Roman" w:eastAsia="Batang" w:hAnsi="Times New Roman"/>
          <w:b w:val="0"/>
          <w:sz w:val="24"/>
          <w:szCs w:val="24"/>
        </w:rPr>
        <w:t>‘</w:t>
      </w:r>
      <w:r w:rsidR="007D4851" w:rsidRPr="007D4851">
        <w:rPr>
          <w:rStyle w:val="CharAttribute0"/>
          <w:rFonts w:ascii="Times New Roman" w:eastAsia="Batang" w:hAnsi="Times New Roman"/>
          <w:b w:val="0"/>
          <w:sz w:val="24"/>
          <w:szCs w:val="24"/>
        </w:rPr>
        <w:t>legal</w:t>
      </w:r>
      <w:r>
        <w:rPr>
          <w:rStyle w:val="CharAttribute0"/>
          <w:rFonts w:ascii="Times New Roman" w:eastAsia="Batang" w:hAnsi="Times New Roman"/>
          <w:b w:val="0"/>
          <w:sz w:val="24"/>
          <w:szCs w:val="24"/>
        </w:rPr>
        <w:t>’</w:t>
      </w:r>
      <w:r w:rsidR="007D4851" w:rsidRPr="007D4851">
        <w:rPr>
          <w:rStyle w:val="CharAttribute0"/>
          <w:rFonts w:ascii="Times New Roman" w:eastAsia="Batang" w:hAnsi="Times New Roman"/>
          <w:b w:val="0"/>
          <w:sz w:val="24"/>
          <w:szCs w:val="24"/>
        </w:rPr>
        <w:t xml:space="preserve"> status and availability </w:t>
      </w:r>
      <w:r>
        <w:rPr>
          <w:rStyle w:val="CharAttribute0"/>
          <w:rFonts w:ascii="Times New Roman" w:eastAsia="Batang" w:hAnsi="Times New Roman"/>
          <w:b w:val="0"/>
          <w:sz w:val="24"/>
          <w:szCs w:val="24"/>
        </w:rPr>
        <w:t xml:space="preserve">of NPS </w:t>
      </w:r>
      <w:r w:rsidR="007D4851" w:rsidRPr="007D4851">
        <w:rPr>
          <w:rStyle w:val="CharAttribute0"/>
          <w:rFonts w:ascii="Times New Roman" w:eastAsia="Batang" w:hAnsi="Times New Roman"/>
          <w:b w:val="0"/>
          <w:sz w:val="24"/>
          <w:szCs w:val="24"/>
        </w:rPr>
        <w:t>are not the only motivating factors behind NPS use.</w:t>
      </w:r>
      <w:r w:rsidR="007E275C">
        <w:rPr>
          <w:rStyle w:val="CharAttribute0"/>
          <w:rFonts w:eastAsia="Batang" w:cs="Arial"/>
          <w:sz w:val="20"/>
        </w:rPr>
        <w:t xml:space="preserve"> </w:t>
      </w:r>
      <w:r w:rsidR="007D4851">
        <w:rPr>
          <w:b w:val="0"/>
        </w:rPr>
        <w:t>P</w:t>
      </w:r>
      <w:r w:rsidR="006F41B4">
        <w:rPr>
          <w:b w:val="0"/>
        </w:rPr>
        <w:t>sychologically-based cognitive</w:t>
      </w:r>
      <w:r w:rsidR="007D4851">
        <w:rPr>
          <w:b w:val="0"/>
        </w:rPr>
        <w:t xml:space="preserve"> and </w:t>
      </w:r>
      <w:r w:rsidR="006F41B4">
        <w:rPr>
          <w:b w:val="0"/>
        </w:rPr>
        <w:t>motivational processes</w:t>
      </w:r>
      <w:r>
        <w:rPr>
          <w:b w:val="0"/>
        </w:rPr>
        <w:t xml:space="preserve"> also warrant investigation</w:t>
      </w:r>
      <w:r w:rsidR="00BC7D5B">
        <w:rPr>
          <w:b w:val="0"/>
        </w:rPr>
        <w:t>. T</w:t>
      </w:r>
      <w:r>
        <w:rPr>
          <w:b w:val="0"/>
        </w:rPr>
        <w:t xml:space="preserve">hese </w:t>
      </w:r>
      <w:r w:rsidR="00BC7D5B">
        <w:rPr>
          <w:b w:val="0"/>
        </w:rPr>
        <w:t xml:space="preserve">psychological </w:t>
      </w:r>
      <w:r>
        <w:rPr>
          <w:b w:val="0"/>
        </w:rPr>
        <w:t>processes</w:t>
      </w:r>
      <w:r w:rsidR="006F41B4">
        <w:rPr>
          <w:b w:val="0"/>
        </w:rPr>
        <w:t xml:space="preserve"> may</w:t>
      </w:r>
      <w:r>
        <w:rPr>
          <w:b w:val="0"/>
        </w:rPr>
        <w:t xml:space="preserve"> </w:t>
      </w:r>
      <w:r w:rsidR="006F41B4">
        <w:rPr>
          <w:b w:val="0"/>
        </w:rPr>
        <w:t xml:space="preserve">increase the likelihood of continuing </w:t>
      </w:r>
      <w:r w:rsidR="005B1AB0">
        <w:rPr>
          <w:b w:val="0"/>
        </w:rPr>
        <w:t xml:space="preserve">NPS </w:t>
      </w:r>
      <w:r w:rsidR="006F41B4">
        <w:rPr>
          <w:b w:val="0"/>
        </w:rPr>
        <w:t>use</w:t>
      </w:r>
      <w:r>
        <w:rPr>
          <w:b w:val="0"/>
        </w:rPr>
        <w:t xml:space="preserve">, generating </w:t>
      </w:r>
      <w:r w:rsidR="0043634E">
        <w:rPr>
          <w:b w:val="0"/>
        </w:rPr>
        <w:t>habitual behaviour patterns</w:t>
      </w:r>
      <w:r>
        <w:rPr>
          <w:b w:val="0"/>
        </w:rPr>
        <w:t xml:space="preserve"> that could lead to dependence</w:t>
      </w:r>
      <w:r w:rsidR="006F41B4">
        <w:rPr>
          <w:b w:val="0"/>
        </w:rPr>
        <w:t xml:space="preserve">. </w:t>
      </w:r>
      <w:r w:rsidR="0043634E">
        <w:rPr>
          <w:b w:val="0"/>
        </w:rPr>
        <w:t xml:space="preserve">One such process concerns </w:t>
      </w:r>
      <w:r w:rsidR="0043634E" w:rsidRPr="0043634E">
        <w:rPr>
          <w:b w:val="0"/>
        </w:rPr>
        <w:t xml:space="preserve">preferential attention </w:t>
      </w:r>
      <w:r w:rsidR="0040084F">
        <w:rPr>
          <w:b w:val="0"/>
        </w:rPr>
        <w:t xml:space="preserve">(or attentional bias) </w:t>
      </w:r>
      <w:r w:rsidR="0043634E" w:rsidRPr="0043634E">
        <w:rPr>
          <w:b w:val="0"/>
        </w:rPr>
        <w:t>to concern-related stimuli</w:t>
      </w:r>
      <w:r w:rsidR="008758C2">
        <w:rPr>
          <w:b w:val="0"/>
        </w:rPr>
        <w:t xml:space="preserve"> such as words or images </w:t>
      </w:r>
      <w:r w:rsidR="00513C26">
        <w:rPr>
          <w:b w:val="0"/>
        </w:rPr>
        <w:t xml:space="preserve">associated </w:t>
      </w:r>
      <w:r w:rsidR="008758C2">
        <w:rPr>
          <w:b w:val="0"/>
        </w:rPr>
        <w:t>with NPS</w:t>
      </w:r>
      <w:r w:rsidR="0043634E">
        <w:rPr>
          <w:b w:val="0"/>
        </w:rPr>
        <w:t xml:space="preserve">. </w:t>
      </w:r>
      <w:r w:rsidR="0040084F">
        <w:rPr>
          <w:b w:val="0"/>
        </w:rPr>
        <w:t>Such preferential attention ha</w:t>
      </w:r>
      <w:r w:rsidR="00BC7D5B">
        <w:rPr>
          <w:b w:val="0"/>
        </w:rPr>
        <w:t>s</w:t>
      </w:r>
      <w:r w:rsidR="0040084F">
        <w:rPr>
          <w:b w:val="0"/>
        </w:rPr>
        <w:t xml:space="preserve"> been consistently demonstrated across a number of different </w:t>
      </w:r>
      <w:r w:rsidR="008758C2">
        <w:rPr>
          <w:b w:val="0"/>
        </w:rPr>
        <w:t xml:space="preserve">behaviours, </w:t>
      </w:r>
      <w:r w:rsidR="0040084F">
        <w:rPr>
          <w:b w:val="0"/>
        </w:rPr>
        <w:t xml:space="preserve">including </w:t>
      </w:r>
      <w:r w:rsidR="00D900D4" w:rsidRPr="00D900D4">
        <w:rPr>
          <w:b w:val="0"/>
        </w:rPr>
        <w:t xml:space="preserve">alcohol use (e.g. Sharma, </w:t>
      </w:r>
      <w:proofErr w:type="spellStart"/>
      <w:r w:rsidR="00D900D4" w:rsidRPr="00D900D4">
        <w:rPr>
          <w:b w:val="0"/>
        </w:rPr>
        <w:t>Albery</w:t>
      </w:r>
      <w:proofErr w:type="spellEnd"/>
      <w:r w:rsidR="00D900D4" w:rsidRPr="00D900D4">
        <w:rPr>
          <w:b w:val="0"/>
        </w:rPr>
        <w:t xml:space="preserve"> &amp; Cook, 2001), cannabis use (e.g. Cane, Sharma &amp; </w:t>
      </w:r>
      <w:proofErr w:type="spellStart"/>
      <w:r w:rsidR="00D900D4" w:rsidRPr="00D900D4">
        <w:rPr>
          <w:b w:val="0"/>
        </w:rPr>
        <w:t>Albery</w:t>
      </w:r>
      <w:proofErr w:type="spellEnd"/>
      <w:r w:rsidR="00D900D4" w:rsidRPr="00D900D4">
        <w:rPr>
          <w:b w:val="0"/>
        </w:rPr>
        <w:t xml:space="preserve">, 2009), smoking (e.g. Attwood, O’Sullivan, Leonards, Macintosh &amp; </w:t>
      </w:r>
      <w:proofErr w:type="spellStart"/>
      <w:r w:rsidR="00D900D4" w:rsidRPr="00D900D4">
        <w:rPr>
          <w:b w:val="0"/>
        </w:rPr>
        <w:t>Munafo</w:t>
      </w:r>
      <w:proofErr w:type="spellEnd"/>
      <w:r w:rsidR="00D900D4" w:rsidRPr="00D900D4">
        <w:rPr>
          <w:b w:val="0"/>
        </w:rPr>
        <w:t xml:space="preserve">, 2008), dieting behaviour (Wilson &amp; Wallis, 2013) and </w:t>
      </w:r>
      <w:r w:rsidR="00D06107">
        <w:rPr>
          <w:b w:val="0"/>
        </w:rPr>
        <w:t xml:space="preserve">compulsive </w:t>
      </w:r>
      <w:r w:rsidR="00D900D4" w:rsidRPr="00D900D4">
        <w:rPr>
          <w:b w:val="0"/>
        </w:rPr>
        <w:t>sex-related activity (</w:t>
      </w:r>
      <w:proofErr w:type="spellStart"/>
      <w:r w:rsidR="00D900D4">
        <w:rPr>
          <w:b w:val="0"/>
        </w:rPr>
        <w:t>Albery</w:t>
      </w:r>
      <w:proofErr w:type="spellEnd"/>
      <w:r w:rsidR="00D900D4">
        <w:rPr>
          <w:b w:val="0"/>
        </w:rPr>
        <w:t xml:space="preserve"> et al, </w:t>
      </w:r>
      <w:r w:rsidR="00E15403">
        <w:rPr>
          <w:b w:val="0"/>
        </w:rPr>
        <w:t>2016</w:t>
      </w:r>
      <w:r w:rsidR="00D900D4" w:rsidRPr="00D900D4">
        <w:rPr>
          <w:b w:val="0"/>
        </w:rPr>
        <w:t>).</w:t>
      </w:r>
      <w:r w:rsidR="000B0DC7">
        <w:rPr>
          <w:b w:val="0"/>
        </w:rPr>
        <w:t xml:space="preserve"> </w:t>
      </w:r>
      <w:r w:rsidR="0043634E">
        <w:rPr>
          <w:b w:val="0"/>
        </w:rPr>
        <w:t>It is argued that w</w:t>
      </w:r>
      <w:r w:rsidR="0043634E" w:rsidRPr="0043634E">
        <w:rPr>
          <w:b w:val="0"/>
        </w:rPr>
        <w:t xml:space="preserve">ith repeated </w:t>
      </w:r>
      <w:r w:rsidR="00B26BB7">
        <w:rPr>
          <w:b w:val="0"/>
        </w:rPr>
        <w:t xml:space="preserve">patterns of </w:t>
      </w:r>
      <w:r w:rsidR="0043634E" w:rsidRPr="0043634E">
        <w:rPr>
          <w:b w:val="0"/>
        </w:rPr>
        <w:t xml:space="preserve">behaviour these concern-related stimuli are </w:t>
      </w:r>
      <w:r w:rsidR="008758C2">
        <w:rPr>
          <w:b w:val="0"/>
        </w:rPr>
        <w:t>perceived</w:t>
      </w:r>
      <w:r w:rsidR="0043634E" w:rsidRPr="0043634E">
        <w:rPr>
          <w:b w:val="0"/>
        </w:rPr>
        <w:t xml:space="preserve"> </w:t>
      </w:r>
      <w:r w:rsidR="0043634E">
        <w:rPr>
          <w:b w:val="0"/>
        </w:rPr>
        <w:t xml:space="preserve">without conscious awareness </w:t>
      </w:r>
      <w:r w:rsidR="0043634E" w:rsidRPr="0043634E">
        <w:rPr>
          <w:b w:val="0"/>
        </w:rPr>
        <w:t xml:space="preserve">and </w:t>
      </w:r>
      <w:r w:rsidR="0043634E">
        <w:rPr>
          <w:b w:val="0"/>
        </w:rPr>
        <w:t xml:space="preserve">are associated </w:t>
      </w:r>
      <w:r w:rsidR="00B26BB7">
        <w:rPr>
          <w:b w:val="0"/>
        </w:rPr>
        <w:t xml:space="preserve">with </w:t>
      </w:r>
      <w:r w:rsidR="00BC7D5B">
        <w:rPr>
          <w:b w:val="0"/>
        </w:rPr>
        <w:t xml:space="preserve">an </w:t>
      </w:r>
      <w:r w:rsidR="0040084F">
        <w:rPr>
          <w:b w:val="0"/>
        </w:rPr>
        <w:t xml:space="preserve">increased </w:t>
      </w:r>
      <w:r w:rsidR="0043634E" w:rsidRPr="0043634E">
        <w:rPr>
          <w:b w:val="0"/>
        </w:rPr>
        <w:t xml:space="preserve">desire </w:t>
      </w:r>
      <w:r w:rsidR="00B26BB7">
        <w:rPr>
          <w:b w:val="0"/>
        </w:rPr>
        <w:t xml:space="preserve">or predisposition </w:t>
      </w:r>
      <w:r w:rsidR="0043634E" w:rsidRPr="0043634E">
        <w:rPr>
          <w:b w:val="0"/>
        </w:rPr>
        <w:t xml:space="preserve">to </w:t>
      </w:r>
      <w:r w:rsidR="0040084F">
        <w:rPr>
          <w:b w:val="0"/>
        </w:rPr>
        <w:t>subsequently behave in the same way</w:t>
      </w:r>
      <w:r w:rsidR="0032581E">
        <w:rPr>
          <w:b w:val="0"/>
        </w:rPr>
        <w:t xml:space="preserve">, ultimately </w:t>
      </w:r>
      <w:r w:rsidR="000B0DC7">
        <w:rPr>
          <w:b w:val="0"/>
        </w:rPr>
        <w:t xml:space="preserve">leading to </w:t>
      </w:r>
      <w:r w:rsidR="000B0DC7">
        <w:rPr>
          <w:b w:val="0"/>
        </w:rPr>
        <w:lastRenderedPageBreak/>
        <w:t>habitual behaviours</w:t>
      </w:r>
      <w:r w:rsidR="0032581E">
        <w:rPr>
          <w:b w:val="0"/>
        </w:rPr>
        <w:t>, and possible dependence</w:t>
      </w:r>
      <w:r w:rsidR="0040084F">
        <w:rPr>
          <w:b w:val="0"/>
        </w:rPr>
        <w:t xml:space="preserve"> </w:t>
      </w:r>
      <w:r w:rsidR="0043634E" w:rsidRPr="0043634E">
        <w:rPr>
          <w:b w:val="0"/>
        </w:rPr>
        <w:t>(se</w:t>
      </w:r>
      <w:r w:rsidR="00F23382" w:rsidRPr="00342AAF">
        <w:rPr>
          <w:b w:val="0"/>
        </w:rPr>
        <w:t xml:space="preserve">e Field, </w:t>
      </w:r>
      <w:proofErr w:type="spellStart"/>
      <w:r w:rsidR="00F23382" w:rsidRPr="00342AAF">
        <w:rPr>
          <w:b w:val="0"/>
        </w:rPr>
        <w:t>Munafo</w:t>
      </w:r>
      <w:proofErr w:type="spellEnd"/>
      <w:r w:rsidR="00F23382" w:rsidRPr="00342AAF">
        <w:rPr>
          <w:b w:val="0"/>
        </w:rPr>
        <w:t xml:space="preserve"> &amp; Franken, 2009</w:t>
      </w:r>
      <w:r w:rsidR="00B26BB7">
        <w:rPr>
          <w:b w:val="0"/>
        </w:rPr>
        <w:t xml:space="preserve">, </w:t>
      </w:r>
      <w:r w:rsidR="001C4D37">
        <w:rPr>
          <w:b w:val="0"/>
        </w:rPr>
        <w:t xml:space="preserve">Janssen, Larsen, </w:t>
      </w:r>
      <w:proofErr w:type="spellStart"/>
      <w:r w:rsidR="001C4D37">
        <w:rPr>
          <w:b w:val="0"/>
        </w:rPr>
        <w:t>Vollebergh</w:t>
      </w:r>
      <w:proofErr w:type="spellEnd"/>
      <w:r w:rsidR="001C4D37">
        <w:rPr>
          <w:b w:val="0"/>
        </w:rPr>
        <w:t xml:space="preserve"> &amp; </w:t>
      </w:r>
      <w:proofErr w:type="spellStart"/>
      <w:r w:rsidR="001C4D37">
        <w:rPr>
          <w:b w:val="0"/>
        </w:rPr>
        <w:t>Wiers</w:t>
      </w:r>
      <w:proofErr w:type="spellEnd"/>
      <w:r w:rsidR="001C4D37">
        <w:rPr>
          <w:b w:val="0"/>
        </w:rPr>
        <w:t>, 2015</w:t>
      </w:r>
      <w:r w:rsidR="0043634E" w:rsidRPr="0043634E">
        <w:rPr>
          <w:b w:val="0"/>
        </w:rPr>
        <w:t>)</w:t>
      </w:r>
      <w:r w:rsidR="00D06107">
        <w:rPr>
          <w:b w:val="0"/>
        </w:rPr>
        <w:t>.</w:t>
      </w:r>
    </w:p>
    <w:p w14:paraId="5726B4F9" w14:textId="5DAB24C3" w:rsidR="00964BDC" w:rsidRDefault="00F23382" w:rsidP="00D63B26">
      <w:pPr>
        <w:pStyle w:val="BodyText"/>
        <w:spacing w:line="480" w:lineRule="auto"/>
        <w:ind w:firstLine="720"/>
        <w:rPr>
          <w:b w:val="0"/>
        </w:rPr>
      </w:pPr>
      <w:r>
        <w:rPr>
          <w:b w:val="0"/>
        </w:rPr>
        <w:t xml:space="preserve">Theoretically, attentional bias for different substances </w:t>
      </w:r>
      <w:r w:rsidR="0032581E">
        <w:rPr>
          <w:b w:val="0"/>
        </w:rPr>
        <w:t xml:space="preserve">is </w:t>
      </w:r>
      <w:r>
        <w:rPr>
          <w:b w:val="0"/>
        </w:rPr>
        <w:t xml:space="preserve">likely to reflect </w:t>
      </w:r>
      <w:r w:rsidRPr="00342AAF">
        <w:rPr>
          <w:b w:val="0"/>
        </w:rPr>
        <w:t xml:space="preserve">a dopaminergic response </w:t>
      </w:r>
      <w:proofErr w:type="gramStart"/>
      <w:r w:rsidRPr="00342AAF">
        <w:rPr>
          <w:b w:val="0"/>
        </w:rPr>
        <w:t xml:space="preserve">which </w:t>
      </w:r>
      <w:r w:rsidR="00437577">
        <w:rPr>
          <w:b w:val="0"/>
        </w:rPr>
        <w:t xml:space="preserve"> increases</w:t>
      </w:r>
      <w:proofErr w:type="gramEnd"/>
      <w:r w:rsidRPr="00342AAF">
        <w:rPr>
          <w:b w:val="0"/>
        </w:rPr>
        <w:t xml:space="preserve"> with repeated use and becomes sensitized</w:t>
      </w:r>
      <w:r w:rsidR="00B10ADD">
        <w:rPr>
          <w:b w:val="0"/>
        </w:rPr>
        <w:t xml:space="preserve"> (Robinson &amp; </w:t>
      </w:r>
      <w:proofErr w:type="spellStart"/>
      <w:r w:rsidR="00B10ADD">
        <w:rPr>
          <w:b w:val="0"/>
        </w:rPr>
        <w:t>Berridge</w:t>
      </w:r>
      <w:proofErr w:type="spellEnd"/>
      <w:r w:rsidR="00B10ADD">
        <w:rPr>
          <w:b w:val="0"/>
        </w:rPr>
        <w:t xml:space="preserve">, 2001). </w:t>
      </w:r>
      <w:r w:rsidRPr="00342AAF">
        <w:rPr>
          <w:b w:val="0"/>
        </w:rPr>
        <w:t>This sensitization results in the substance becoming increasingly salient</w:t>
      </w:r>
      <w:r w:rsidR="000B0DC7">
        <w:rPr>
          <w:b w:val="0"/>
        </w:rPr>
        <w:t>, developing intrinsic</w:t>
      </w:r>
      <w:r w:rsidRPr="00342AAF">
        <w:rPr>
          <w:b w:val="0"/>
        </w:rPr>
        <w:t xml:space="preserve"> motivational properties (i.e. incentives for continued use)</w:t>
      </w:r>
      <w:r w:rsidR="000B0DC7">
        <w:rPr>
          <w:b w:val="0"/>
        </w:rPr>
        <w:t>, and ultimately</w:t>
      </w:r>
      <w:r w:rsidRPr="00342AAF">
        <w:rPr>
          <w:b w:val="0"/>
        </w:rPr>
        <w:t xml:space="preserve"> leading to the development of craving. </w:t>
      </w:r>
      <w:r w:rsidR="00576EF4">
        <w:rPr>
          <w:b w:val="0"/>
        </w:rPr>
        <w:t>Consequently, t</w:t>
      </w:r>
      <w:r w:rsidRPr="00342AAF">
        <w:rPr>
          <w:b w:val="0"/>
        </w:rPr>
        <w:t xml:space="preserve">he </w:t>
      </w:r>
      <w:r w:rsidR="00437577">
        <w:rPr>
          <w:b w:val="0"/>
        </w:rPr>
        <w:t>substance</w:t>
      </w:r>
      <w:r w:rsidRPr="00342AAF">
        <w:rPr>
          <w:b w:val="0"/>
        </w:rPr>
        <w:t xml:space="preserve"> itself</w:t>
      </w:r>
      <w:r w:rsidR="00576EF4">
        <w:rPr>
          <w:b w:val="0"/>
        </w:rPr>
        <w:t>, and related cues,</w:t>
      </w:r>
      <w:r w:rsidRPr="00342AAF">
        <w:rPr>
          <w:b w:val="0"/>
        </w:rPr>
        <w:t xml:space="preserve"> will </w:t>
      </w:r>
      <w:r w:rsidR="00437577">
        <w:rPr>
          <w:b w:val="0"/>
        </w:rPr>
        <w:t xml:space="preserve">grab </w:t>
      </w:r>
      <w:r w:rsidRPr="00342AAF">
        <w:rPr>
          <w:b w:val="0"/>
        </w:rPr>
        <w:t>attention, be perceived as ‘wanted’</w:t>
      </w:r>
      <w:r w:rsidR="000B0DC7">
        <w:rPr>
          <w:b w:val="0"/>
        </w:rPr>
        <w:t>,</w:t>
      </w:r>
      <w:r w:rsidRPr="00342AAF">
        <w:rPr>
          <w:b w:val="0"/>
        </w:rPr>
        <w:t xml:space="preserve"> and guide future behaviour (</w:t>
      </w:r>
      <w:r w:rsidRPr="0043634E">
        <w:rPr>
          <w:b w:val="0"/>
        </w:rPr>
        <w:t>Franken, 2003</w:t>
      </w:r>
      <w:r w:rsidR="00CA6CC3">
        <w:rPr>
          <w:b w:val="0"/>
        </w:rPr>
        <w:t xml:space="preserve">; Robinson &amp; </w:t>
      </w:r>
      <w:proofErr w:type="spellStart"/>
      <w:r w:rsidR="00CA6CC3">
        <w:rPr>
          <w:b w:val="0"/>
        </w:rPr>
        <w:t>Berridge</w:t>
      </w:r>
      <w:proofErr w:type="spellEnd"/>
      <w:r w:rsidR="00CA6CC3">
        <w:rPr>
          <w:b w:val="0"/>
        </w:rPr>
        <w:t>, 2001</w:t>
      </w:r>
      <w:r w:rsidRPr="00342AAF">
        <w:rPr>
          <w:b w:val="0"/>
        </w:rPr>
        <w:t xml:space="preserve">). </w:t>
      </w:r>
      <w:r w:rsidR="00D06107">
        <w:rPr>
          <w:b w:val="0"/>
        </w:rPr>
        <w:t>T</w:t>
      </w:r>
      <w:r w:rsidR="00342AAF">
        <w:rPr>
          <w:b w:val="0"/>
        </w:rPr>
        <w:t xml:space="preserve">his subjective “wanting” experience has already been identified in the </w:t>
      </w:r>
      <w:proofErr w:type="spellStart"/>
      <w:r w:rsidR="00342AAF">
        <w:rPr>
          <w:b w:val="0"/>
        </w:rPr>
        <w:t>mephedrone</w:t>
      </w:r>
      <w:proofErr w:type="spellEnd"/>
      <w:r w:rsidR="00342AAF">
        <w:rPr>
          <w:b w:val="0"/>
        </w:rPr>
        <w:t xml:space="preserve"> literature (Freeman </w:t>
      </w:r>
      <w:r w:rsidR="00D06107">
        <w:rPr>
          <w:b w:val="0"/>
        </w:rPr>
        <w:t>et al, 2012</w:t>
      </w:r>
      <w:r w:rsidR="00342AAF">
        <w:rPr>
          <w:b w:val="0"/>
        </w:rPr>
        <w:t>)</w:t>
      </w:r>
      <w:r w:rsidR="00D06107">
        <w:rPr>
          <w:b w:val="0"/>
        </w:rPr>
        <w:t xml:space="preserve">. Given that attentional bias acts as a cognitive marker of this sensitisation, </w:t>
      </w:r>
      <w:r w:rsidR="000B0DC7">
        <w:rPr>
          <w:b w:val="0"/>
        </w:rPr>
        <w:t xml:space="preserve">a </w:t>
      </w:r>
      <w:r w:rsidR="00D06107">
        <w:rPr>
          <w:b w:val="0"/>
        </w:rPr>
        <w:t xml:space="preserve">heightened bias </w:t>
      </w:r>
      <w:r w:rsidR="000B0DC7">
        <w:rPr>
          <w:b w:val="0"/>
        </w:rPr>
        <w:t>towards</w:t>
      </w:r>
      <w:r w:rsidR="003F6AC9">
        <w:rPr>
          <w:b w:val="0"/>
        </w:rPr>
        <w:t xml:space="preserve"> </w:t>
      </w:r>
      <w:r w:rsidR="005B1AB0">
        <w:rPr>
          <w:b w:val="0"/>
        </w:rPr>
        <w:t xml:space="preserve">NPS </w:t>
      </w:r>
      <w:r w:rsidR="000B0DC7">
        <w:rPr>
          <w:b w:val="0"/>
        </w:rPr>
        <w:t>stimuli c</w:t>
      </w:r>
      <w:r w:rsidR="00D06107">
        <w:rPr>
          <w:b w:val="0"/>
        </w:rPr>
        <w:t xml:space="preserve">ould be </w:t>
      </w:r>
      <w:r w:rsidR="000B0DC7">
        <w:rPr>
          <w:b w:val="0"/>
        </w:rPr>
        <w:t>evident in NPS users</w:t>
      </w:r>
      <w:r w:rsidR="00D06107">
        <w:rPr>
          <w:b w:val="0"/>
        </w:rPr>
        <w:t xml:space="preserve">. </w:t>
      </w:r>
    </w:p>
    <w:p w14:paraId="02F9A1A2" w14:textId="09AE246F" w:rsidR="003C0DE9" w:rsidRDefault="00513C26" w:rsidP="00567A1D">
      <w:pPr>
        <w:pStyle w:val="BodyText"/>
        <w:spacing w:line="480" w:lineRule="auto"/>
        <w:ind w:firstLine="720"/>
        <w:rPr>
          <w:b w:val="0"/>
        </w:rPr>
      </w:pPr>
      <w:r>
        <w:rPr>
          <w:b w:val="0"/>
        </w:rPr>
        <w:t xml:space="preserve">Another important process linked to habitual use of addictive substances </w:t>
      </w:r>
      <w:r w:rsidR="00AB0AEC">
        <w:rPr>
          <w:b w:val="0"/>
        </w:rPr>
        <w:t xml:space="preserve">concerns </w:t>
      </w:r>
      <w:r w:rsidR="00D06107">
        <w:rPr>
          <w:b w:val="0"/>
        </w:rPr>
        <w:t>expectancies</w:t>
      </w:r>
      <w:r w:rsidR="004B7E98">
        <w:rPr>
          <w:b w:val="0"/>
        </w:rPr>
        <w:t>. Expectancies</w:t>
      </w:r>
      <w:r w:rsidR="00044B70">
        <w:rPr>
          <w:b w:val="0"/>
        </w:rPr>
        <w:t xml:space="preserve"> </w:t>
      </w:r>
      <w:r w:rsidR="00044B70" w:rsidRPr="00044B70">
        <w:rPr>
          <w:b w:val="0"/>
        </w:rPr>
        <w:t xml:space="preserve">use previously learned information to </w:t>
      </w:r>
      <w:r w:rsidR="00044B70" w:rsidRPr="003C0DE9">
        <w:rPr>
          <w:b w:val="0"/>
          <w:i/>
        </w:rPr>
        <w:t>anticipate</w:t>
      </w:r>
      <w:r w:rsidR="00044B70" w:rsidRPr="00044B70">
        <w:rPr>
          <w:b w:val="0"/>
        </w:rPr>
        <w:t xml:space="preserve"> the outcomes of one’s </w:t>
      </w:r>
      <w:r w:rsidR="00964BDC">
        <w:rPr>
          <w:b w:val="0"/>
        </w:rPr>
        <w:t xml:space="preserve">future </w:t>
      </w:r>
      <w:r w:rsidR="00044B70" w:rsidRPr="00044B70">
        <w:rPr>
          <w:b w:val="0"/>
        </w:rPr>
        <w:t>behaviour</w:t>
      </w:r>
      <w:r w:rsidR="003C0DE9">
        <w:rPr>
          <w:b w:val="0"/>
        </w:rPr>
        <w:t xml:space="preserve"> and are </w:t>
      </w:r>
      <w:r w:rsidR="003C0DE9" w:rsidRPr="003C0DE9">
        <w:rPr>
          <w:b w:val="0"/>
          <w:i/>
        </w:rPr>
        <w:t>goal-orientated</w:t>
      </w:r>
      <w:r w:rsidR="00AB0AEC">
        <w:rPr>
          <w:b w:val="0"/>
        </w:rPr>
        <w:t>. Expectancies</w:t>
      </w:r>
      <w:r w:rsidR="002E1665">
        <w:rPr>
          <w:b w:val="0"/>
        </w:rPr>
        <w:t xml:space="preserve"> </w:t>
      </w:r>
      <w:r w:rsidR="00044B70">
        <w:rPr>
          <w:b w:val="0"/>
        </w:rPr>
        <w:t xml:space="preserve">have been demonstrated </w:t>
      </w:r>
      <w:r w:rsidR="00AB0AEC">
        <w:rPr>
          <w:b w:val="0"/>
        </w:rPr>
        <w:t>to</w:t>
      </w:r>
      <w:r w:rsidR="00044B70">
        <w:rPr>
          <w:b w:val="0"/>
        </w:rPr>
        <w:t xml:space="preserve"> facilitat</w:t>
      </w:r>
      <w:r w:rsidR="002E1665">
        <w:rPr>
          <w:b w:val="0"/>
        </w:rPr>
        <w:t xml:space="preserve">e </w:t>
      </w:r>
      <w:r w:rsidR="00044B70">
        <w:rPr>
          <w:b w:val="0"/>
        </w:rPr>
        <w:t>(</w:t>
      </w:r>
      <w:r w:rsidR="001C4D37">
        <w:rPr>
          <w:b w:val="0"/>
        </w:rPr>
        <w:t xml:space="preserve">via </w:t>
      </w:r>
      <w:r w:rsidR="00044B70">
        <w:rPr>
          <w:b w:val="0"/>
        </w:rPr>
        <w:t>positive expectancies) or inhibit (</w:t>
      </w:r>
      <w:r w:rsidR="001C4D37">
        <w:rPr>
          <w:b w:val="0"/>
        </w:rPr>
        <w:t xml:space="preserve">via </w:t>
      </w:r>
      <w:r w:rsidR="00044B70">
        <w:rPr>
          <w:b w:val="0"/>
        </w:rPr>
        <w:t>negative expectancies) on-going addictive behaviours (</w:t>
      </w:r>
      <w:r w:rsidR="003C0DE9">
        <w:rPr>
          <w:b w:val="0"/>
        </w:rPr>
        <w:t>see Reich &amp; Goldman, 201</w:t>
      </w:r>
      <w:r w:rsidR="00B35374">
        <w:rPr>
          <w:b w:val="0"/>
        </w:rPr>
        <w:t>5; Reich, Below &amp; Goldman, 2</w:t>
      </w:r>
      <w:r w:rsidR="003C0DE9">
        <w:rPr>
          <w:b w:val="0"/>
        </w:rPr>
        <w:t xml:space="preserve">010; </w:t>
      </w:r>
      <w:r w:rsidR="006D6436">
        <w:rPr>
          <w:b w:val="0"/>
        </w:rPr>
        <w:t xml:space="preserve">Cox, Klinger &amp; </w:t>
      </w:r>
      <w:proofErr w:type="spellStart"/>
      <w:r w:rsidR="006D6436">
        <w:rPr>
          <w:b w:val="0"/>
        </w:rPr>
        <w:t>Fadardi</w:t>
      </w:r>
      <w:proofErr w:type="spellEnd"/>
      <w:r w:rsidR="006D6436">
        <w:rPr>
          <w:b w:val="0"/>
        </w:rPr>
        <w:t>, 2015</w:t>
      </w:r>
      <w:r w:rsidR="0077336E">
        <w:rPr>
          <w:b w:val="0"/>
        </w:rPr>
        <w:t xml:space="preserve">; </w:t>
      </w:r>
      <w:r w:rsidR="00044B70">
        <w:rPr>
          <w:b w:val="0"/>
        </w:rPr>
        <w:t xml:space="preserve">Sheeran, </w:t>
      </w:r>
      <w:proofErr w:type="spellStart"/>
      <w:r w:rsidR="00044B70" w:rsidRPr="00044B70">
        <w:rPr>
          <w:b w:val="0"/>
        </w:rPr>
        <w:t>Aarts</w:t>
      </w:r>
      <w:proofErr w:type="spellEnd"/>
      <w:r w:rsidR="00044B70" w:rsidRPr="00044B70">
        <w:rPr>
          <w:b w:val="0"/>
        </w:rPr>
        <w:t xml:space="preserve">, </w:t>
      </w:r>
      <w:proofErr w:type="spellStart"/>
      <w:r w:rsidR="00044B70" w:rsidRPr="00044B70">
        <w:rPr>
          <w:b w:val="0"/>
        </w:rPr>
        <w:t>Custe</w:t>
      </w:r>
      <w:r w:rsidR="0077336E">
        <w:rPr>
          <w:b w:val="0"/>
        </w:rPr>
        <w:t>rs</w:t>
      </w:r>
      <w:proofErr w:type="spellEnd"/>
      <w:r w:rsidR="0077336E">
        <w:rPr>
          <w:b w:val="0"/>
        </w:rPr>
        <w:t xml:space="preserve">, </w:t>
      </w:r>
      <w:proofErr w:type="spellStart"/>
      <w:r w:rsidR="0077336E">
        <w:rPr>
          <w:b w:val="0"/>
        </w:rPr>
        <w:t>Rivis</w:t>
      </w:r>
      <w:proofErr w:type="spellEnd"/>
      <w:r w:rsidR="0077336E">
        <w:rPr>
          <w:b w:val="0"/>
        </w:rPr>
        <w:t xml:space="preserve">, Webb, &amp; Cooke, 2005; </w:t>
      </w:r>
      <w:proofErr w:type="spellStart"/>
      <w:r w:rsidR="0077336E">
        <w:rPr>
          <w:b w:val="0"/>
        </w:rPr>
        <w:t>Albery</w:t>
      </w:r>
      <w:proofErr w:type="spellEnd"/>
      <w:r w:rsidR="0077336E">
        <w:rPr>
          <w:b w:val="0"/>
        </w:rPr>
        <w:t xml:space="preserve">, Collins, Moss, Frings &amp; </w:t>
      </w:r>
      <w:proofErr w:type="spellStart"/>
      <w:r w:rsidR="0077336E">
        <w:rPr>
          <w:b w:val="0"/>
        </w:rPr>
        <w:t>Spada</w:t>
      </w:r>
      <w:proofErr w:type="spellEnd"/>
      <w:r w:rsidR="0077336E">
        <w:rPr>
          <w:b w:val="0"/>
        </w:rPr>
        <w:t>, 2015)</w:t>
      </w:r>
      <w:r w:rsidR="00475F37">
        <w:rPr>
          <w:b w:val="0"/>
        </w:rPr>
        <w:t>. They have also</w:t>
      </w:r>
      <w:r w:rsidR="00B10ADD">
        <w:rPr>
          <w:b w:val="0"/>
        </w:rPr>
        <w:t xml:space="preserve"> </w:t>
      </w:r>
      <w:r w:rsidR="00475F37">
        <w:rPr>
          <w:b w:val="0"/>
        </w:rPr>
        <w:t>been shown</w:t>
      </w:r>
      <w:r w:rsidR="0077336E">
        <w:rPr>
          <w:b w:val="0"/>
        </w:rPr>
        <w:t xml:space="preserve"> </w:t>
      </w:r>
      <w:r w:rsidR="00F51E0E">
        <w:rPr>
          <w:b w:val="0"/>
        </w:rPr>
        <w:t xml:space="preserve">to </w:t>
      </w:r>
      <w:r w:rsidR="00044B70">
        <w:rPr>
          <w:b w:val="0"/>
        </w:rPr>
        <w:t>discriminate between groups of users (</w:t>
      </w:r>
      <w:r w:rsidR="006D6436">
        <w:rPr>
          <w:b w:val="0"/>
        </w:rPr>
        <w:t>see Goldman, Reich &amp; Darkes,</w:t>
      </w:r>
      <w:r w:rsidR="003C0DE9">
        <w:rPr>
          <w:b w:val="0"/>
        </w:rPr>
        <w:t xml:space="preserve"> 2006; </w:t>
      </w:r>
      <w:r w:rsidR="00044B70" w:rsidRPr="00044B70">
        <w:rPr>
          <w:b w:val="0"/>
        </w:rPr>
        <w:t xml:space="preserve">Connors, O’Farrell, Cutter, &amp; Thompson, </w:t>
      </w:r>
      <w:r w:rsidR="006E5472">
        <w:rPr>
          <w:b w:val="0"/>
        </w:rPr>
        <w:t>1986</w:t>
      </w:r>
      <w:r w:rsidR="00044B70">
        <w:rPr>
          <w:b w:val="0"/>
        </w:rPr>
        <w:t>)</w:t>
      </w:r>
      <w:r w:rsidR="0077336E">
        <w:rPr>
          <w:b w:val="0"/>
        </w:rPr>
        <w:t>, and to operate differently according to context (Monk &amp; Heim, 2013</w:t>
      </w:r>
      <w:r w:rsidR="00437EA5">
        <w:rPr>
          <w:b w:val="0"/>
        </w:rPr>
        <w:t>).</w:t>
      </w:r>
      <w:r w:rsidR="007E275C">
        <w:rPr>
          <w:b w:val="0"/>
        </w:rPr>
        <w:t xml:space="preserve"> </w:t>
      </w:r>
      <w:r w:rsidR="001F6B48">
        <w:rPr>
          <w:b w:val="0"/>
        </w:rPr>
        <w:t xml:space="preserve">In </w:t>
      </w:r>
      <w:r w:rsidR="00AB0AEC">
        <w:rPr>
          <w:b w:val="0"/>
        </w:rPr>
        <w:t xml:space="preserve">particular, </w:t>
      </w:r>
      <w:r w:rsidR="001F6B48">
        <w:rPr>
          <w:b w:val="0"/>
        </w:rPr>
        <w:t>work from the alcohol field has demonstrated that</w:t>
      </w:r>
      <w:r w:rsidR="00AB0AEC">
        <w:rPr>
          <w:b w:val="0"/>
        </w:rPr>
        <w:t xml:space="preserve"> </w:t>
      </w:r>
      <w:r w:rsidR="001F6B48">
        <w:rPr>
          <w:b w:val="0"/>
        </w:rPr>
        <w:t xml:space="preserve">priming individuals </w:t>
      </w:r>
      <w:r w:rsidR="001F6B48">
        <w:rPr>
          <w:b w:val="0"/>
        </w:rPr>
        <w:lastRenderedPageBreak/>
        <w:t>with related cues</w:t>
      </w:r>
      <w:r w:rsidR="00DB24C1">
        <w:rPr>
          <w:b w:val="0"/>
        </w:rPr>
        <w:t>, and in theory</w:t>
      </w:r>
      <w:r w:rsidR="0032581E">
        <w:rPr>
          <w:b w:val="0"/>
        </w:rPr>
        <w:t>,</w:t>
      </w:r>
      <w:r w:rsidR="00DB24C1">
        <w:rPr>
          <w:b w:val="0"/>
        </w:rPr>
        <w:t xml:space="preserve"> making such cues more salient</w:t>
      </w:r>
      <w:r w:rsidR="0022472B">
        <w:rPr>
          <w:b w:val="0"/>
        </w:rPr>
        <w:t>/accessible</w:t>
      </w:r>
      <w:r w:rsidR="00DB24C1">
        <w:rPr>
          <w:b w:val="0"/>
        </w:rPr>
        <w:t xml:space="preserve">, has an effect </w:t>
      </w:r>
      <w:r w:rsidR="0022472B">
        <w:rPr>
          <w:b w:val="0"/>
        </w:rPr>
        <w:t xml:space="preserve">on </w:t>
      </w:r>
      <w:r w:rsidR="00DB24C1">
        <w:rPr>
          <w:b w:val="0"/>
        </w:rPr>
        <w:t xml:space="preserve">subsequent behaviour (e.g. </w:t>
      </w:r>
      <w:r w:rsidR="0022472B">
        <w:rPr>
          <w:b w:val="0"/>
        </w:rPr>
        <w:t xml:space="preserve">Moss &amp; </w:t>
      </w:r>
      <w:proofErr w:type="spellStart"/>
      <w:r w:rsidR="0022472B">
        <w:rPr>
          <w:b w:val="0"/>
        </w:rPr>
        <w:t>Albery</w:t>
      </w:r>
      <w:proofErr w:type="spellEnd"/>
      <w:r w:rsidR="0022472B">
        <w:rPr>
          <w:b w:val="0"/>
        </w:rPr>
        <w:t xml:space="preserve">, 2009; </w:t>
      </w:r>
      <w:r w:rsidR="00DB24C1" w:rsidRPr="00DB24C1">
        <w:rPr>
          <w:b w:val="0"/>
        </w:rPr>
        <w:t xml:space="preserve">Friedman, McCarthy, </w:t>
      </w:r>
      <w:proofErr w:type="spellStart"/>
      <w:r w:rsidR="00DB24C1" w:rsidRPr="00DB24C1">
        <w:rPr>
          <w:b w:val="0"/>
        </w:rPr>
        <w:t>Bartholow</w:t>
      </w:r>
      <w:proofErr w:type="spellEnd"/>
      <w:r w:rsidR="00DB24C1" w:rsidRPr="00DB24C1">
        <w:rPr>
          <w:b w:val="0"/>
        </w:rPr>
        <w:t>, &amp; Hicks, 2007</w:t>
      </w:r>
      <w:r w:rsidR="00DB24C1">
        <w:rPr>
          <w:b w:val="0"/>
        </w:rPr>
        <w:t>).</w:t>
      </w:r>
      <w:r w:rsidR="004B7E98">
        <w:rPr>
          <w:b w:val="0"/>
        </w:rPr>
        <w:t xml:space="preserve"> </w:t>
      </w:r>
      <w:r w:rsidR="004A610C">
        <w:rPr>
          <w:b w:val="0"/>
        </w:rPr>
        <w:t xml:space="preserve">Thus, </w:t>
      </w:r>
      <w:r w:rsidR="002A0477">
        <w:rPr>
          <w:b w:val="0"/>
        </w:rPr>
        <w:t>selective attention to concern-related stimuli may be indicative of heightened accessibility and/or saliency</w:t>
      </w:r>
      <w:r w:rsidR="0032581E">
        <w:rPr>
          <w:b w:val="0"/>
        </w:rPr>
        <w:t>,</w:t>
      </w:r>
      <w:r w:rsidR="002A0477">
        <w:rPr>
          <w:b w:val="0"/>
        </w:rPr>
        <w:t xml:space="preserve"> </w:t>
      </w:r>
      <w:r w:rsidR="004A610C">
        <w:rPr>
          <w:b w:val="0"/>
        </w:rPr>
        <w:t xml:space="preserve">which </w:t>
      </w:r>
      <w:r w:rsidR="002A0477">
        <w:rPr>
          <w:b w:val="0"/>
        </w:rPr>
        <w:t xml:space="preserve">differentiates individuals according to behavioural and exposure-related indices (see Field et al 2009; </w:t>
      </w:r>
      <w:proofErr w:type="spellStart"/>
      <w:r w:rsidR="002A0477">
        <w:rPr>
          <w:b w:val="0"/>
        </w:rPr>
        <w:t>Albery</w:t>
      </w:r>
      <w:proofErr w:type="spellEnd"/>
      <w:r w:rsidR="002A0477">
        <w:rPr>
          <w:b w:val="0"/>
        </w:rPr>
        <w:t xml:space="preserve"> et al, 2015).</w:t>
      </w:r>
    </w:p>
    <w:p w14:paraId="3DBA69EA" w14:textId="3220DE47" w:rsidR="00311F8D" w:rsidRPr="002A0477" w:rsidRDefault="003C0DE9" w:rsidP="002A0477">
      <w:pPr>
        <w:pStyle w:val="BodyText"/>
        <w:spacing w:line="480" w:lineRule="auto"/>
        <w:ind w:firstLine="720"/>
        <w:rPr>
          <w:b w:val="0"/>
        </w:rPr>
      </w:pPr>
      <w:r>
        <w:rPr>
          <w:b w:val="0"/>
        </w:rPr>
        <w:t xml:space="preserve"> </w:t>
      </w:r>
      <w:r w:rsidR="004D5143">
        <w:rPr>
          <w:b w:val="0"/>
        </w:rPr>
        <w:t xml:space="preserve">To this extent, </w:t>
      </w:r>
      <w:r>
        <w:rPr>
          <w:b w:val="0"/>
        </w:rPr>
        <w:t xml:space="preserve">cognitive processes </w:t>
      </w:r>
      <w:r w:rsidR="00810FA0">
        <w:rPr>
          <w:b w:val="0"/>
        </w:rPr>
        <w:t xml:space="preserve">utilised in the regulation of behaviour </w:t>
      </w:r>
      <w:r w:rsidR="002A3133">
        <w:rPr>
          <w:b w:val="0"/>
        </w:rPr>
        <w:t xml:space="preserve">(e.g. NPS use) </w:t>
      </w:r>
      <w:r w:rsidR="004D5143">
        <w:rPr>
          <w:b w:val="0"/>
        </w:rPr>
        <w:t xml:space="preserve">may </w:t>
      </w:r>
      <w:r w:rsidR="00810FA0">
        <w:rPr>
          <w:b w:val="0"/>
        </w:rPr>
        <w:t xml:space="preserve">involve the interplay between those </w:t>
      </w:r>
      <w:r w:rsidR="003409B6">
        <w:rPr>
          <w:b w:val="0"/>
        </w:rPr>
        <w:t xml:space="preserve">processes </w:t>
      </w:r>
      <w:r w:rsidR="00810FA0">
        <w:rPr>
          <w:b w:val="0"/>
        </w:rPr>
        <w:t>that are more automated (e.g. approach-avoidance tendencies, attentional processes) and those that are more reflective (e.g. executive functioning, controlled inhibitory functioning)</w:t>
      </w:r>
      <w:r w:rsidR="000E1602">
        <w:rPr>
          <w:b w:val="0"/>
        </w:rPr>
        <w:t xml:space="preserve"> (</w:t>
      </w:r>
      <w:proofErr w:type="spellStart"/>
      <w:r w:rsidR="000E1602">
        <w:rPr>
          <w:b w:val="0"/>
        </w:rPr>
        <w:t>e.g</w:t>
      </w:r>
      <w:proofErr w:type="spellEnd"/>
      <w:r w:rsidR="000E1602">
        <w:rPr>
          <w:b w:val="0"/>
        </w:rPr>
        <w:t xml:space="preserve"> Stacy &amp; </w:t>
      </w:r>
      <w:proofErr w:type="spellStart"/>
      <w:r w:rsidR="000E1602">
        <w:rPr>
          <w:b w:val="0"/>
        </w:rPr>
        <w:t>Wiers</w:t>
      </w:r>
      <w:proofErr w:type="spellEnd"/>
      <w:r w:rsidR="000E1602">
        <w:rPr>
          <w:b w:val="0"/>
        </w:rPr>
        <w:t>, 2010)</w:t>
      </w:r>
      <w:r w:rsidR="003409B6">
        <w:rPr>
          <w:b w:val="0"/>
        </w:rPr>
        <w:t>.</w:t>
      </w:r>
      <w:r w:rsidR="00810FA0">
        <w:rPr>
          <w:b w:val="0"/>
        </w:rPr>
        <w:t xml:space="preserve"> </w:t>
      </w:r>
      <w:r w:rsidR="003409B6">
        <w:rPr>
          <w:b w:val="0"/>
        </w:rPr>
        <w:t>Q</w:t>
      </w:r>
      <w:r w:rsidR="000E1602">
        <w:rPr>
          <w:b w:val="0"/>
        </w:rPr>
        <w:t xml:space="preserve">uestions </w:t>
      </w:r>
      <w:r w:rsidR="00A413A1">
        <w:rPr>
          <w:b w:val="0"/>
        </w:rPr>
        <w:t>arise</w:t>
      </w:r>
      <w:r w:rsidR="000E1602">
        <w:rPr>
          <w:b w:val="0"/>
        </w:rPr>
        <w:t xml:space="preserve"> as to whether expectancy-based </w:t>
      </w:r>
      <w:r w:rsidR="00D07460">
        <w:rPr>
          <w:b w:val="0"/>
        </w:rPr>
        <w:t xml:space="preserve">thought </w:t>
      </w:r>
      <w:r w:rsidR="000E1602">
        <w:rPr>
          <w:b w:val="0"/>
        </w:rPr>
        <w:t xml:space="preserve">operates according to these principles. It is clear that expectations associated with </w:t>
      </w:r>
      <w:r w:rsidR="00A413A1">
        <w:rPr>
          <w:b w:val="0"/>
        </w:rPr>
        <w:t>the availability of a drug are related to attentional bias magnitude (e.g. Field et al, 2011) and that reward expectancy increases attentional bias more generally to related stimuli (Jones</w:t>
      </w:r>
      <w:r w:rsidR="00AC21DE">
        <w:rPr>
          <w:b w:val="0"/>
        </w:rPr>
        <w:t xml:space="preserve">, </w:t>
      </w:r>
      <w:proofErr w:type="spellStart"/>
      <w:r w:rsidR="00AC21DE">
        <w:rPr>
          <w:b w:val="0"/>
        </w:rPr>
        <w:t>Hogart</w:t>
      </w:r>
      <w:proofErr w:type="spellEnd"/>
      <w:r w:rsidR="00AC21DE">
        <w:rPr>
          <w:b w:val="0"/>
        </w:rPr>
        <w:t xml:space="preserve">, Christiansen, Rose, </w:t>
      </w:r>
      <w:proofErr w:type="spellStart"/>
      <w:r w:rsidR="00AC21DE">
        <w:rPr>
          <w:b w:val="0"/>
        </w:rPr>
        <w:t>Martinovic</w:t>
      </w:r>
      <w:proofErr w:type="spellEnd"/>
      <w:r w:rsidR="00AC21DE">
        <w:rPr>
          <w:b w:val="0"/>
        </w:rPr>
        <w:t xml:space="preserve"> &amp; Field,</w:t>
      </w:r>
      <w:r w:rsidR="00A413A1">
        <w:rPr>
          <w:b w:val="0"/>
        </w:rPr>
        <w:t xml:space="preserve"> 2012). </w:t>
      </w:r>
      <w:r w:rsidR="00D07460">
        <w:rPr>
          <w:b w:val="0"/>
        </w:rPr>
        <w:t xml:space="preserve">It is also clear that </w:t>
      </w:r>
      <w:r w:rsidR="0096038D">
        <w:rPr>
          <w:b w:val="0"/>
        </w:rPr>
        <w:t xml:space="preserve">not only do self-reported (and presumably explicit) </w:t>
      </w:r>
      <w:r w:rsidR="00D07460">
        <w:rPr>
          <w:b w:val="0"/>
        </w:rPr>
        <w:t>reward</w:t>
      </w:r>
      <w:r w:rsidR="003204DB">
        <w:rPr>
          <w:b w:val="0"/>
        </w:rPr>
        <w:t>-based</w:t>
      </w:r>
      <w:r w:rsidR="004D5143">
        <w:rPr>
          <w:b w:val="0"/>
        </w:rPr>
        <w:t xml:space="preserve"> </w:t>
      </w:r>
      <w:r w:rsidR="0096038D">
        <w:rPr>
          <w:b w:val="0"/>
        </w:rPr>
        <w:t xml:space="preserve">expectancies </w:t>
      </w:r>
      <w:r w:rsidR="00D07460">
        <w:rPr>
          <w:b w:val="0"/>
        </w:rPr>
        <w:t xml:space="preserve">predict </w:t>
      </w:r>
      <w:r w:rsidR="0096038D">
        <w:rPr>
          <w:b w:val="0"/>
        </w:rPr>
        <w:t>ongoing addictive behaviour (see Goldman et al, 2006), but that implicit measures of such expectancies have been shown to be associated with related behaviour</w:t>
      </w:r>
      <w:r w:rsidR="00CE2E0F">
        <w:rPr>
          <w:b w:val="0"/>
        </w:rPr>
        <w:t>s</w:t>
      </w:r>
      <w:r w:rsidR="0096038D">
        <w:rPr>
          <w:b w:val="0"/>
        </w:rPr>
        <w:t xml:space="preserve"> (e.g. </w:t>
      </w:r>
      <w:proofErr w:type="spellStart"/>
      <w:r w:rsidR="00A5040B">
        <w:rPr>
          <w:b w:val="0"/>
        </w:rPr>
        <w:t>Roe</w:t>
      </w:r>
      <w:r w:rsidR="00AC21DE">
        <w:rPr>
          <w:b w:val="0"/>
        </w:rPr>
        <w:t>hrich</w:t>
      </w:r>
      <w:proofErr w:type="spellEnd"/>
      <w:r w:rsidR="00AC21DE">
        <w:rPr>
          <w:b w:val="0"/>
        </w:rPr>
        <w:t xml:space="preserve"> &amp; Goldman, 1995</w:t>
      </w:r>
      <w:r w:rsidR="000B76CD">
        <w:rPr>
          <w:b w:val="0"/>
        </w:rPr>
        <w:t xml:space="preserve">; </w:t>
      </w:r>
      <w:r w:rsidR="00E66679">
        <w:rPr>
          <w:b w:val="0"/>
        </w:rPr>
        <w:t xml:space="preserve">McCarthy &amp; </w:t>
      </w:r>
      <w:proofErr w:type="spellStart"/>
      <w:r w:rsidR="00E66679">
        <w:rPr>
          <w:b w:val="0"/>
        </w:rPr>
        <w:t>Thompse</w:t>
      </w:r>
      <w:r w:rsidR="0096038D">
        <w:rPr>
          <w:b w:val="0"/>
        </w:rPr>
        <w:t>n</w:t>
      </w:r>
      <w:proofErr w:type="spellEnd"/>
      <w:r w:rsidR="0096038D">
        <w:rPr>
          <w:b w:val="0"/>
        </w:rPr>
        <w:t xml:space="preserve">, 2006; </w:t>
      </w:r>
      <w:r w:rsidR="00E66679">
        <w:rPr>
          <w:b w:val="0"/>
        </w:rPr>
        <w:t>Kramer &amp; Goldman, 2003</w:t>
      </w:r>
      <w:r w:rsidR="00CE2E0F">
        <w:rPr>
          <w:b w:val="0"/>
        </w:rPr>
        <w:t xml:space="preserve">; </w:t>
      </w:r>
      <w:proofErr w:type="spellStart"/>
      <w:r w:rsidR="00951906">
        <w:rPr>
          <w:b w:val="0"/>
        </w:rPr>
        <w:t>Wiers</w:t>
      </w:r>
      <w:proofErr w:type="spellEnd"/>
      <w:r w:rsidR="00951906">
        <w:rPr>
          <w:b w:val="0"/>
        </w:rPr>
        <w:t xml:space="preserve">, </w:t>
      </w:r>
      <w:r w:rsidR="002A0477">
        <w:rPr>
          <w:b w:val="0"/>
        </w:rPr>
        <w:t xml:space="preserve">van </w:t>
      </w:r>
      <w:proofErr w:type="spellStart"/>
      <w:r w:rsidR="002A0477">
        <w:rPr>
          <w:b w:val="0"/>
        </w:rPr>
        <w:t>Woerden</w:t>
      </w:r>
      <w:proofErr w:type="spellEnd"/>
      <w:r w:rsidR="002A0477">
        <w:rPr>
          <w:b w:val="0"/>
        </w:rPr>
        <w:t xml:space="preserve">, Smulders &amp; de Jong, 2002). </w:t>
      </w:r>
      <w:r w:rsidR="00044B70">
        <w:rPr>
          <w:b w:val="0"/>
        </w:rPr>
        <w:t xml:space="preserve">Whilst a similar pattern of results could be predicted for </w:t>
      </w:r>
      <w:r w:rsidR="005B1AB0">
        <w:rPr>
          <w:b w:val="0"/>
        </w:rPr>
        <w:t xml:space="preserve">NPS </w:t>
      </w:r>
      <w:r w:rsidR="00044B70">
        <w:rPr>
          <w:b w:val="0"/>
        </w:rPr>
        <w:t xml:space="preserve">use, no evidence is </w:t>
      </w:r>
      <w:r w:rsidR="002A0477">
        <w:rPr>
          <w:b w:val="0"/>
        </w:rPr>
        <w:t xml:space="preserve">as yet </w:t>
      </w:r>
      <w:r w:rsidR="00044B70">
        <w:rPr>
          <w:b w:val="0"/>
        </w:rPr>
        <w:t xml:space="preserve">apparent. </w:t>
      </w:r>
      <w:r w:rsidR="002A0477" w:rsidRPr="002A0477">
        <w:rPr>
          <w:b w:val="0"/>
        </w:rPr>
        <w:t>T</w:t>
      </w:r>
      <w:r w:rsidR="00044B70" w:rsidRPr="002A0477">
        <w:rPr>
          <w:b w:val="0"/>
        </w:rPr>
        <w:t>he current study</w:t>
      </w:r>
      <w:r w:rsidR="005D660B">
        <w:rPr>
          <w:b w:val="0"/>
        </w:rPr>
        <w:t xml:space="preserve"> provides the starting point for this by assessing</w:t>
      </w:r>
      <w:r w:rsidR="002A0477" w:rsidRPr="002A0477">
        <w:rPr>
          <w:b w:val="0"/>
        </w:rPr>
        <w:t xml:space="preserve"> whether </w:t>
      </w:r>
      <w:r w:rsidR="00DB24C1" w:rsidRPr="002A0477">
        <w:rPr>
          <w:b w:val="0"/>
        </w:rPr>
        <w:t xml:space="preserve">current </w:t>
      </w:r>
      <w:r w:rsidR="005B1AB0">
        <w:rPr>
          <w:b w:val="0"/>
        </w:rPr>
        <w:t>NPS</w:t>
      </w:r>
      <w:r w:rsidR="007E275C">
        <w:rPr>
          <w:b w:val="0"/>
        </w:rPr>
        <w:t xml:space="preserve"> </w:t>
      </w:r>
      <w:r w:rsidR="00DB24C1" w:rsidRPr="002A0477">
        <w:rPr>
          <w:b w:val="0"/>
        </w:rPr>
        <w:t xml:space="preserve">users </w:t>
      </w:r>
      <w:r w:rsidR="002A0477" w:rsidRPr="002A0477">
        <w:rPr>
          <w:b w:val="0"/>
        </w:rPr>
        <w:t xml:space="preserve">compared to </w:t>
      </w:r>
      <w:r w:rsidR="00DB24C1" w:rsidRPr="002A0477">
        <w:rPr>
          <w:b w:val="0"/>
        </w:rPr>
        <w:t xml:space="preserve">never </w:t>
      </w:r>
      <w:r w:rsidR="005B1AB0">
        <w:rPr>
          <w:b w:val="0"/>
        </w:rPr>
        <w:t>NPS</w:t>
      </w:r>
      <w:r w:rsidR="007E275C">
        <w:rPr>
          <w:b w:val="0"/>
        </w:rPr>
        <w:t xml:space="preserve"> </w:t>
      </w:r>
      <w:r w:rsidR="00DB24C1" w:rsidRPr="002A0477">
        <w:rPr>
          <w:b w:val="0"/>
        </w:rPr>
        <w:t xml:space="preserve">users </w:t>
      </w:r>
      <w:r w:rsidR="002A0477" w:rsidRPr="002A0477">
        <w:rPr>
          <w:b w:val="0"/>
        </w:rPr>
        <w:t xml:space="preserve">showed differential attentional </w:t>
      </w:r>
      <w:r w:rsidR="002A0477" w:rsidRPr="002A0477">
        <w:rPr>
          <w:b w:val="0"/>
        </w:rPr>
        <w:lastRenderedPageBreak/>
        <w:t xml:space="preserve">processing of </w:t>
      </w:r>
      <w:r w:rsidR="00DB24C1" w:rsidRPr="002A0477">
        <w:rPr>
          <w:b w:val="0"/>
        </w:rPr>
        <w:t>(</w:t>
      </w:r>
      <w:proofErr w:type="spellStart"/>
      <w:r w:rsidR="00DB24C1" w:rsidRPr="002A0477">
        <w:rPr>
          <w:b w:val="0"/>
        </w:rPr>
        <w:t>i</w:t>
      </w:r>
      <w:proofErr w:type="spellEnd"/>
      <w:r w:rsidR="00DB24C1" w:rsidRPr="002A0477">
        <w:rPr>
          <w:b w:val="0"/>
        </w:rPr>
        <w:t xml:space="preserve">) </w:t>
      </w:r>
      <w:r w:rsidR="005B1AB0">
        <w:rPr>
          <w:b w:val="0"/>
        </w:rPr>
        <w:t>NPS</w:t>
      </w:r>
      <w:r w:rsidR="00E2572F" w:rsidRPr="002A0477">
        <w:rPr>
          <w:b w:val="0"/>
        </w:rPr>
        <w:t>-related word</w:t>
      </w:r>
      <w:r w:rsidR="0060610E" w:rsidRPr="002A0477">
        <w:rPr>
          <w:b w:val="0"/>
        </w:rPr>
        <w:t xml:space="preserve">s, (ii) </w:t>
      </w:r>
      <w:r w:rsidR="005B1AB0">
        <w:rPr>
          <w:b w:val="0"/>
        </w:rPr>
        <w:t>NPS</w:t>
      </w:r>
      <w:r w:rsidR="007E275C">
        <w:rPr>
          <w:b w:val="0"/>
        </w:rPr>
        <w:t xml:space="preserve"> </w:t>
      </w:r>
      <w:r w:rsidR="00E2572F" w:rsidRPr="002A0477">
        <w:rPr>
          <w:b w:val="0"/>
        </w:rPr>
        <w:t xml:space="preserve">positive expectancy words and, (iii) </w:t>
      </w:r>
      <w:r w:rsidR="005B1AB0">
        <w:rPr>
          <w:b w:val="0"/>
        </w:rPr>
        <w:t>NPS</w:t>
      </w:r>
      <w:r w:rsidR="007E275C">
        <w:rPr>
          <w:b w:val="0"/>
        </w:rPr>
        <w:t xml:space="preserve"> </w:t>
      </w:r>
      <w:r w:rsidR="00E2572F" w:rsidRPr="002A0477">
        <w:rPr>
          <w:b w:val="0"/>
        </w:rPr>
        <w:t>negative expectancy words.</w:t>
      </w:r>
    </w:p>
    <w:p w14:paraId="337E1A57" w14:textId="3AB0BCAE" w:rsidR="00F71CBD" w:rsidRPr="00FF265F" w:rsidRDefault="00F71CBD" w:rsidP="003C23D2">
      <w:pPr>
        <w:pStyle w:val="BodyText"/>
        <w:spacing w:line="480" w:lineRule="auto"/>
        <w:jc w:val="center"/>
        <w:outlineLvl w:val="0"/>
      </w:pPr>
      <w:r w:rsidRPr="00FF265F">
        <w:t>Method</w:t>
      </w:r>
    </w:p>
    <w:p w14:paraId="07C54E68" w14:textId="7531943E" w:rsidR="00F71CBD" w:rsidRDefault="00F71CBD">
      <w:pPr>
        <w:pStyle w:val="BodyText"/>
        <w:spacing w:line="480" w:lineRule="auto"/>
        <w:rPr>
          <w:b w:val="0"/>
        </w:rPr>
      </w:pPr>
      <w:r>
        <w:rPr>
          <w:b w:val="0"/>
          <w:i/>
        </w:rPr>
        <w:t>Participants.</w:t>
      </w:r>
    </w:p>
    <w:p w14:paraId="375D943E" w14:textId="33003E3A" w:rsidR="00F31049" w:rsidRPr="00F31049" w:rsidRDefault="001A1E8F" w:rsidP="00F31049">
      <w:pPr>
        <w:tabs>
          <w:tab w:val="left" w:pos="-720"/>
        </w:tabs>
        <w:suppressAutoHyphens/>
        <w:spacing w:line="480" w:lineRule="auto"/>
        <w:jc w:val="both"/>
      </w:pPr>
      <w:r>
        <w:tab/>
      </w:r>
      <w:r w:rsidR="00041153">
        <w:t>Thirty</w:t>
      </w:r>
      <w:r w:rsidR="007E275C">
        <w:t xml:space="preserve"> </w:t>
      </w:r>
      <w:r w:rsidR="00324C33" w:rsidRPr="00F556C3">
        <w:t>novel psychoactive substances</w:t>
      </w:r>
      <w:r w:rsidR="00F31049" w:rsidRPr="00F31049">
        <w:t xml:space="preserve"> users </w:t>
      </w:r>
      <w:r>
        <w:t>(</w:t>
      </w:r>
      <w:r w:rsidR="005B1AB0">
        <w:t>NPSUs</w:t>
      </w:r>
      <w:r>
        <w:t xml:space="preserve">) </w:t>
      </w:r>
      <w:r w:rsidR="00167225">
        <w:t>and 39</w:t>
      </w:r>
      <w:r w:rsidR="00F31049" w:rsidRPr="00F31049">
        <w:t xml:space="preserve"> n</w:t>
      </w:r>
      <w:r w:rsidR="00E2572F">
        <w:t>ever</w:t>
      </w:r>
      <w:r w:rsidR="007E275C">
        <w:t xml:space="preserve"> </w:t>
      </w:r>
      <w:r w:rsidR="005B1AB0" w:rsidRPr="00860EA6">
        <w:t>novel psychoactive substances</w:t>
      </w:r>
      <w:r w:rsidR="002A3133">
        <w:t xml:space="preserve"> </w:t>
      </w:r>
      <w:r w:rsidR="00F31049" w:rsidRPr="00F31049">
        <w:t>users</w:t>
      </w:r>
      <w:r>
        <w:t xml:space="preserve"> (</w:t>
      </w:r>
      <w:proofErr w:type="spellStart"/>
      <w:r w:rsidR="005B1AB0">
        <w:t>nNPSUs</w:t>
      </w:r>
      <w:proofErr w:type="spellEnd"/>
      <w:r>
        <w:t>) (</w:t>
      </w:r>
      <w:r w:rsidR="00041153">
        <w:t>43 femal</w:t>
      </w:r>
      <w:r w:rsidR="00167225">
        <w:t>e and 26</w:t>
      </w:r>
      <w:r w:rsidR="00F31049" w:rsidRPr="00F31049">
        <w:t xml:space="preserve"> </w:t>
      </w:r>
      <w:proofErr w:type="gramStart"/>
      <w:r w:rsidR="00F31049" w:rsidRPr="00F31049">
        <w:t>male</w:t>
      </w:r>
      <w:proofErr w:type="gramEnd"/>
      <w:r w:rsidR="00F31049" w:rsidRPr="00F31049">
        <w:t xml:space="preserve">; </w:t>
      </w:r>
      <w:r w:rsidR="00041153">
        <w:t xml:space="preserve">mean </w:t>
      </w:r>
      <w:r w:rsidR="00F31049" w:rsidRPr="00F31049">
        <w:t xml:space="preserve">age </w:t>
      </w:r>
      <w:r w:rsidR="00041153">
        <w:t>= 23.77, SD = 5.70, range 18 – 49</w:t>
      </w:r>
      <w:r w:rsidR="00F31049" w:rsidRPr="00F31049">
        <w:t xml:space="preserve"> years) </w:t>
      </w:r>
      <w:r w:rsidR="00491044">
        <w:t xml:space="preserve">were recruited from a UK-based London University and </w:t>
      </w:r>
      <w:r w:rsidR="00F31049" w:rsidRPr="00F31049">
        <w:t xml:space="preserve">participated </w:t>
      </w:r>
      <w:r>
        <w:t xml:space="preserve">in return for course credit. </w:t>
      </w:r>
    </w:p>
    <w:p w14:paraId="1C0CEBA9" w14:textId="0A110823" w:rsidR="00F71CBD" w:rsidRDefault="00F71CBD">
      <w:pPr>
        <w:tabs>
          <w:tab w:val="left" w:pos="-720"/>
        </w:tabs>
        <w:suppressAutoHyphens/>
        <w:spacing w:line="480" w:lineRule="auto"/>
        <w:jc w:val="both"/>
      </w:pPr>
      <w:r>
        <w:rPr>
          <w:i/>
        </w:rPr>
        <w:t>Design.</w:t>
      </w:r>
    </w:p>
    <w:p w14:paraId="36B983C4" w14:textId="57C9718F" w:rsidR="0086303A" w:rsidRDefault="00F71CBD" w:rsidP="0077336E">
      <w:pPr>
        <w:tabs>
          <w:tab w:val="left" w:pos="-720"/>
        </w:tabs>
        <w:suppressAutoHyphens/>
        <w:spacing w:line="480" w:lineRule="auto"/>
        <w:jc w:val="both"/>
      </w:pPr>
      <w:r>
        <w:tab/>
      </w:r>
      <w:r w:rsidR="00126111">
        <w:t xml:space="preserve">A </w:t>
      </w:r>
      <w:r w:rsidR="00647DB6">
        <w:t xml:space="preserve">2 x 2 </w:t>
      </w:r>
      <w:proofErr w:type="spellStart"/>
      <w:r w:rsidR="00647DB6">
        <w:t>facotrial</w:t>
      </w:r>
      <w:proofErr w:type="spellEnd"/>
      <w:r w:rsidR="00647DB6">
        <w:t xml:space="preserve"> designs were used in this study, with (Group: NPSUs, </w:t>
      </w:r>
      <w:proofErr w:type="spellStart"/>
      <w:r w:rsidR="00647DB6">
        <w:t>nNPSUs</w:t>
      </w:r>
      <w:proofErr w:type="spellEnd"/>
      <w:r w:rsidR="00647DB6">
        <w:t>) as the</w:t>
      </w:r>
      <w:r w:rsidR="00647DB6" w:rsidRPr="00F9199F">
        <w:t xml:space="preserve"> between-participants factor </w:t>
      </w:r>
      <w:r w:rsidR="00647DB6">
        <w:t xml:space="preserve">in each design </w:t>
      </w:r>
      <w:r w:rsidR="00647DB6" w:rsidRPr="00F9199F">
        <w:t>and Word Type (</w:t>
      </w:r>
      <w:r w:rsidR="00647DB6">
        <w:t>either NPS</w:t>
      </w:r>
      <w:r w:rsidR="00647DB6" w:rsidRPr="00EE5BCD">
        <w:t>-related words</w:t>
      </w:r>
      <w:r w:rsidR="00647DB6">
        <w:t xml:space="preserve"> vs neutral words; or </w:t>
      </w:r>
      <w:r w:rsidR="00647DB6" w:rsidRPr="00D06094">
        <w:t>NPS positive expectancy words vs neutral words</w:t>
      </w:r>
      <w:r w:rsidR="00647DB6">
        <w:t xml:space="preserve">; or </w:t>
      </w:r>
      <w:r w:rsidR="00647DB6" w:rsidRPr="00D06094">
        <w:t>NPS negative expectancy words vs neutral words</w:t>
      </w:r>
      <w:r w:rsidR="00647DB6">
        <w:t>) as the</w:t>
      </w:r>
      <w:r w:rsidR="00647DB6" w:rsidRPr="00F9199F">
        <w:t xml:space="preserve"> within-participants facto</w:t>
      </w:r>
      <w:r w:rsidR="00647DB6">
        <w:t>r.</w:t>
      </w:r>
      <w:r w:rsidR="00647DB6" w:rsidRPr="00D06094">
        <w:t xml:space="preserve"> </w:t>
      </w:r>
      <w:r w:rsidR="00647DB6">
        <w:t>The key dependent variables were millisecond correct response latencies to name the colours in each of the blocks of legal high words and their matched neutral counterparts.</w:t>
      </w:r>
    </w:p>
    <w:p w14:paraId="0600DA16" w14:textId="4A71D2B3" w:rsidR="0086303A" w:rsidRDefault="00F71CBD" w:rsidP="0077336E">
      <w:pPr>
        <w:tabs>
          <w:tab w:val="left" w:pos="-720"/>
        </w:tabs>
        <w:suppressAutoHyphens/>
        <w:spacing w:line="480" w:lineRule="auto"/>
        <w:jc w:val="both"/>
      </w:pPr>
      <w:r>
        <w:rPr>
          <w:i/>
        </w:rPr>
        <w:t>Materials</w:t>
      </w:r>
      <w:r>
        <w:t xml:space="preserve">. </w:t>
      </w:r>
    </w:p>
    <w:p w14:paraId="69BB3656" w14:textId="3C7A239B" w:rsidR="0086303A" w:rsidRDefault="0086303A" w:rsidP="0086303A">
      <w:pPr>
        <w:tabs>
          <w:tab w:val="left" w:pos="-720"/>
        </w:tabs>
        <w:suppressAutoHyphens/>
        <w:spacing w:line="480" w:lineRule="auto"/>
        <w:jc w:val="both"/>
      </w:pPr>
      <w:r>
        <w:tab/>
      </w:r>
      <w:r w:rsidR="00B4012D">
        <w:t>To generate words for inclusion in each of the three modified Stroop tasks, l</w:t>
      </w:r>
      <w:r w:rsidR="00B4012D" w:rsidRPr="00B4012D">
        <w:t xml:space="preserve">egal high forums and websites were accessed </w:t>
      </w:r>
      <w:r w:rsidR="00B4012D">
        <w:t xml:space="preserve">and </w:t>
      </w:r>
      <w:r w:rsidR="00B4012D" w:rsidRPr="00B4012D">
        <w:t xml:space="preserve">candidate stimuli </w:t>
      </w:r>
      <w:r w:rsidR="00B4012D">
        <w:t>generated</w:t>
      </w:r>
      <w:r w:rsidR="00AA2BF9">
        <w:t xml:space="preserve"> for </w:t>
      </w:r>
      <w:r w:rsidR="003409B6">
        <w:t>NPS</w:t>
      </w:r>
      <w:r w:rsidR="00AA2BF9">
        <w:t>-related, positive expectancy-related and negative expectancy related</w:t>
      </w:r>
      <w:r w:rsidR="009D3C89">
        <w:t xml:space="preserve"> categories</w:t>
      </w:r>
      <w:r w:rsidR="00B4012D" w:rsidRPr="00B4012D">
        <w:t xml:space="preserve">.  </w:t>
      </w:r>
      <w:r w:rsidR="00B4012D">
        <w:t>Subsequently five current</w:t>
      </w:r>
      <w:r w:rsidR="00D06094">
        <w:t xml:space="preserve"> </w:t>
      </w:r>
      <w:r w:rsidR="003C23D2">
        <w:t>NPS</w:t>
      </w:r>
      <w:r w:rsidR="00D06094">
        <w:t xml:space="preserve"> users </w:t>
      </w:r>
      <w:r w:rsidR="00B10ADD">
        <w:t xml:space="preserve">(none of whom participated in the main experiment) </w:t>
      </w:r>
      <w:r w:rsidR="00B4012D">
        <w:t>rated each word for</w:t>
      </w:r>
      <w:r w:rsidR="00B4012D" w:rsidRPr="00B4012D">
        <w:t xml:space="preserve"> how representative </w:t>
      </w:r>
      <w:r w:rsidR="00B4012D">
        <w:t>(on seven</w:t>
      </w:r>
      <w:r w:rsidR="00B4012D" w:rsidRPr="00B4012D">
        <w:t xml:space="preserve"> point scale</w:t>
      </w:r>
      <w:r w:rsidR="00B4012D">
        <w:t>s</w:t>
      </w:r>
      <w:r w:rsidR="00B4012D" w:rsidRPr="00B4012D">
        <w:t xml:space="preserve"> with values ranging from ‘completely representative’ to ‘not at all representative’</w:t>
      </w:r>
      <w:r w:rsidR="00B4012D">
        <w:t xml:space="preserve">) </w:t>
      </w:r>
      <w:r w:rsidR="009D3C89">
        <w:t xml:space="preserve">of </w:t>
      </w:r>
      <w:r w:rsidR="00B4012D" w:rsidRPr="00B4012D">
        <w:t xml:space="preserve">the </w:t>
      </w:r>
      <w:r w:rsidR="00D06094">
        <w:t>NPS/</w:t>
      </w:r>
      <w:r w:rsidR="00B4012D">
        <w:t>legal high category,</w:t>
      </w:r>
      <w:r w:rsidR="00B4012D" w:rsidRPr="00B4012D">
        <w:t xml:space="preserve"> or </w:t>
      </w:r>
      <w:r w:rsidR="00B4012D">
        <w:t xml:space="preserve">positive </w:t>
      </w:r>
      <w:r w:rsidR="00B4012D" w:rsidRPr="00B4012D">
        <w:t>expectancy category</w:t>
      </w:r>
      <w:r w:rsidR="00B4012D">
        <w:t xml:space="preserve"> or the negative expectancy </w:t>
      </w:r>
      <w:r w:rsidR="00B4012D">
        <w:lastRenderedPageBreak/>
        <w:t>category</w:t>
      </w:r>
      <w:r w:rsidR="00B4012D" w:rsidRPr="00B4012D">
        <w:t xml:space="preserve">. </w:t>
      </w:r>
      <w:r w:rsidR="00B4012D">
        <w:t>W</w:t>
      </w:r>
      <w:r w:rsidR="00B4012D" w:rsidRPr="00B4012D">
        <w:t xml:space="preserve">ords considered </w:t>
      </w:r>
      <w:r w:rsidR="00B4012D">
        <w:t>highly</w:t>
      </w:r>
      <w:r w:rsidR="00B4012D" w:rsidRPr="00B4012D">
        <w:t xml:space="preserve"> representative of the </w:t>
      </w:r>
      <w:r w:rsidR="00B4012D">
        <w:t xml:space="preserve">legal high </w:t>
      </w:r>
      <w:r w:rsidR="00B4012D" w:rsidRPr="00B4012D">
        <w:t xml:space="preserve">category and the </w:t>
      </w:r>
      <w:r w:rsidR="00B4012D">
        <w:t>expectancy categories</w:t>
      </w:r>
      <w:r w:rsidR="00B4012D" w:rsidRPr="00B4012D">
        <w:t xml:space="preserve"> were matched for word length and frequency of use in the English language using </w:t>
      </w:r>
      <w:proofErr w:type="spellStart"/>
      <w:r w:rsidR="00B4012D" w:rsidRPr="00B4012D">
        <w:t>Kučera</w:t>
      </w:r>
      <w:proofErr w:type="spellEnd"/>
      <w:r w:rsidR="00B4012D" w:rsidRPr="00B4012D">
        <w:t xml:space="preserve"> and Francis (1967).</w:t>
      </w:r>
      <w:r w:rsidR="00B4012D">
        <w:t xml:space="preserve"> A total of </w:t>
      </w:r>
      <w:r w:rsidR="00EE5BCD">
        <w:t>six words in each category were identified and each matched with six neutral words</w:t>
      </w:r>
      <w:r w:rsidR="00EE0A81">
        <w:t xml:space="preserve"> (see Appendix 1 for </w:t>
      </w:r>
      <w:r w:rsidR="00D06094">
        <w:t xml:space="preserve">a </w:t>
      </w:r>
      <w:proofErr w:type="spellStart"/>
      <w:r w:rsidR="00D06094">
        <w:t>lits</w:t>
      </w:r>
      <w:proofErr w:type="spellEnd"/>
      <w:r w:rsidR="00D06094">
        <w:t xml:space="preserve"> of the </w:t>
      </w:r>
      <w:r w:rsidR="00EE0A81">
        <w:t>words used)</w:t>
      </w:r>
      <w:r w:rsidR="00EE5BCD">
        <w:t>.</w:t>
      </w:r>
      <w:r w:rsidR="00EE0A81">
        <w:t xml:space="preserve"> These w</w:t>
      </w:r>
      <w:r w:rsidR="00EE5BCD">
        <w:t xml:space="preserve">ords </w:t>
      </w:r>
      <w:r w:rsidR="00EE5BCD" w:rsidRPr="00EE5BCD">
        <w:t>were then used to cr</w:t>
      </w:r>
      <w:r w:rsidR="00450C9B">
        <w:t>e</w:t>
      </w:r>
      <w:r w:rsidR="00EE5BCD" w:rsidRPr="00EE5BCD">
        <w:t>ate three separate modified</w:t>
      </w:r>
      <w:r w:rsidR="009D3C89">
        <w:t xml:space="preserve"> Stroop tests</w:t>
      </w:r>
      <w:r w:rsidR="00F9199F">
        <w:t xml:space="preserve"> </w:t>
      </w:r>
      <w:r w:rsidR="00EE5BCD">
        <w:t xml:space="preserve">for </w:t>
      </w:r>
      <w:r w:rsidR="00EE5BCD" w:rsidRPr="00EE5BCD">
        <w:t>(</w:t>
      </w:r>
      <w:proofErr w:type="spellStart"/>
      <w:r w:rsidR="00EE5BCD" w:rsidRPr="00EE5BCD">
        <w:t>i</w:t>
      </w:r>
      <w:proofErr w:type="spellEnd"/>
      <w:r w:rsidR="00EE5BCD" w:rsidRPr="00EE5BCD">
        <w:t xml:space="preserve">) </w:t>
      </w:r>
      <w:r w:rsidR="003409B6">
        <w:t>NPS</w:t>
      </w:r>
      <w:r w:rsidR="00EE5BCD" w:rsidRPr="00EE5BCD">
        <w:t>-related words, (ii</w:t>
      </w:r>
      <w:proofErr w:type="gramStart"/>
      <w:r w:rsidR="00EE5BCD">
        <w:t>)</w:t>
      </w:r>
      <w:r w:rsidR="00EE5BCD" w:rsidRPr="00EE5BCD">
        <w:t xml:space="preserve">  </w:t>
      </w:r>
      <w:r w:rsidR="003409B6">
        <w:t>NPS</w:t>
      </w:r>
      <w:proofErr w:type="gramEnd"/>
      <w:r w:rsidR="003409B6">
        <w:t xml:space="preserve"> </w:t>
      </w:r>
      <w:r w:rsidR="00EE5BCD" w:rsidRPr="00EE5BCD">
        <w:t xml:space="preserve">positive expectancy words and, (iii)  </w:t>
      </w:r>
      <w:r w:rsidR="003409B6">
        <w:t xml:space="preserve">NPS </w:t>
      </w:r>
      <w:r w:rsidR="00EE5BCD" w:rsidRPr="00EE5BCD">
        <w:t>negative expectancy words</w:t>
      </w:r>
      <w:r w:rsidR="00E33D1F">
        <w:t>.</w:t>
      </w:r>
    </w:p>
    <w:p w14:paraId="4E2071DC" w14:textId="37D82E85" w:rsidR="00F71CBD" w:rsidRDefault="0086303A" w:rsidP="0086303A">
      <w:pPr>
        <w:tabs>
          <w:tab w:val="left" w:pos="-720"/>
        </w:tabs>
        <w:suppressAutoHyphens/>
        <w:spacing w:line="480" w:lineRule="auto"/>
        <w:jc w:val="both"/>
      </w:pPr>
      <w:r>
        <w:tab/>
      </w:r>
      <w:r w:rsidR="003409B6">
        <w:t xml:space="preserve">NPS </w:t>
      </w:r>
      <w:r w:rsidR="00E33D1F">
        <w:t xml:space="preserve">use was initially ascertained by asking participants “Have you </w:t>
      </w:r>
      <w:r w:rsidR="00E33D1F" w:rsidRPr="00A50840">
        <w:rPr>
          <w:i/>
        </w:rPr>
        <w:t>ever</w:t>
      </w:r>
      <w:r w:rsidR="00E33D1F">
        <w:t xml:space="preserve"> used legal high drugs?” (Yes, No). </w:t>
      </w:r>
      <w:r>
        <w:t>For those who reported ever having used legal highs</w:t>
      </w:r>
      <w:r w:rsidR="00D06094">
        <w:t>/NPS</w:t>
      </w:r>
      <w:r>
        <w:t xml:space="preserve"> a series of ten questions </w:t>
      </w:r>
      <w:r w:rsidR="00F81EF6">
        <w:t>derived from</w:t>
      </w:r>
      <w:r>
        <w:t xml:space="preserve"> the Drug Abuse Screening Tool </w:t>
      </w:r>
      <w:r w:rsidR="00F81EF6">
        <w:t xml:space="preserve">[DAST] </w:t>
      </w:r>
      <w:r>
        <w:t>(Skinner, 1982) were asked (e.g. “Are you always able to stop legal high drug use when you want to?”, “Does your spouse (or parents) ever complain about your involvement with legal high drugs?”, “</w:t>
      </w:r>
      <w:r w:rsidRPr="0086303A">
        <w:t>Have you engaged in illegal activities in order to obtain legal high drugs?”, “Have you ever experienced withdrawal symptoms (felt sick) when you stopped taking legal high drugs?”).</w:t>
      </w:r>
      <w:r w:rsidR="00F81EF6">
        <w:t xml:space="preserve"> Possible scores ranged from 0 to 10 with increasing scores related to degree of problems related to </w:t>
      </w:r>
      <w:r w:rsidR="006F4D64">
        <w:t xml:space="preserve">NPS </w:t>
      </w:r>
      <w:r w:rsidR="00F81EF6">
        <w:t>use.</w:t>
      </w:r>
    </w:p>
    <w:p w14:paraId="4DBCDEFC" w14:textId="15DD06CE" w:rsidR="00F71CBD" w:rsidRDefault="00F71CBD">
      <w:pPr>
        <w:tabs>
          <w:tab w:val="left" w:pos="-720"/>
        </w:tabs>
        <w:suppressAutoHyphens/>
        <w:spacing w:line="480" w:lineRule="auto"/>
        <w:jc w:val="both"/>
        <w:rPr>
          <w:spacing w:val="-3"/>
          <w:lang w:val="en-US"/>
        </w:rPr>
      </w:pPr>
      <w:r>
        <w:rPr>
          <w:i/>
          <w:spacing w:val="-3"/>
          <w:lang w:val="en-US"/>
        </w:rPr>
        <w:t>Procedure.</w:t>
      </w:r>
    </w:p>
    <w:p w14:paraId="61C3501F" w14:textId="75467074" w:rsidR="005E04C8" w:rsidRPr="00E66E25" w:rsidRDefault="005E04C8" w:rsidP="00E66E25">
      <w:pPr>
        <w:spacing w:line="480" w:lineRule="auto"/>
        <w:ind w:firstLine="720"/>
        <w:jc w:val="both"/>
        <w:rPr>
          <w:color w:val="FF0000"/>
          <w:szCs w:val="24"/>
        </w:rPr>
      </w:pPr>
      <w:r w:rsidRPr="008204E9">
        <w:rPr>
          <w:szCs w:val="24"/>
        </w:rPr>
        <w:t>Participants completed the Stroop task</w:t>
      </w:r>
      <w:r w:rsidR="008204E9">
        <w:rPr>
          <w:szCs w:val="24"/>
        </w:rPr>
        <w:t>s</w:t>
      </w:r>
      <w:r w:rsidRPr="008204E9">
        <w:rPr>
          <w:szCs w:val="24"/>
        </w:rPr>
        <w:t xml:space="preserve"> in a </w:t>
      </w:r>
      <w:r w:rsidR="008204E9" w:rsidRPr="008204E9">
        <w:rPr>
          <w:szCs w:val="24"/>
        </w:rPr>
        <w:t>single occupancy experimental cubicle</w:t>
      </w:r>
      <w:r w:rsidRPr="008204E9">
        <w:rPr>
          <w:szCs w:val="24"/>
        </w:rPr>
        <w:t>.</w:t>
      </w:r>
      <w:r w:rsidR="007B65D9">
        <w:rPr>
          <w:szCs w:val="24"/>
        </w:rPr>
        <w:t xml:space="preserve"> </w:t>
      </w:r>
      <w:r w:rsidRPr="008204E9">
        <w:rPr>
          <w:szCs w:val="24"/>
        </w:rPr>
        <w:t>To familiar</w:t>
      </w:r>
      <w:r w:rsidR="008204E9" w:rsidRPr="008204E9">
        <w:rPr>
          <w:szCs w:val="24"/>
        </w:rPr>
        <w:t>ise</w:t>
      </w:r>
      <w:r w:rsidR="00D06094">
        <w:rPr>
          <w:szCs w:val="24"/>
        </w:rPr>
        <w:t xml:space="preserve"> </w:t>
      </w:r>
      <w:r w:rsidR="008204E9" w:rsidRPr="008204E9">
        <w:rPr>
          <w:szCs w:val="24"/>
        </w:rPr>
        <w:t xml:space="preserve">themselves </w:t>
      </w:r>
      <w:r w:rsidRPr="008204E9">
        <w:rPr>
          <w:szCs w:val="24"/>
        </w:rPr>
        <w:t xml:space="preserve">with the demands of the task </w:t>
      </w:r>
      <w:r w:rsidR="008204E9" w:rsidRPr="008204E9">
        <w:rPr>
          <w:szCs w:val="24"/>
        </w:rPr>
        <w:t xml:space="preserve">all </w:t>
      </w:r>
      <w:r w:rsidRPr="008204E9">
        <w:rPr>
          <w:szCs w:val="24"/>
        </w:rPr>
        <w:t>participants completed a set of</w:t>
      </w:r>
      <w:r w:rsidR="00D06094">
        <w:rPr>
          <w:szCs w:val="24"/>
        </w:rPr>
        <w:t xml:space="preserve"> </w:t>
      </w:r>
      <w:r w:rsidRPr="008204E9">
        <w:rPr>
          <w:szCs w:val="24"/>
        </w:rPr>
        <w:t xml:space="preserve">48 practice trials in which letter strings (e.g. YYYY, PPPP) were randomly presented in </w:t>
      </w:r>
      <w:r w:rsidR="0063010C">
        <w:rPr>
          <w:szCs w:val="24"/>
        </w:rPr>
        <w:t xml:space="preserve">the centre of the computer screen in </w:t>
      </w:r>
      <w:r w:rsidRPr="008204E9">
        <w:rPr>
          <w:szCs w:val="24"/>
        </w:rPr>
        <w:t>each of the four colours</w:t>
      </w:r>
      <w:r w:rsidR="00D06094">
        <w:rPr>
          <w:szCs w:val="24"/>
        </w:rPr>
        <w:t xml:space="preserve"> </w:t>
      </w:r>
      <w:r w:rsidR="008204E9">
        <w:rPr>
          <w:szCs w:val="24"/>
        </w:rPr>
        <w:t>used in testing (green</w:t>
      </w:r>
      <w:r w:rsidR="00E66E25">
        <w:rPr>
          <w:szCs w:val="24"/>
        </w:rPr>
        <w:t>,</w:t>
      </w:r>
      <w:r w:rsidR="008204E9">
        <w:rPr>
          <w:szCs w:val="24"/>
        </w:rPr>
        <w:t xml:space="preserve"> red, yellow, blue). Participants were instructed to </w:t>
      </w:r>
      <w:r w:rsidR="00886B6F">
        <w:rPr>
          <w:szCs w:val="24"/>
        </w:rPr>
        <w:t xml:space="preserve">place their first and forefingers of each hand over four keys on the computer keyboard </w:t>
      </w:r>
      <w:r w:rsidR="008204E9">
        <w:rPr>
          <w:szCs w:val="24"/>
        </w:rPr>
        <w:t xml:space="preserve">labelled </w:t>
      </w:r>
      <w:r w:rsidR="008204E9">
        <w:rPr>
          <w:szCs w:val="24"/>
        </w:rPr>
        <w:lastRenderedPageBreak/>
        <w:t>to correspond with one of the four colours on the keyboard</w:t>
      </w:r>
      <w:r w:rsidR="00886B6F">
        <w:rPr>
          <w:szCs w:val="24"/>
        </w:rPr>
        <w:t xml:space="preserve"> (</w:t>
      </w:r>
      <w:r w:rsidR="00D06094">
        <w:rPr>
          <w:szCs w:val="24"/>
        </w:rPr>
        <w:t xml:space="preserve">i.e. </w:t>
      </w:r>
      <w:r w:rsidR="00886B6F">
        <w:rPr>
          <w:szCs w:val="24"/>
        </w:rPr>
        <w:t>two keys per hand</w:t>
      </w:r>
      <w:r w:rsidR="00D06094">
        <w:rPr>
          <w:szCs w:val="24"/>
        </w:rPr>
        <w:t>)</w:t>
      </w:r>
      <w:r w:rsidR="008204E9">
        <w:rPr>
          <w:szCs w:val="24"/>
        </w:rPr>
        <w:t xml:space="preserve">. </w:t>
      </w:r>
      <w:r w:rsidR="00E66E25">
        <w:rPr>
          <w:szCs w:val="24"/>
        </w:rPr>
        <w:t xml:space="preserve">Key assignment was counterbalanced across participants such that half completed the task with green and red on the left and yellow and blue on the right and the other half the yellow and blue on the left and green and red on the right. </w:t>
      </w:r>
      <w:r w:rsidR="00886B6F">
        <w:rPr>
          <w:szCs w:val="24"/>
        </w:rPr>
        <w:t xml:space="preserve">They were then asked to ignore the practice letter strings and respond to colour in which the letter strings were presented by pressing one of the assigned four colour-coded keys as quickly and as accurately as possible. </w:t>
      </w:r>
      <w:r w:rsidR="008204E9">
        <w:rPr>
          <w:szCs w:val="24"/>
        </w:rPr>
        <w:t xml:space="preserve">In the </w:t>
      </w:r>
      <w:r w:rsidR="00397B71">
        <w:rPr>
          <w:szCs w:val="24"/>
        </w:rPr>
        <w:t xml:space="preserve">experimental </w:t>
      </w:r>
      <w:r w:rsidR="008204E9">
        <w:rPr>
          <w:szCs w:val="24"/>
        </w:rPr>
        <w:t xml:space="preserve">testing phase participants were </w:t>
      </w:r>
      <w:r w:rsidR="00886B6F">
        <w:rPr>
          <w:szCs w:val="24"/>
        </w:rPr>
        <w:t>told that they would be presented with words and reminded</w:t>
      </w:r>
      <w:r w:rsidR="008204E9">
        <w:rPr>
          <w:szCs w:val="24"/>
        </w:rPr>
        <w:t xml:space="preserve"> that their task was to ignore the word itself and respond to the ink colour in which the word was presented in as quickly and as accurately as possible.</w:t>
      </w:r>
      <w:r w:rsidR="00397B71">
        <w:rPr>
          <w:szCs w:val="24"/>
        </w:rPr>
        <w:t xml:space="preserve"> </w:t>
      </w:r>
      <w:r w:rsidR="00A36E2C" w:rsidRPr="00A36E2C">
        <w:rPr>
          <w:szCs w:val="24"/>
        </w:rPr>
        <w:t xml:space="preserve">Words were </w:t>
      </w:r>
      <w:r w:rsidR="00F864FE">
        <w:rPr>
          <w:szCs w:val="24"/>
        </w:rPr>
        <w:t xml:space="preserve">randomly </w:t>
      </w:r>
      <w:r w:rsidR="00A36E2C" w:rsidRPr="00A36E2C">
        <w:rPr>
          <w:szCs w:val="24"/>
        </w:rPr>
        <w:t xml:space="preserve">presented </w:t>
      </w:r>
      <w:r w:rsidR="00A36E2C">
        <w:rPr>
          <w:szCs w:val="24"/>
        </w:rPr>
        <w:t xml:space="preserve">in </w:t>
      </w:r>
      <w:r w:rsidR="00F864FE">
        <w:rPr>
          <w:szCs w:val="24"/>
        </w:rPr>
        <w:t>six blocks (</w:t>
      </w:r>
      <w:r w:rsidR="003409B6">
        <w:t>NPS</w:t>
      </w:r>
      <w:r w:rsidR="00F864FE">
        <w:t xml:space="preserve">-related, </w:t>
      </w:r>
      <w:r w:rsidR="003409B6">
        <w:t>NPS</w:t>
      </w:r>
      <w:r w:rsidR="00397B71">
        <w:t>-</w:t>
      </w:r>
      <w:r w:rsidR="00F864FE">
        <w:t>neutral, positive expectancy-related, positive expectancy</w:t>
      </w:r>
      <w:r w:rsidR="00397B71">
        <w:t>-</w:t>
      </w:r>
      <w:r w:rsidR="00F864FE">
        <w:t>neutral, negative expectancy</w:t>
      </w:r>
      <w:r w:rsidR="00397B71">
        <w:t>-</w:t>
      </w:r>
      <w:r w:rsidR="00F864FE">
        <w:t>related, negative expectancy</w:t>
      </w:r>
      <w:r w:rsidR="00397B71">
        <w:t>-</w:t>
      </w:r>
      <w:r w:rsidR="00F864FE">
        <w:t>neutral) with the</w:t>
      </w:r>
      <w:r w:rsidR="00F81EF6">
        <w:t xml:space="preserve"> proviso that neither the same w</w:t>
      </w:r>
      <w:r w:rsidR="00F864FE">
        <w:t xml:space="preserve">ord </w:t>
      </w:r>
      <w:r w:rsidR="00F81EF6">
        <w:t>n</w:t>
      </w:r>
      <w:r w:rsidR="00F864FE">
        <w:t>or same colour could be presented sequentially. Category-based blocks (e.g.</w:t>
      </w:r>
      <w:r w:rsidR="003409B6">
        <w:t xml:space="preserve"> NPS</w:t>
      </w:r>
      <w:r w:rsidR="00F864FE">
        <w:t xml:space="preserve">-related, </w:t>
      </w:r>
      <w:r w:rsidR="003409B6">
        <w:t xml:space="preserve">NPS </w:t>
      </w:r>
      <w:r w:rsidR="00F864FE">
        <w:t xml:space="preserve">neutral) were presented sequentially such that matched neutral words either preceded or succeeded their category-based word blocks. Presentation of related blocks was counterbalanced. Each participant responded to a total </w:t>
      </w:r>
      <w:r w:rsidR="00E66E25">
        <w:t xml:space="preserve">of 288 trials. </w:t>
      </w:r>
      <w:r w:rsidR="00397B71">
        <w:t xml:space="preserve">There were six blocks in total with each block </w:t>
      </w:r>
      <w:r w:rsidR="00E66E25">
        <w:t xml:space="preserve">comprised </w:t>
      </w:r>
      <w:r w:rsidR="00397B71">
        <w:t xml:space="preserve">of </w:t>
      </w:r>
      <w:r w:rsidR="00E66E25">
        <w:t>48 trials (</w:t>
      </w:r>
      <w:r w:rsidR="00F864FE">
        <w:t xml:space="preserve">six words presented in four colours </w:t>
      </w:r>
      <w:r w:rsidR="00E66E25">
        <w:t>twice).</w:t>
      </w:r>
      <w:r w:rsidR="00397B71">
        <w:t xml:space="preserve"> </w:t>
      </w:r>
      <w:r w:rsidR="0007785D">
        <w:t xml:space="preserve">Demographic information </w:t>
      </w:r>
      <w:r w:rsidR="009D3C89">
        <w:t xml:space="preserve">and whether the participant had ever used legal high was collected prior to the modified Stroop tasks and indicators of more problematic </w:t>
      </w:r>
      <w:r w:rsidR="0007785D">
        <w:t xml:space="preserve">legal </w:t>
      </w:r>
      <w:r w:rsidR="009D3C89">
        <w:t xml:space="preserve">high </w:t>
      </w:r>
      <w:r w:rsidR="0007785D">
        <w:t xml:space="preserve">drug </w:t>
      </w:r>
      <w:r w:rsidR="009D3C89">
        <w:t>was</w:t>
      </w:r>
      <w:r w:rsidR="0007785D">
        <w:t xml:space="preserve"> collected after the experimental task</w:t>
      </w:r>
      <w:r w:rsidR="009D3C89">
        <w:t>s</w:t>
      </w:r>
      <w:r w:rsidR="0007785D">
        <w:t>.</w:t>
      </w:r>
    </w:p>
    <w:p w14:paraId="1CE5A8A7" w14:textId="45931796" w:rsidR="000D20AA" w:rsidRPr="00FF265F" w:rsidRDefault="00F71CBD" w:rsidP="003C23D2">
      <w:pPr>
        <w:pStyle w:val="BodyText"/>
        <w:spacing w:line="480" w:lineRule="auto"/>
        <w:jc w:val="center"/>
        <w:outlineLvl w:val="0"/>
      </w:pPr>
      <w:r w:rsidRPr="00FF265F">
        <w:t>Results</w:t>
      </w:r>
      <w:r w:rsidR="007E271D" w:rsidRPr="00FF265F">
        <w:tab/>
      </w:r>
    </w:p>
    <w:p w14:paraId="3183DE05" w14:textId="5B5ACDB9" w:rsidR="00F81EF6" w:rsidRDefault="00F81EF6" w:rsidP="003C23D2">
      <w:pPr>
        <w:tabs>
          <w:tab w:val="left" w:pos="-720"/>
        </w:tabs>
        <w:suppressAutoHyphens/>
        <w:spacing w:line="480" w:lineRule="auto"/>
        <w:jc w:val="both"/>
        <w:outlineLvl w:val="0"/>
      </w:pPr>
      <w:r w:rsidRPr="00F81EF6">
        <w:rPr>
          <w:i/>
        </w:rPr>
        <w:t>DAST scores</w:t>
      </w:r>
      <w:r>
        <w:rPr>
          <w:i/>
        </w:rPr>
        <w:t xml:space="preserve"> for </w:t>
      </w:r>
      <w:r w:rsidR="003C23D2">
        <w:rPr>
          <w:i/>
        </w:rPr>
        <w:t>NPSUs</w:t>
      </w:r>
    </w:p>
    <w:p w14:paraId="2AE92701" w14:textId="519C319D" w:rsidR="00F81EF6" w:rsidRDefault="00F856EA" w:rsidP="00C501DF">
      <w:pPr>
        <w:tabs>
          <w:tab w:val="left" w:pos="-720"/>
        </w:tabs>
        <w:suppressAutoHyphens/>
        <w:spacing w:line="480" w:lineRule="auto"/>
        <w:jc w:val="both"/>
      </w:pPr>
      <w:r>
        <w:lastRenderedPageBreak/>
        <w:tab/>
        <w:t>Responses for each of the 10 items were totalled for each</w:t>
      </w:r>
      <w:r w:rsidR="0012202B">
        <w:t xml:space="preserve"> NPS user</w:t>
      </w:r>
      <w:r>
        <w:t xml:space="preserve"> </w:t>
      </w:r>
      <w:r w:rsidR="0012202B">
        <w:t>(NPSU)</w:t>
      </w:r>
      <w:r>
        <w:t xml:space="preserve">. Results showed that </w:t>
      </w:r>
      <w:r w:rsidR="008861A7">
        <w:t xml:space="preserve">according DAST criteria (see Skinner, 1982) on average </w:t>
      </w:r>
      <w:r w:rsidR="003C23D2">
        <w:t>NPSUs</w:t>
      </w:r>
      <w:r w:rsidR="008861A7">
        <w:t xml:space="preserve"> reported a low level of problems associated with their </w:t>
      </w:r>
      <w:r w:rsidR="003409B6">
        <w:t xml:space="preserve">NPS </w:t>
      </w:r>
      <w:r w:rsidR="008861A7">
        <w:t xml:space="preserve">use (mean = </w:t>
      </w:r>
      <w:r w:rsidR="00915C5B">
        <w:t>2.80, SD = 1.09, range 2 to 6</w:t>
      </w:r>
      <w:r w:rsidR="008861A7">
        <w:t>).</w:t>
      </w:r>
      <w:r w:rsidR="00A46119">
        <w:t xml:space="preserve"> Initial analyses highlighted that DAST scores were not associated with the difference in response latencies between </w:t>
      </w:r>
      <w:r w:rsidR="007B6A45">
        <w:t>NPS</w:t>
      </w:r>
      <w:r w:rsidR="00A46119">
        <w:t xml:space="preserve">-related words and matched </w:t>
      </w:r>
      <w:r w:rsidR="00D5098F">
        <w:t xml:space="preserve">neutral </w:t>
      </w:r>
      <w:r w:rsidR="00A46119">
        <w:t xml:space="preserve">words (r = .13, p = .49), the difference in response latencies between negative </w:t>
      </w:r>
      <w:r w:rsidR="007B6A45">
        <w:t>NPS-</w:t>
      </w:r>
      <w:r w:rsidR="00A46119">
        <w:t xml:space="preserve">related expectancy words and matched </w:t>
      </w:r>
      <w:r w:rsidR="00D5098F">
        <w:t xml:space="preserve">neutral </w:t>
      </w:r>
      <w:r w:rsidR="00A46119">
        <w:t xml:space="preserve">words (r = -.12, p = .53), and the difference in response latencies between positive </w:t>
      </w:r>
      <w:r w:rsidR="007B6A45">
        <w:t>NPS-</w:t>
      </w:r>
      <w:r w:rsidR="00A46119">
        <w:t xml:space="preserve">related expectancy words and matched </w:t>
      </w:r>
      <w:r w:rsidR="00D5098F">
        <w:t xml:space="preserve">neutral </w:t>
      </w:r>
      <w:r w:rsidR="00A46119">
        <w:t>words (r = .01, p = .97). As such DAST scores are not considered in any subsequent analyses.</w:t>
      </w:r>
    </w:p>
    <w:p w14:paraId="4D8A2C40" w14:textId="36FCA61E" w:rsidR="008861A7" w:rsidRPr="008861A7" w:rsidRDefault="008861A7" w:rsidP="003C23D2">
      <w:pPr>
        <w:tabs>
          <w:tab w:val="left" w:pos="-720"/>
        </w:tabs>
        <w:suppressAutoHyphens/>
        <w:spacing w:line="480" w:lineRule="auto"/>
        <w:jc w:val="both"/>
        <w:outlineLvl w:val="0"/>
        <w:rPr>
          <w:i/>
        </w:rPr>
      </w:pPr>
      <w:r w:rsidRPr="008861A7">
        <w:rPr>
          <w:i/>
        </w:rPr>
        <w:t>Response latenc</w:t>
      </w:r>
      <w:r w:rsidR="00915C5B">
        <w:rPr>
          <w:i/>
        </w:rPr>
        <w:t>y</w:t>
      </w:r>
      <w:r w:rsidRPr="008861A7">
        <w:rPr>
          <w:i/>
        </w:rPr>
        <w:t xml:space="preserve"> analyses</w:t>
      </w:r>
    </w:p>
    <w:p w14:paraId="48D079C0" w14:textId="0B3A4D86" w:rsidR="007D51C2" w:rsidRDefault="008861A7" w:rsidP="00C501DF">
      <w:pPr>
        <w:tabs>
          <w:tab w:val="left" w:pos="-720"/>
        </w:tabs>
        <w:suppressAutoHyphens/>
        <w:spacing w:line="480" w:lineRule="auto"/>
        <w:jc w:val="both"/>
      </w:pPr>
      <w:r>
        <w:tab/>
      </w:r>
      <w:r w:rsidR="00AA2BF9" w:rsidRPr="00C52BDC">
        <w:t xml:space="preserve">All analyses were undertaken </w:t>
      </w:r>
      <w:r>
        <w:t>for</w:t>
      </w:r>
      <w:r w:rsidR="00AA2BF9" w:rsidRPr="00C52BDC">
        <w:t xml:space="preserve"> mean correct reaction times (RT). Responses greater than two standard deviations from the mean RT in </w:t>
      </w:r>
      <w:r w:rsidR="00AA2BF9">
        <w:t xml:space="preserve">any of the legal high and matched neutral categories </w:t>
      </w:r>
      <w:r w:rsidR="00AA2BF9" w:rsidRPr="00C52BDC">
        <w:t>were removed before analysis</w:t>
      </w:r>
      <w:r w:rsidR="00AA2BF9">
        <w:t xml:space="preserve"> (five sets of reaction times</w:t>
      </w:r>
      <w:r w:rsidR="002C7F09">
        <w:t xml:space="preserve">, all </w:t>
      </w:r>
      <w:r w:rsidR="0012202B">
        <w:t>never NPSUs (</w:t>
      </w:r>
      <w:proofErr w:type="spellStart"/>
      <w:r w:rsidR="002C7F09">
        <w:t>n</w:t>
      </w:r>
      <w:r w:rsidR="003C23D2">
        <w:t>NPSUs</w:t>
      </w:r>
      <w:proofErr w:type="spellEnd"/>
      <w:r w:rsidR="0012202B">
        <w:t>)</w:t>
      </w:r>
      <w:r w:rsidR="00AA2BF9">
        <w:t>, were removed)</w:t>
      </w:r>
      <w:r w:rsidR="00A23A3F">
        <w:t xml:space="preserve"> leaving a total of sixty-four complete data sets (30 </w:t>
      </w:r>
      <w:r w:rsidR="003C23D2">
        <w:t>NPSUs</w:t>
      </w:r>
      <w:r w:rsidR="00A23A3F">
        <w:t xml:space="preserve"> and 34 </w:t>
      </w:r>
      <w:proofErr w:type="spellStart"/>
      <w:r w:rsidR="00A23A3F">
        <w:t>n</w:t>
      </w:r>
      <w:r w:rsidR="003C23D2">
        <w:t>NPSUs</w:t>
      </w:r>
      <w:proofErr w:type="spellEnd"/>
      <w:r w:rsidR="00A23A3F">
        <w:t>)</w:t>
      </w:r>
      <w:r w:rsidR="00AA2BF9" w:rsidRPr="00C52BDC">
        <w:t>.</w:t>
      </w:r>
      <w:r w:rsidR="0012202B">
        <w:t xml:space="preserve"> </w:t>
      </w:r>
      <w:r w:rsidR="00600781">
        <w:t>Three</w:t>
      </w:r>
      <w:r w:rsidR="0012202B">
        <w:t xml:space="preserve"> </w:t>
      </w:r>
      <w:r w:rsidR="00600781">
        <w:t xml:space="preserve">two-way </w:t>
      </w:r>
      <w:r w:rsidR="00600781" w:rsidRPr="007E271D">
        <w:t>ANOVA</w:t>
      </w:r>
      <w:r w:rsidR="00600781">
        <w:t>s were conducted t</w:t>
      </w:r>
      <w:r w:rsidR="007E271D" w:rsidRPr="007E271D">
        <w:t xml:space="preserve">o examine differences between </w:t>
      </w:r>
      <w:r w:rsidR="003C23D2">
        <w:t>NPSUs</w:t>
      </w:r>
      <w:r w:rsidR="00313FA4">
        <w:t xml:space="preserve"> and </w:t>
      </w:r>
      <w:proofErr w:type="spellStart"/>
      <w:r w:rsidR="00313FA4">
        <w:t>n</w:t>
      </w:r>
      <w:r w:rsidR="003C23D2">
        <w:t>NPSUs</w:t>
      </w:r>
      <w:proofErr w:type="spellEnd"/>
      <w:r w:rsidR="0012202B">
        <w:t xml:space="preserve"> </w:t>
      </w:r>
      <w:r w:rsidR="007E271D" w:rsidRPr="007E271D">
        <w:t xml:space="preserve">in </w:t>
      </w:r>
      <w:r w:rsidR="00313FA4">
        <w:t xml:space="preserve">mean correct </w:t>
      </w:r>
      <w:r w:rsidR="00600781">
        <w:t>reaction times (milliseconds) separately for</w:t>
      </w:r>
      <w:r w:rsidR="0012202B">
        <w:t xml:space="preserve"> </w:t>
      </w:r>
      <w:r w:rsidR="00600781">
        <w:t>(</w:t>
      </w:r>
      <w:proofErr w:type="spellStart"/>
      <w:r w:rsidR="00600781">
        <w:t>i</w:t>
      </w:r>
      <w:proofErr w:type="spellEnd"/>
      <w:r w:rsidR="00600781">
        <w:t xml:space="preserve">) </w:t>
      </w:r>
      <w:r w:rsidR="007B6A45">
        <w:t>NPS</w:t>
      </w:r>
      <w:r w:rsidR="00600781" w:rsidRPr="00EE5BCD">
        <w:t>-related words</w:t>
      </w:r>
      <w:r w:rsidR="00600781">
        <w:t xml:space="preserve"> vs neutral words</w:t>
      </w:r>
      <w:r w:rsidR="00600781" w:rsidRPr="00EE5BCD">
        <w:t>, (ii</w:t>
      </w:r>
      <w:r w:rsidR="00600781">
        <w:t>)</w:t>
      </w:r>
      <w:r w:rsidR="0012202B">
        <w:t xml:space="preserve"> </w:t>
      </w:r>
      <w:r w:rsidR="007B6A45">
        <w:t>NPS</w:t>
      </w:r>
      <w:r w:rsidR="007E275C">
        <w:t xml:space="preserve"> </w:t>
      </w:r>
      <w:r w:rsidR="00600781" w:rsidRPr="00EE5BCD">
        <w:t xml:space="preserve">positive expectancy words </w:t>
      </w:r>
      <w:r w:rsidR="00600781">
        <w:t>vs neutral words</w:t>
      </w:r>
      <w:r w:rsidR="00600781" w:rsidRPr="00EE5BCD">
        <w:t xml:space="preserve"> and, (iii) </w:t>
      </w:r>
      <w:r w:rsidR="007B6A45">
        <w:t>NPS</w:t>
      </w:r>
      <w:r w:rsidR="007E275C">
        <w:t xml:space="preserve"> </w:t>
      </w:r>
      <w:r w:rsidR="00600781" w:rsidRPr="00EE5BCD">
        <w:t>negative expectancy words</w:t>
      </w:r>
      <w:r w:rsidR="00600781">
        <w:t xml:space="preserve"> vs neutral words</w:t>
      </w:r>
      <w:r w:rsidR="0060610E">
        <w:t xml:space="preserve"> (see Table 1 for means and </w:t>
      </w:r>
      <w:r w:rsidR="00F51E0E">
        <w:t>standard</w:t>
      </w:r>
      <w:r w:rsidR="0060610E">
        <w:t xml:space="preserve"> deviations).</w:t>
      </w:r>
      <w:r w:rsidR="00D76C64">
        <w:rPr>
          <w:rStyle w:val="FootnoteReference"/>
        </w:rPr>
        <w:footnoteReference w:customMarkFollows="1" w:id="1"/>
        <w:t>1</w:t>
      </w:r>
      <w:r w:rsidR="007E275C">
        <w:t xml:space="preserve"> </w:t>
      </w:r>
      <w:r w:rsidR="00544386">
        <w:t xml:space="preserve">For </w:t>
      </w:r>
      <w:r w:rsidR="007B6A45">
        <w:t>NPS</w:t>
      </w:r>
      <w:r w:rsidR="00600781" w:rsidRPr="00EE5BCD">
        <w:t>-related words</w:t>
      </w:r>
      <w:r w:rsidR="00600781">
        <w:t xml:space="preserve"> vs neutral words </w:t>
      </w:r>
      <w:r w:rsidR="00F51E0E">
        <w:t>no main or interaction effects for Word Type or Group (</w:t>
      </w:r>
      <w:r w:rsidR="0012202B">
        <w:t>NPSUs</w:t>
      </w:r>
      <w:r w:rsidR="00F51E0E">
        <w:t xml:space="preserve">, </w:t>
      </w:r>
      <w:proofErr w:type="spellStart"/>
      <w:proofErr w:type="gramStart"/>
      <w:r w:rsidR="0012202B">
        <w:t>nNPSUs</w:t>
      </w:r>
      <w:proofErr w:type="spellEnd"/>
      <w:r w:rsidR="0012202B" w:rsidDel="0012202B">
        <w:t xml:space="preserve"> </w:t>
      </w:r>
      <w:r w:rsidR="00F51E0E">
        <w:t>)</w:t>
      </w:r>
      <w:proofErr w:type="gramEnd"/>
      <w:r w:rsidR="00F51E0E">
        <w:t xml:space="preserve"> were sh</w:t>
      </w:r>
      <w:r w:rsidR="00935367">
        <w:t>own</w:t>
      </w:r>
      <w:r w:rsidR="00F81EF6">
        <w:t xml:space="preserve"> (a</w:t>
      </w:r>
      <w:r w:rsidR="00935367">
        <w:t xml:space="preserve">ll </w:t>
      </w:r>
      <w:proofErr w:type="spellStart"/>
      <w:r w:rsidR="00935367">
        <w:t>ps</w:t>
      </w:r>
      <w:proofErr w:type="spellEnd"/>
      <w:r w:rsidR="00935367">
        <w:t xml:space="preserve"> &gt; .24</w:t>
      </w:r>
      <w:r w:rsidR="00F81EF6">
        <w:t>)</w:t>
      </w:r>
      <w:r w:rsidR="00F51E0E">
        <w:t xml:space="preserve">. </w:t>
      </w:r>
    </w:p>
    <w:p w14:paraId="00DBA72D" w14:textId="7D2A95AA" w:rsidR="007D51C2" w:rsidRDefault="007D51C2" w:rsidP="00C501DF">
      <w:pPr>
        <w:tabs>
          <w:tab w:val="left" w:pos="-720"/>
        </w:tabs>
        <w:suppressAutoHyphens/>
        <w:spacing w:line="480" w:lineRule="auto"/>
        <w:jc w:val="both"/>
      </w:pPr>
      <w:r>
        <w:lastRenderedPageBreak/>
        <w:tab/>
      </w:r>
      <w:r w:rsidR="00F51E0E">
        <w:t xml:space="preserve">For </w:t>
      </w:r>
      <w:r w:rsidR="007B6A45">
        <w:t>NPS</w:t>
      </w:r>
      <w:r w:rsidR="007E275C">
        <w:t xml:space="preserve"> </w:t>
      </w:r>
      <w:r w:rsidR="00F51E0E" w:rsidRPr="00EE5BCD">
        <w:t xml:space="preserve">positive expectancy words </w:t>
      </w:r>
      <w:r w:rsidR="00F51E0E">
        <w:t>vs neutral words m</w:t>
      </w:r>
      <w:r w:rsidR="00313FA4">
        <w:t>ain effects</w:t>
      </w:r>
      <w:r w:rsidR="00935367">
        <w:t xml:space="preserve"> for both Word Type, F (1, 62) = .01, p = .98</w:t>
      </w:r>
      <w:r w:rsidR="00313FA4">
        <w:t xml:space="preserve">, </w:t>
      </w:r>
      <w:r w:rsidR="00935367">
        <w:t>and Group, F (1, 62) = .03, p = .86</w:t>
      </w:r>
      <w:r w:rsidR="00F51E0E">
        <w:t xml:space="preserve">) were not significant. The Word Type </w:t>
      </w:r>
      <w:r w:rsidR="000A6790">
        <w:t>X</w:t>
      </w:r>
      <w:r w:rsidR="00F51E0E">
        <w:t xml:space="preserve"> Group inter</w:t>
      </w:r>
      <w:r w:rsidR="00935367">
        <w:t>action was significant, F (1, 62) = 5.37</w:t>
      </w:r>
      <w:r w:rsidR="00F51E0E">
        <w:t xml:space="preserve">, p &lt; .05.  </w:t>
      </w:r>
      <w:r w:rsidR="00F51E0E" w:rsidRPr="002A62D7">
        <w:t xml:space="preserve">Simple effects analysis showed </w:t>
      </w:r>
      <w:r w:rsidR="00BF41BA" w:rsidRPr="002A62D7">
        <w:t>no significant difference</w:t>
      </w:r>
      <w:r w:rsidR="00F51E0E" w:rsidRPr="002A62D7">
        <w:t xml:space="preserve"> in response times between positive and neutral words </w:t>
      </w:r>
      <w:r w:rsidR="00BF41BA" w:rsidRPr="002A62D7">
        <w:t xml:space="preserve">for </w:t>
      </w:r>
      <w:r w:rsidR="003C23D2">
        <w:t>NPSUs</w:t>
      </w:r>
      <w:r w:rsidR="00F51E0E" w:rsidRPr="002A62D7">
        <w:t>, F (</w:t>
      </w:r>
      <w:r w:rsidR="00D730CB">
        <w:t>1, 62</w:t>
      </w:r>
      <w:r w:rsidR="00BF41BA" w:rsidRPr="002A62D7">
        <w:t xml:space="preserve">) = </w:t>
      </w:r>
      <w:r w:rsidR="00C02E9B">
        <w:t>2.49, p = .12</w:t>
      </w:r>
      <w:r w:rsidR="00BF41BA" w:rsidRPr="002A62D7">
        <w:t>,</w:t>
      </w:r>
      <w:r w:rsidR="007E275C">
        <w:t xml:space="preserve"> </w:t>
      </w:r>
      <w:r w:rsidR="00C02E9B">
        <w:t xml:space="preserve">nor for </w:t>
      </w:r>
      <w:proofErr w:type="spellStart"/>
      <w:r w:rsidR="00C02E9B">
        <w:t>n</w:t>
      </w:r>
      <w:r w:rsidR="003C23D2">
        <w:t>NPSUs</w:t>
      </w:r>
      <w:proofErr w:type="spellEnd"/>
      <w:r w:rsidR="00C02E9B">
        <w:t>, F (1, 62) = 2.90</w:t>
      </w:r>
      <w:r w:rsidR="00BF41BA" w:rsidRPr="002A62D7">
        <w:t xml:space="preserve">, p = </w:t>
      </w:r>
      <w:r w:rsidR="002A62D7" w:rsidRPr="002A62D7">
        <w:t>.</w:t>
      </w:r>
      <w:r w:rsidR="00C02E9B">
        <w:t>094</w:t>
      </w:r>
      <w:r w:rsidR="007E271D" w:rsidRPr="002A62D7">
        <w:t>.</w:t>
      </w:r>
      <w:r w:rsidR="007E275C">
        <w:t xml:space="preserve"> </w:t>
      </w:r>
      <w:r w:rsidR="00B35374">
        <w:t>However,</w:t>
      </w:r>
      <w:r w:rsidR="00E771DE">
        <w:t xml:space="preserve"> </w:t>
      </w:r>
      <w:r w:rsidR="00C02E9B">
        <w:t xml:space="preserve">a significant difference for positive expectancy words was shown between </w:t>
      </w:r>
      <w:r w:rsidR="003C23D2">
        <w:t>NPSUs</w:t>
      </w:r>
      <w:r w:rsidR="00185352" w:rsidRPr="002A62D7">
        <w:t xml:space="preserve"> and </w:t>
      </w:r>
      <w:proofErr w:type="spellStart"/>
      <w:r w:rsidR="00185352" w:rsidRPr="002A62D7">
        <w:t>n</w:t>
      </w:r>
      <w:r w:rsidR="003C23D2">
        <w:t>NPSUs</w:t>
      </w:r>
      <w:proofErr w:type="spellEnd"/>
      <w:r w:rsidR="00C02E9B">
        <w:t>, F (1, 62) = 5.37, p &lt; .05</w:t>
      </w:r>
      <w:r w:rsidR="003E766A">
        <w:t xml:space="preserve"> with </w:t>
      </w:r>
      <w:r w:rsidR="003C23D2">
        <w:t>NPSUs</w:t>
      </w:r>
      <w:r w:rsidR="003E766A">
        <w:t xml:space="preserve"> being significantly slower in average colour naming responses</w:t>
      </w:r>
      <w:r w:rsidR="00185352" w:rsidRPr="002A62D7">
        <w:t>.</w:t>
      </w:r>
      <w:r w:rsidR="007E275C">
        <w:t xml:space="preserve"> </w:t>
      </w:r>
      <w:r w:rsidR="00C02E9B">
        <w:t xml:space="preserve">The simple effect within neutral words between </w:t>
      </w:r>
      <w:r w:rsidR="003C23D2">
        <w:t>NPSUs</w:t>
      </w:r>
      <w:r w:rsidR="00C02E9B">
        <w:t xml:space="preserve"> and </w:t>
      </w:r>
      <w:proofErr w:type="spellStart"/>
      <w:r w:rsidR="00C02E9B">
        <w:t>n</w:t>
      </w:r>
      <w:r w:rsidR="003C23D2">
        <w:t>NPSUs</w:t>
      </w:r>
      <w:proofErr w:type="spellEnd"/>
      <w:r w:rsidR="00C02E9B">
        <w:t xml:space="preserve"> was n</w:t>
      </w:r>
      <w:r w:rsidR="003E766A">
        <w:t>ot significant, F (1, 62) = .03,</w:t>
      </w:r>
      <w:r w:rsidR="00C02E9B">
        <w:t xml:space="preserve"> p = .86.</w:t>
      </w:r>
    </w:p>
    <w:p w14:paraId="05A91675" w14:textId="6CF19CBC" w:rsidR="00F71CBD" w:rsidRPr="007D51C2" w:rsidRDefault="007D51C2" w:rsidP="00C501DF">
      <w:pPr>
        <w:tabs>
          <w:tab w:val="left" w:pos="-720"/>
        </w:tabs>
        <w:suppressAutoHyphens/>
        <w:spacing w:line="480" w:lineRule="auto"/>
        <w:jc w:val="both"/>
      </w:pPr>
      <w:r>
        <w:tab/>
      </w:r>
      <w:r w:rsidR="00A02D79">
        <w:t xml:space="preserve">For </w:t>
      </w:r>
      <w:r w:rsidR="007B6A45">
        <w:t>NPS</w:t>
      </w:r>
      <w:r w:rsidR="007E275C">
        <w:t xml:space="preserve"> </w:t>
      </w:r>
      <w:r w:rsidR="00A02D79">
        <w:t>negative</w:t>
      </w:r>
      <w:r w:rsidR="00A02D79" w:rsidRPr="00EE5BCD">
        <w:t xml:space="preserve"> expectancy words </w:t>
      </w:r>
      <w:r w:rsidR="00A02D79">
        <w:t>vs neutral words no</w:t>
      </w:r>
      <w:r w:rsidR="00935367">
        <w:t xml:space="preserve"> main effect for Group (F (1, 62) = .382, p = .54</w:t>
      </w:r>
      <w:r w:rsidR="00A02D79">
        <w:t>) was shown. However, the</w:t>
      </w:r>
      <w:r w:rsidR="00935367">
        <w:t xml:space="preserve"> main effect </w:t>
      </w:r>
      <w:r w:rsidR="0027119B">
        <w:t xml:space="preserve">of </w:t>
      </w:r>
      <w:r w:rsidR="00935367">
        <w:t>Word Type, F (1, 62) = 7.49</w:t>
      </w:r>
      <w:r w:rsidR="00021E93">
        <w:t>, p &lt; .01</w:t>
      </w:r>
      <w:r w:rsidR="00A02D79">
        <w:t xml:space="preserve"> and the Word Type </w:t>
      </w:r>
      <w:r w:rsidR="000A6790">
        <w:t>X</w:t>
      </w:r>
      <w:r w:rsidR="00A02D79">
        <w:t xml:space="preserve"> Group intera</w:t>
      </w:r>
      <w:r w:rsidR="00021E93">
        <w:t>ction were significant, F (1, 62) = 7.06</w:t>
      </w:r>
      <w:r w:rsidR="00A02D79">
        <w:t>, p &lt; .05.</w:t>
      </w:r>
      <w:r w:rsidR="007E275C">
        <w:t xml:space="preserve"> </w:t>
      </w:r>
      <w:r w:rsidR="00350A37" w:rsidRPr="007D51C2">
        <w:t xml:space="preserve">Simple effects analysis for the interaction showed </w:t>
      </w:r>
      <w:r w:rsidR="000A6790" w:rsidRPr="007D51C2">
        <w:t xml:space="preserve">a significant difference in response times between </w:t>
      </w:r>
      <w:r w:rsidR="00CB3807">
        <w:t>negative</w:t>
      </w:r>
      <w:r w:rsidR="000A6790" w:rsidRPr="007D51C2">
        <w:t xml:space="preserve"> and </w:t>
      </w:r>
      <w:r w:rsidR="005D7269">
        <w:t xml:space="preserve">neutral words for </w:t>
      </w:r>
      <w:r w:rsidR="003C23D2">
        <w:t>NPSUs</w:t>
      </w:r>
      <w:r w:rsidR="005D7269">
        <w:t>, F (1, 62</w:t>
      </w:r>
      <w:r w:rsidR="000A6790" w:rsidRPr="007D51C2">
        <w:t xml:space="preserve">) = </w:t>
      </w:r>
      <w:r w:rsidR="005D7269">
        <w:t>13.68</w:t>
      </w:r>
      <w:r w:rsidR="000A6790" w:rsidRPr="007D51C2">
        <w:t>, p &lt; .0</w:t>
      </w:r>
      <w:r w:rsidRPr="007D51C2">
        <w:t>0</w:t>
      </w:r>
      <w:r w:rsidR="005D7269">
        <w:t xml:space="preserve">1, and not for </w:t>
      </w:r>
      <w:proofErr w:type="spellStart"/>
      <w:r w:rsidR="005D7269">
        <w:t>n</w:t>
      </w:r>
      <w:r w:rsidR="003C23D2">
        <w:t>NPSUs</w:t>
      </w:r>
      <w:proofErr w:type="spellEnd"/>
      <w:r w:rsidR="005D7269">
        <w:t>, F (1, 62</w:t>
      </w:r>
      <w:r w:rsidR="000A6790" w:rsidRPr="007D51C2">
        <w:t>) = .003, p = .954.</w:t>
      </w:r>
      <w:r w:rsidR="007E275C">
        <w:t xml:space="preserve"> </w:t>
      </w:r>
      <w:r w:rsidR="003C23D2">
        <w:t>NPSUs</w:t>
      </w:r>
      <w:r w:rsidR="00CE317A">
        <w:t xml:space="preserve"> </w:t>
      </w:r>
      <w:r w:rsidR="00D54511">
        <w:t xml:space="preserve">were </w:t>
      </w:r>
      <w:r w:rsidR="00CE317A">
        <w:t>significantly slower to positive word</w:t>
      </w:r>
      <w:r w:rsidR="00D54511">
        <w:t>s</w:t>
      </w:r>
      <w:r w:rsidR="00CE317A">
        <w:t xml:space="preserve"> relative to matched neutral words. </w:t>
      </w:r>
      <w:r w:rsidR="00450C9B">
        <w:t>N</w:t>
      </w:r>
      <w:r w:rsidR="00625417" w:rsidRPr="007D51C2">
        <w:t xml:space="preserve">o differences between </w:t>
      </w:r>
      <w:r w:rsidR="003C23D2">
        <w:t>NPSUs</w:t>
      </w:r>
      <w:r w:rsidR="00625417" w:rsidRPr="007D51C2">
        <w:t xml:space="preserve"> and </w:t>
      </w:r>
      <w:proofErr w:type="spellStart"/>
      <w:r w:rsidR="00625417" w:rsidRPr="007D51C2">
        <w:t>n</w:t>
      </w:r>
      <w:r w:rsidR="003C23D2">
        <w:t>NPSUs</w:t>
      </w:r>
      <w:proofErr w:type="spellEnd"/>
      <w:r w:rsidR="00625417" w:rsidRPr="007D51C2">
        <w:t xml:space="preserve"> in response times for </w:t>
      </w:r>
      <w:r w:rsidRPr="007D51C2">
        <w:t>negative words, F (1, 62) = 2.64, p = .109</w:t>
      </w:r>
      <w:r w:rsidR="00625417" w:rsidRPr="007D51C2">
        <w:t>,</w:t>
      </w:r>
      <w:r w:rsidR="00E82E44">
        <w:t xml:space="preserve"> </w:t>
      </w:r>
      <w:r w:rsidRPr="007D51C2">
        <w:t>or for neutral words, F (1, 62</w:t>
      </w:r>
      <w:r w:rsidR="00625417" w:rsidRPr="007D51C2">
        <w:t>) = .</w:t>
      </w:r>
      <w:r w:rsidRPr="007D51C2">
        <w:t>162, p = .689</w:t>
      </w:r>
      <w:r w:rsidR="00625417" w:rsidRPr="007D51C2">
        <w:t xml:space="preserve"> were shown</w:t>
      </w:r>
      <w:r w:rsidR="00450C9B">
        <w:t xml:space="preserve"> suggesting that neither user group processes negative or neutral words differentially</w:t>
      </w:r>
      <w:r w:rsidR="00625417" w:rsidRPr="007D51C2">
        <w:t>.</w:t>
      </w:r>
    </w:p>
    <w:p w14:paraId="42CF4751" w14:textId="77777777" w:rsidR="00F71CBD" w:rsidRDefault="00F71CBD" w:rsidP="003C23D2">
      <w:pPr>
        <w:pStyle w:val="BodyText"/>
        <w:spacing w:line="480" w:lineRule="auto"/>
        <w:jc w:val="center"/>
        <w:outlineLvl w:val="0"/>
        <w:rPr>
          <w:b w:val="0"/>
        </w:rPr>
      </w:pPr>
      <w:r>
        <w:rPr>
          <w:b w:val="0"/>
        </w:rPr>
        <w:t>Table 1 here</w:t>
      </w:r>
    </w:p>
    <w:p w14:paraId="24EFD856" w14:textId="157D9176" w:rsidR="00915C5B" w:rsidRDefault="00915C5B" w:rsidP="003C23D2">
      <w:pPr>
        <w:tabs>
          <w:tab w:val="left" w:pos="-720"/>
        </w:tabs>
        <w:suppressAutoHyphens/>
        <w:spacing w:line="480" w:lineRule="auto"/>
        <w:jc w:val="both"/>
        <w:outlineLvl w:val="0"/>
      </w:pPr>
      <w:r>
        <w:rPr>
          <w:i/>
        </w:rPr>
        <w:t>Attentional bias scores</w:t>
      </w:r>
      <w:r w:rsidR="00606751">
        <w:tab/>
      </w:r>
    </w:p>
    <w:p w14:paraId="204B10AB" w14:textId="1EF8C904" w:rsidR="00173B4E" w:rsidRPr="00625417" w:rsidRDefault="00915C5B" w:rsidP="00625417">
      <w:pPr>
        <w:tabs>
          <w:tab w:val="left" w:pos="-720"/>
        </w:tabs>
        <w:suppressAutoHyphens/>
        <w:spacing w:line="480" w:lineRule="auto"/>
        <w:jc w:val="both"/>
      </w:pPr>
      <w:r>
        <w:lastRenderedPageBreak/>
        <w:tab/>
      </w:r>
      <w:r w:rsidR="0060610E">
        <w:t xml:space="preserve">Attentional bias scores were calculated for each category by subtracting the mean correct RT to category-matched neutral words from the mean correct </w:t>
      </w:r>
      <w:r w:rsidR="001E3AB1">
        <w:t>RT</w:t>
      </w:r>
      <w:r w:rsidR="0060610E">
        <w:t xml:space="preserve"> </w:t>
      </w:r>
      <w:proofErr w:type="gramStart"/>
      <w:r w:rsidR="0060610E">
        <w:t xml:space="preserve">to  </w:t>
      </w:r>
      <w:r w:rsidR="003409B6">
        <w:t>NPS</w:t>
      </w:r>
      <w:proofErr w:type="gramEnd"/>
      <w:r w:rsidR="003409B6">
        <w:t xml:space="preserve"> </w:t>
      </w:r>
      <w:r w:rsidR="0060610E">
        <w:t xml:space="preserve">words, negative </w:t>
      </w:r>
      <w:r w:rsidR="003409B6">
        <w:t xml:space="preserve">NPS </w:t>
      </w:r>
      <w:r w:rsidR="0060610E">
        <w:t xml:space="preserve">expectancy words and positive </w:t>
      </w:r>
      <w:r w:rsidR="003409B6">
        <w:t xml:space="preserve">NPS </w:t>
      </w:r>
      <w:r w:rsidR="0060610E">
        <w:t>expectancy words</w:t>
      </w:r>
      <w:r w:rsidR="00473925">
        <w:t xml:space="preserve"> separately</w:t>
      </w:r>
      <w:r w:rsidR="0060610E">
        <w:t>. Positive attentional bias scores reflect increased response latencies to the concern-related words relative to ma</w:t>
      </w:r>
      <w:r w:rsidR="00625417">
        <w:t>tched neutral words (see Table 1</w:t>
      </w:r>
      <w:r w:rsidR="0060610E">
        <w:t xml:space="preserve"> for means and standard deviations). </w:t>
      </w:r>
      <w:r w:rsidR="00606751" w:rsidRPr="00606751">
        <w:t xml:space="preserve">To explore whether users and non-users displayed significant attentional bias scores for </w:t>
      </w:r>
      <w:r w:rsidR="007A6A3F">
        <w:t>NPS-specific,</w:t>
      </w:r>
      <w:r w:rsidR="00606751" w:rsidRPr="00606751">
        <w:t xml:space="preserve"> negative and positive expectancy words</w:t>
      </w:r>
      <w:r w:rsidR="007A6A3F">
        <w:t>,</w:t>
      </w:r>
      <w:r w:rsidR="00606751" w:rsidRPr="00606751">
        <w:t xml:space="preserve"> a series of one-sample t-tests were conducted.  This</w:t>
      </w:r>
      <w:r w:rsidR="007A6A3F">
        <w:t xml:space="preserve"> analysis</w:t>
      </w:r>
      <w:r w:rsidR="00606751" w:rsidRPr="00606751">
        <w:t xml:space="preserve"> compares mean scores against the AB score value indicative of no bias present (i.e. zero).  </w:t>
      </w:r>
      <w:r w:rsidR="00606751" w:rsidRPr="009D5907">
        <w:t xml:space="preserve">For </w:t>
      </w:r>
      <w:r w:rsidR="003C23D2">
        <w:t>NPSUs</w:t>
      </w:r>
      <w:r w:rsidR="00606751" w:rsidRPr="009D5907">
        <w:t xml:space="preserve"> AB was not shown to differ significantly from zero for </w:t>
      </w:r>
      <w:r w:rsidR="007B6A45">
        <w:t>NPS</w:t>
      </w:r>
      <w:r w:rsidR="00606751" w:rsidRPr="009D5907">
        <w:t xml:space="preserve"> specific words, t</w:t>
      </w:r>
      <w:r w:rsidR="005D1216">
        <w:t xml:space="preserve"> </w:t>
      </w:r>
      <w:r w:rsidR="009D5907" w:rsidRPr="009D5907">
        <w:t>(29) = 1.67, p = .11</w:t>
      </w:r>
      <w:r w:rsidR="00606751" w:rsidRPr="009D5907">
        <w:t xml:space="preserve">, nor positive </w:t>
      </w:r>
      <w:r w:rsidR="007A6A3F">
        <w:t xml:space="preserve">NPS </w:t>
      </w:r>
      <w:r w:rsidR="00606751" w:rsidRPr="009D5907">
        <w:t xml:space="preserve">expectancies, </w:t>
      </w:r>
      <w:proofErr w:type="gramStart"/>
      <w:r w:rsidR="00606751" w:rsidRPr="009D5907">
        <w:t>t</w:t>
      </w:r>
      <w:r w:rsidR="009D5907" w:rsidRPr="009D5907">
        <w:t>(</w:t>
      </w:r>
      <w:proofErr w:type="gramEnd"/>
      <w:r w:rsidR="009D5907" w:rsidRPr="009D5907">
        <w:t>29) = 1.47, p = .15</w:t>
      </w:r>
      <w:r w:rsidR="00606751" w:rsidRPr="009D5907">
        <w:t xml:space="preserve">.  However, </w:t>
      </w:r>
      <w:r w:rsidR="007C2673" w:rsidRPr="009D5907">
        <w:t xml:space="preserve">the AB score was shown to differ significantly from zero for </w:t>
      </w:r>
      <w:r w:rsidR="00606751" w:rsidRPr="009D5907">
        <w:t>negative</w:t>
      </w:r>
      <w:r w:rsidR="005D1216">
        <w:t xml:space="preserve"> </w:t>
      </w:r>
      <w:r w:rsidR="007B6A45">
        <w:t>NPS</w:t>
      </w:r>
      <w:r w:rsidR="007C2673" w:rsidRPr="009D5907">
        <w:t xml:space="preserve"> expectancies</w:t>
      </w:r>
      <w:r w:rsidR="00606751" w:rsidRPr="009D5907">
        <w:t xml:space="preserve">, </w:t>
      </w:r>
      <w:proofErr w:type="gramStart"/>
      <w:r w:rsidR="00606751" w:rsidRPr="009D5907">
        <w:t>t</w:t>
      </w:r>
      <w:r w:rsidR="009D5907" w:rsidRPr="009D5907">
        <w:t>(</w:t>
      </w:r>
      <w:proofErr w:type="gramEnd"/>
      <w:r w:rsidR="009D5907" w:rsidRPr="009D5907">
        <w:t>29) = 3.74, p &lt; .01</w:t>
      </w:r>
      <w:r w:rsidR="00606751" w:rsidRPr="009D5907">
        <w:t>.</w:t>
      </w:r>
      <w:r w:rsidR="007A6A3F">
        <w:t xml:space="preserve"> In contrast, f</w:t>
      </w:r>
      <w:r w:rsidR="00606751" w:rsidRPr="0092449E">
        <w:t xml:space="preserve">or </w:t>
      </w:r>
      <w:proofErr w:type="spellStart"/>
      <w:r w:rsidR="00625417" w:rsidRPr="0092449E">
        <w:t>n</w:t>
      </w:r>
      <w:r w:rsidR="003C23D2">
        <w:t>NPSUs</w:t>
      </w:r>
      <w:proofErr w:type="spellEnd"/>
      <w:r w:rsidR="0060610E" w:rsidRPr="0092449E">
        <w:t>,</w:t>
      </w:r>
      <w:r w:rsidR="00606751" w:rsidRPr="0092449E">
        <w:t xml:space="preserve"> AB </w:t>
      </w:r>
      <w:r w:rsidR="007C2673" w:rsidRPr="0092449E">
        <w:t xml:space="preserve">scores for </w:t>
      </w:r>
      <w:r w:rsidR="007B6A45">
        <w:t>NPS</w:t>
      </w:r>
      <w:r w:rsidR="007A6A3F">
        <w:t>-</w:t>
      </w:r>
      <w:r w:rsidR="007C2673" w:rsidRPr="0092449E">
        <w:t xml:space="preserve">specific words, positive </w:t>
      </w:r>
      <w:r w:rsidR="007A6A3F">
        <w:t xml:space="preserve">NPS </w:t>
      </w:r>
      <w:r w:rsidR="007C2673" w:rsidRPr="0092449E">
        <w:t xml:space="preserve">expectancy words and negative </w:t>
      </w:r>
      <w:r w:rsidR="007A6A3F">
        <w:t xml:space="preserve">NPS </w:t>
      </w:r>
      <w:r w:rsidR="007C2673" w:rsidRPr="0092449E">
        <w:t>expectancy words</w:t>
      </w:r>
      <w:r w:rsidR="005D1216">
        <w:t xml:space="preserve"> </w:t>
      </w:r>
      <w:r w:rsidR="007A6A3F">
        <w:t xml:space="preserve">did not </w:t>
      </w:r>
      <w:r w:rsidR="00606751" w:rsidRPr="0092449E">
        <w:t>differ significantly from zero, t</w:t>
      </w:r>
      <w:r w:rsidR="005D1216">
        <w:t xml:space="preserve"> </w:t>
      </w:r>
      <w:r w:rsidR="00606751" w:rsidRPr="0092449E">
        <w:t>(33) = -.07, p = .94, t</w:t>
      </w:r>
      <w:r w:rsidR="001E3AB1" w:rsidRPr="0092449E">
        <w:t xml:space="preserve"> (33) = </w:t>
      </w:r>
      <w:r w:rsidR="00606751" w:rsidRPr="0092449E">
        <w:t>1.83, p = .08 and t</w:t>
      </w:r>
      <w:r w:rsidR="005D1216">
        <w:t xml:space="preserve"> </w:t>
      </w:r>
      <w:r w:rsidR="00606751" w:rsidRPr="0092449E">
        <w:t>(33) = .58, p= .95</w:t>
      </w:r>
      <w:r w:rsidR="007C2673" w:rsidRPr="0092449E">
        <w:t xml:space="preserve"> respectively</w:t>
      </w:r>
      <w:r w:rsidR="00606751" w:rsidRPr="00173B4E">
        <w:t>.</w:t>
      </w:r>
    </w:p>
    <w:p w14:paraId="7ACB3726" w14:textId="0D421710" w:rsidR="00F71CBD" w:rsidRPr="00FF265F" w:rsidRDefault="00F71CBD" w:rsidP="003C23D2">
      <w:pPr>
        <w:pStyle w:val="BodyText"/>
        <w:spacing w:line="480" w:lineRule="auto"/>
        <w:jc w:val="center"/>
        <w:outlineLvl w:val="0"/>
      </w:pPr>
      <w:r w:rsidRPr="00FF265F">
        <w:t>Discussion</w:t>
      </w:r>
    </w:p>
    <w:p w14:paraId="610FB480" w14:textId="3F2030D1" w:rsidR="008848E3" w:rsidRDefault="00CA3ED2">
      <w:pPr>
        <w:pStyle w:val="BodyText"/>
        <w:spacing w:line="480" w:lineRule="auto"/>
        <w:ind w:firstLine="720"/>
        <w:rPr>
          <w:b w:val="0"/>
        </w:rPr>
      </w:pPr>
      <w:r>
        <w:rPr>
          <w:b w:val="0"/>
        </w:rPr>
        <w:t>Th</w:t>
      </w:r>
      <w:r w:rsidR="00765FF3">
        <w:rPr>
          <w:b w:val="0"/>
        </w:rPr>
        <w:t>e present</w:t>
      </w:r>
      <w:r w:rsidR="00E07C7B">
        <w:rPr>
          <w:b w:val="0"/>
        </w:rPr>
        <w:t xml:space="preserve"> study</w:t>
      </w:r>
      <w:r w:rsidR="007A6A3F">
        <w:rPr>
          <w:b w:val="0"/>
        </w:rPr>
        <w:t xml:space="preserve"> </w:t>
      </w:r>
      <w:r>
        <w:rPr>
          <w:b w:val="0"/>
        </w:rPr>
        <w:t xml:space="preserve">explored how </w:t>
      </w:r>
      <w:r w:rsidR="003C23D2">
        <w:rPr>
          <w:b w:val="0"/>
        </w:rPr>
        <w:t>NPS</w:t>
      </w:r>
      <w:r w:rsidR="007A6A3F">
        <w:rPr>
          <w:b w:val="0"/>
        </w:rPr>
        <w:t xml:space="preserve"> users </w:t>
      </w:r>
      <w:r>
        <w:rPr>
          <w:b w:val="0"/>
        </w:rPr>
        <w:t xml:space="preserve">and </w:t>
      </w:r>
      <w:r w:rsidR="00B66C72">
        <w:rPr>
          <w:b w:val="0"/>
        </w:rPr>
        <w:t>never</w:t>
      </w:r>
      <w:r w:rsidR="007A6A3F">
        <w:rPr>
          <w:b w:val="0"/>
        </w:rPr>
        <w:t>-</w:t>
      </w:r>
      <w:r w:rsidR="003C23D2">
        <w:rPr>
          <w:b w:val="0"/>
        </w:rPr>
        <w:t>NPS</w:t>
      </w:r>
      <w:r w:rsidR="007A6A3F">
        <w:rPr>
          <w:b w:val="0"/>
        </w:rPr>
        <w:t xml:space="preserve"> </w:t>
      </w:r>
      <w:proofErr w:type="gramStart"/>
      <w:r w:rsidR="007A6A3F">
        <w:rPr>
          <w:b w:val="0"/>
        </w:rPr>
        <w:t xml:space="preserve">users </w:t>
      </w:r>
      <w:r w:rsidR="00A25DE9">
        <w:rPr>
          <w:b w:val="0"/>
        </w:rPr>
        <w:t xml:space="preserve"> differentially</w:t>
      </w:r>
      <w:proofErr w:type="gramEnd"/>
      <w:r w:rsidR="00A25DE9">
        <w:rPr>
          <w:b w:val="0"/>
        </w:rPr>
        <w:t xml:space="preserve"> process </w:t>
      </w:r>
      <w:r w:rsidR="007A6A3F">
        <w:rPr>
          <w:b w:val="0"/>
        </w:rPr>
        <w:t>NPS-</w:t>
      </w:r>
      <w:r>
        <w:rPr>
          <w:b w:val="0"/>
        </w:rPr>
        <w:t xml:space="preserve">related stimuli. </w:t>
      </w:r>
      <w:r w:rsidR="00582C3B">
        <w:rPr>
          <w:b w:val="0"/>
        </w:rPr>
        <w:t xml:space="preserve">Given </w:t>
      </w:r>
      <w:r>
        <w:rPr>
          <w:b w:val="0"/>
        </w:rPr>
        <w:t>a common pattern of responding to cognitive measures of attentional preference</w:t>
      </w:r>
      <w:r w:rsidR="00582C3B">
        <w:rPr>
          <w:b w:val="0"/>
        </w:rPr>
        <w:t xml:space="preserve"> across addictive behaviours</w:t>
      </w:r>
      <w:r>
        <w:rPr>
          <w:b w:val="0"/>
        </w:rPr>
        <w:t xml:space="preserve"> and </w:t>
      </w:r>
      <w:r w:rsidR="00582C3B">
        <w:rPr>
          <w:b w:val="0"/>
        </w:rPr>
        <w:t xml:space="preserve">the operation of such biases </w:t>
      </w:r>
      <w:proofErr w:type="gramStart"/>
      <w:r w:rsidR="00582C3B">
        <w:rPr>
          <w:b w:val="0"/>
        </w:rPr>
        <w:t xml:space="preserve">in </w:t>
      </w:r>
      <w:r>
        <w:rPr>
          <w:b w:val="0"/>
        </w:rPr>
        <w:t xml:space="preserve"> the</w:t>
      </w:r>
      <w:proofErr w:type="gramEnd"/>
      <w:r>
        <w:rPr>
          <w:b w:val="0"/>
        </w:rPr>
        <w:t xml:space="preserve"> development and maintenance of such behaviours (see Field et al, 2009), </w:t>
      </w:r>
      <w:r w:rsidR="00582C3B">
        <w:rPr>
          <w:b w:val="0"/>
        </w:rPr>
        <w:t xml:space="preserve">NPS </w:t>
      </w:r>
      <w:r>
        <w:rPr>
          <w:b w:val="0"/>
        </w:rPr>
        <w:t xml:space="preserve">use should also show </w:t>
      </w:r>
      <w:r w:rsidR="000E153A">
        <w:rPr>
          <w:b w:val="0"/>
        </w:rPr>
        <w:t>a similar pattern</w:t>
      </w:r>
      <w:r w:rsidR="00582C3B">
        <w:rPr>
          <w:b w:val="0"/>
        </w:rPr>
        <w:t xml:space="preserve"> of responding</w:t>
      </w:r>
      <w:r w:rsidR="000E153A">
        <w:rPr>
          <w:b w:val="0"/>
        </w:rPr>
        <w:t>.</w:t>
      </w:r>
      <w:r w:rsidR="009D0426">
        <w:rPr>
          <w:b w:val="0"/>
        </w:rPr>
        <w:t xml:space="preserve"> Whilst previous research had demonstrated this effect for </w:t>
      </w:r>
      <w:r w:rsidR="00582C3B">
        <w:rPr>
          <w:b w:val="0"/>
        </w:rPr>
        <w:t xml:space="preserve">several </w:t>
      </w:r>
      <w:r w:rsidR="009D0426">
        <w:rPr>
          <w:b w:val="0"/>
        </w:rPr>
        <w:t xml:space="preserve">addictive behaviours we found no difference </w:t>
      </w:r>
      <w:r w:rsidR="00455F41">
        <w:rPr>
          <w:b w:val="0"/>
        </w:rPr>
        <w:t xml:space="preserve">between </w:t>
      </w:r>
      <w:r w:rsidR="003C23D2">
        <w:rPr>
          <w:b w:val="0"/>
        </w:rPr>
        <w:t>NPS</w:t>
      </w:r>
      <w:r w:rsidR="00582C3B">
        <w:rPr>
          <w:b w:val="0"/>
        </w:rPr>
        <w:t xml:space="preserve"> users </w:t>
      </w:r>
      <w:r w:rsidR="00455F41">
        <w:rPr>
          <w:b w:val="0"/>
        </w:rPr>
        <w:t>and n</w:t>
      </w:r>
      <w:r w:rsidR="00582C3B">
        <w:rPr>
          <w:b w:val="0"/>
        </w:rPr>
        <w:t>on-</w:t>
      </w:r>
      <w:r w:rsidR="003C23D2">
        <w:rPr>
          <w:b w:val="0"/>
        </w:rPr>
        <w:t>NPS</w:t>
      </w:r>
      <w:r w:rsidR="00582C3B">
        <w:rPr>
          <w:b w:val="0"/>
        </w:rPr>
        <w:t xml:space="preserve"> users </w:t>
      </w:r>
      <w:r w:rsidR="009D0426">
        <w:rPr>
          <w:b w:val="0"/>
        </w:rPr>
        <w:t xml:space="preserve">in </w:t>
      </w:r>
      <w:r w:rsidR="009D0426">
        <w:rPr>
          <w:b w:val="0"/>
        </w:rPr>
        <w:lastRenderedPageBreak/>
        <w:t xml:space="preserve">reactions times to </w:t>
      </w:r>
      <w:r w:rsidR="00582C3B">
        <w:rPr>
          <w:b w:val="0"/>
        </w:rPr>
        <w:t>NPS-</w:t>
      </w:r>
      <w:r w:rsidR="009D0426">
        <w:rPr>
          <w:b w:val="0"/>
        </w:rPr>
        <w:t xml:space="preserve">related </w:t>
      </w:r>
      <w:r w:rsidR="000A4072">
        <w:rPr>
          <w:b w:val="0"/>
        </w:rPr>
        <w:t xml:space="preserve">words </w:t>
      </w:r>
      <w:r w:rsidR="009D0426">
        <w:rPr>
          <w:b w:val="0"/>
        </w:rPr>
        <w:t xml:space="preserve">(e.g. </w:t>
      </w:r>
      <w:r w:rsidR="00427E45">
        <w:rPr>
          <w:b w:val="0"/>
        </w:rPr>
        <w:t>S</w:t>
      </w:r>
      <w:r w:rsidR="009D0426">
        <w:rPr>
          <w:b w:val="0"/>
        </w:rPr>
        <w:t xml:space="preserve">pice, </w:t>
      </w:r>
      <w:r w:rsidR="00427E45">
        <w:rPr>
          <w:b w:val="0"/>
        </w:rPr>
        <w:t>B</w:t>
      </w:r>
      <w:r w:rsidR="009D0426">
        <w:rPr>
          <w:b w:val="0"/>
        </w:rPr>
        <w:t>liss</w:t>
      </w:r>
      <w:r w:rsidR="00427E45">
        <w:rPr>
          <w:b w:val="0"/>
        </w:rPr>
        <w:t>, C</w:t>
      </w:r>
      <w:r w:rsidR="009D0426">
        <w:rPr>
          <w:b w:val="0"/>
        </w:rPr>
        <w:t xml:space="preserve">hing, </w:t>
      </w:r>
      <w:r w:rsidR="00427E45">
        <w:rPr>
          <w:b w:val="0"/>
        </w:rPr>
        <w:t>Poison, R</w:t>
      </w:r>
      <w:r w:rsidR="009D0426">
        <w:rPr>
          <w:b w:val="0"/>
        </w:rPr>
        <w:t xml:space="preserve">ush) compared to matched neutral words. </w:t>
      </w:r>
      <w:r w:rsidR="005D31E2">
        <w:rPr>
          <w:b w:val="0"/>
        </w:rPr>
        <w:t xml:space="preserve"> It must be noted, however, that the majority of the words used in this modified Stroop version were the proper nouns of legal high brands names (e.g. Spice, Bliss, </w:t>
      </w:r>
      <w:proofErr w:type="spellStart"/>
      <w:r w:rsidR="005D31E2">
        <w:rPr>
          <w:b w:val="0"/>
        </w:rPr>
        <w:t>etc</w:t>
      </w:r>
      <w:proofErr w:type="spellEnd"/>
      <w:r w:rsidR="005D31E2">
        <w:rPr>
          <w:b w:val="0"/>
        </w:rPr>
        <w:t xml:space="preserve">). That the matching of neutral words to these words was based on the common noun version of each NPS word it could be that they did not effectively represent a comparator in terms of frequency of use or lexical representativeness. </w:t>
      </w:r>
      <w:r w:rsidR="00427E45">
        <w:rPr>
          <w:b w:val="0"/>
        </w:rPr>
        <w:t xml:space="preserve">Future studies of attentional preference for </w:t>
      </w:r>
      <w:r w:rsidR="005C3DB0">
        <w:rPr>
          <w:b w:val="0"/>
        </w:rPr>
        <w:t>NPS-</w:t>
      </w:r>
      <w:r w:rsidR="00427E45">
        <w:rPr>
          <w:b w:val="0"/>
        </w:rPr>
        <w:t xml:space="preserve">related stimuli </w:t>
      </w:r>
      <w:r w:rsidR="005C3DB0">
        <w:rPr>
          <w:b w:val="0"/>
        </w:rPr>
        <w:t xml:space="preserve">may benefit from </w:t>
      </w:r>
      <w:proofErr w:type="gramStart"/>
      <w:r w:rsidR="005C3DB0">
        <w:rPr>
          <w:b w:val="0"/>
        </w:rPr>
        <w:t xml:space="preserve">using </w:t>
      </w:r>
      <w:r w:rsidR="00427E45">
        <w:rPr>
          <w:b w:val="0"/>
        </w:rPr>
        <w:t xml:space="preserve"> measures</w:t>
      </w:r>
      <w:proofErr w:type="gramEnd"/>
      <w:r w:rsidR="00427E45">
        <w:rPr>
          <w:b w:val="0"/>
        </w:rPr>
        <w:t xml:space="preserve"> that do not rely </w:t>
      </w:r>
      <w:r w:rsidR="00422135">
        <w:rPr>
          <w:b w:val="0"/>
        </w:rPr>
        <w:t xml:space="preserve">solely </w:t>
      </w:r>
      <w:r w:rsidR="00427E45">
        <w:rPr>
          <w:b w:val="0"/>
        </w:rPr>
        <w:t>on the presentation of proper nouns</w:t>
      </w:r>
      <w:r w:rsidR="00422135">
        <w:rPr>
          <w:b w:val="0"/>
        </w:rPr>
        <w:t>,</w:t>
      </w:r>
      <w:r w:rsidR="00427E45">
        <w:rPr>
          <w:b w:val="0"/>
        </w:rPr>
        <w:t xml:space="preserve"> </w:t>
      </w:r>
      <w:r w:rsidR="00422135">
        <w:rPr>
          <w:b w:val="0"/>
        </w:rPr>
        <w:t xml:space="preserve">and </w:t>
      </w:r>
      <w:r w:rsidR="005B094C">
        <w:rPr>
          <w:b w:val="0"/>
        </w:rPr>
        <w:t>could potentially</w:t>
      </w:r>
      <w:r w:rsidR="00427E45">
        <w:rPr>
          <w:b w:val="0"/>
        </w:rPr>
        <w:t xml:space="preserve"> incorporate image</w:t>
      </w:r>
      <w:r w:rsidR="005B094C">
        <w:rPr>
          <w:b w:val="0"/>
        </w:rPr>
        <w:t xml:space="preserve"> </w:t>
      </w:r>
      <w:r w:rsidR="00427E45">
        <w:rPr>
          <w:b w:val="0"/>
        </w:rPr>
        <w:t>s</w:t>
      </w:r>
      <w:r w:rsidR="005B094C">
        <w:rPr>
          <w:b w:val="0"/>
        </w:rPr>
        <w:t>timuli</w:t>
      </w:r>
      <w:r w:rsidR="00427E45">
        <w:rPr>
          <w:b w:val="0"/>
        </w:rPr>
        <w:t xml:space="preserve">. Such measures include the pictorial Stroop, flicker </w:t>
      </w:r>
      <w:r w:rsidR="00DC561C">
        <w:rPr>
          <w:b w:val="0"/>
        </w:rPr>
        <w:t xml:space="preserve">induced change blindness paradigm </w:t>
      </w:r>
      <w:r w:rsidR="00427E45">
        <w:rPr>
          <w:b w:val="0"/>
        </w:rPr>
        <w:t>or the picture-based dot probe</w:t>
      </w:r>
      <w:r w:rsidR="005C3DB0">
        <w:rPr>
          <w:b w:val="0"/>
        </w:rPr>
        <w:t>,</w:t>
      </w:r>
      <w:r w:rsidR="00427E45">
        <w:rPr>
          <w:b w:val="0"/>
        </w:rPr>
        <w:t xml:space="preserve"> </w:t>
      </w:r>
      <w:r w:rsidR="00791AD2">
        <w:rPr>
          <w:b w:val="0"/>
        </w:rPr>
        <w:t>all of</w:t>
      </w:r>
      <w:r w:rsidR="00427E45">
        <w:rPr>
          <w:b w:val="0"/>
        </w:rPr>
        <w:t xml:space="preserve"> which have been shown to </w:t>
      </w:r>
      <w:r w:rsidR="00791AD2">
        <w:rPr>
          <w:b w:val="0"/>
        </w:rPr>
        <w:t xml:space="preserve">consistently </w:t>
      </w:r>
      <w:r w:rsidR="00427E45">
        <w:rPr>
          <w:b w:val="0"/>
        </w:rPr>
        <w:t xml:space="preserve">differentiate individuals according to patterns of addictive behaviour or habitual use (e.g. dot probe </w:t>
      </w:r>
      <w:r w:rsidR="00680426">
        <w:rPr>
          <w:b w:val="0"/>
        </w:rPr>
        <w:t>–</w:t>
      </w:r>
      <w:proofErr w:type="spellStart"/>
      <w:r w:rsidR="001135A4">
        <w:rPr>
          <w:b w:val="0"/>
        </w:rPr>
        <w:t>Frankland</w:t>
      </w:r>
      <w:proofErr w:type="spellEnd"/>
      <w:r w:rsidR="00680426">
        <w:rPr>
          <w:b w:val="0"/>
        </w:rPr>
        <w:t xml:space="preserve">, Bradley &amp; </w:t>
      </w:r>
      <w:proofErr w:type="spellStart"/>
      <w:r w:rsidR="00680426">
        <w:rPr>
          <w:b w:val="0"/>
        </w:rPr>
        <w:t>Mogg</w:t>
      </w:r>
      <w:proofErr w:type="spellEnd"/>
      <w:r w:rsidR="00680426">
        <w:rPr>
          <w:b w:val="0"/>
        </w:rPr>
        <w:t xml:space="preserve">, </w:t>
      </w:r>
      <w:r w:rsidR="009F2641">
        <w:rPr>
          <w:b w:val="0"/>
        </w:rPr>
        <w:t>2016</w:t>
      </w:r>
      <w:r w:rsidR="00427E45">
        <w:rPr>
          <w:b w:val="0"/>
        </w:rPr>
        <w:t xml:space="preserve">; </w:t>
      </w:r>
      <w:proofErr w:type="spellStart"/>
      <w:r w:rsidR="00427E45">
        <w:rPr>
          <w:b w:val="0"/>
        </w:rPr>
        <w:t>e.g</w:t>
      </w:r>
      <w:proofErr w:type="spellEnd"/>
      <w:r w:rsidR="00427E45">
        <w:rPr>
          <w:b w:val="0"/>
        </w:rPr>
        <w:t xml:space="preserve">, pictorial Stroop </w:t>
      </w:r>
      <w:r w:rsidR="00560ACF">
        <w:rPr>
          <w:b w:val="0"/>
        </w:rPr>
        <w:t>–</w:t>
      </w:r>
      <w:r w:rsidR="00695EB5">
        <w:rPr>
          <w:b w:val="0"/>
        </w:rPr>
        <w:t xml:space="preserve"> </w:t>
      </w:r>
      <w:r w:rsidR="00560ACF">
        <w:rPr>
          <w:b w:val="0"/>
        </w:rPr>
        <w:t>Bruce &amp;</w:t>
      </w:r>
      <w:r w:rsidR="005B094C">
        <w:rPr>
          <w:b w:val="0"/>
        </w:rPr>
        <w:t xml:space="preserve"> </w:t>
      </w:r>
      <w:r w:rsidR="0045113E">
        <w:rPr>
          <w:b w:val="0"/>
        </w:rPr>
        <w:t>Jones</w:t>
      </w:r>
      <w:r w:rsidR="00560ACF">
        <w:rPr>
          <w:b w:val="0"/>
        </w:rPr>
        <w:t>, 2004</w:t>
      </w:r>
      <w:r w:rsidR="00DC561C">
        <w:rPr>
          <w:b w:val="0"/>
        </w:rPr>
        <w:t xml:space="preserve">; flicker </w:t>
      </w:r>
      <w:r w:rsidR="004005C6">
        <w:rPr>
          <w:b w:val="0"/>
        </w:rPr>
        <w:t xml:space="preserve">induced change blindness </w:t>
      </w:r>
      <w:r w:rsidR="006B2683">
        <w:rPr>
          <w:b w:val="0"/>
        </w:rPr>
        <w:t>–</w:t>
      </w:r>
      <w:r w:rsidR="00695EB5">
        <w:rPr>
          <w:b w:val="0"/>
        </w:rPr>
        <w:t xml:space="preserve"> </w:t>
      </w:r>
      <w:r w:rsidR="006B2683">
        <w:rPr>
          <w:b w:val="0"/>
        </w:rPr>
        <w:t>Barry</w:t>
      </w:r>
      <w:r w:rsidR="0045113E">
        <w:rPr>
          <w:b w:val="0"/>
        </w:rPr>
        <w:t xml:space="preserve">, Bruce, Livingstone &amp; Reed, </w:t>
      </w:r>
      <w:r w:rsidR="006B2683">
        <w:rPr>
          <w:b w:val="0"/>
        </w:rPr>
        <w:t>2006).</w:t>
      </w:r>
    </w:p>
    <w:p w14:paraId="328C6A8B" w14:textId="21E487BC" w:rsidR="00F71CBD" w:rsidRDefault="00361F95" w:rsidP="00A13346">
      <w:pPr>
        <w:pStyle w:val="BodyText"/>
        <w:spacing w:line="480" w:lineRule="auto"/>
        <w:ind w:firstLine="720"/>
        <w:rPr>
          <w:b w:val="0"/>
        </w:rPr>
      </w:pPr>
      <w:r>
        <w:rPr>
          <w:b w:val="0"/>
        </w:rPr>
        <w:t xml:space="preserve">Aside from issues surrounding the </w:t>
      </w:r>
      <w:r w:rsidR="00401D19">
        <w:rPr>
          <w:b w:val="0"/>
        </w:rPr>
        <w:t xml:space="preserve">use of proper nouns and the </w:t>
      </w:r>
      <w:r>
        <w:rPr>
          <w:b w:val="0"/>
        </w:rPr>
        <w:t xml:space="preserve">selection of matched words (as detailed previously), </w:t>
      </w:r>
      <w:r w:rsidR="003C23D2">
        <w:rPr>
          <w:b w:val="0"/>
        </w:rPr>
        <w:t>NPS</w:t>
      </w:r>
      <w:r w:rsidR="005C3DB0">
        <w:rPr>
          <w:b w:val="0"/>
        </w:rPr>
        <w:t xml:space="preserve"> users reported </w:t>
      </w:r>
      <w:r w:rsidR="00401D19">
        <w:rPr>
          <w:b w:val="0"/>
        </w:rPr>
        <w:t>low levels of problems associated with their</w:t>
      </w:r>
      <w:r w:rsidR="005C3DB0">
        <w:rPr>
          <w:b w:val="0"/>
        </w:rPr>
        <w:t xml:space="preserve"> NPS </w:t>
      </w:r>
      <w:r w:rsidR="00401D19">
        <w:rPr>
          <w:b w:val="0"/>
        </w:rPr>
        <w:t xml:space="preserve">use. </w:t>
      </w:r>
      <w:r w:rsidR="00A13346">
        <w:rPr>
          <w:b w:val="0"/>
        </w:rPr>
        <w:t xml:space="preserve"> This finding is of particular significance as </w:t>
      </w:r>
      <w:r w:rsidR="00401D19">
        <w:rPr>
          <w:b w:val="0"/>
        </w:rPr>
        <w:t xml:space="preserve">problem use and </w:t>
      </w:r>
      <w:r w:rsidR="00A13346">
        <w:rPr>
          <w:b w:val="0"/>
        </w:rPr>
        <w:t xml:space="preserve">the corresponding </w:t>
      </w:r>
      <w:r w:rsidR="00401D19">
        <w:rPr>
          <w:b w:val="0"/>
        </w:rPr>
        <w:t xml:space="preserve">frequency of exposure to </w:t>
      </w:r>
      <w:r w:rsidR="00A13346">
        <w:rPr>
          <w:b w:val="0"/>
        </w:rPr>
        <w:t>concern-</w:t>
      </w:r>
      <w:r w:rsidR="00401D19">
        <w:rPr>
          <w:b w:val="0"/>
        </w:rPr>
        <w:t xml:space="preserve">related stimuli are positively associated with </w:t>
      </w:r>
      <w:r w:rsidR="00997872">
        <w:rPr>
          <w:b w:val="0"/>
        </w:rPr>
        <w:t>the magnitude</w:t>
      </w:r>
      <w:r w:rsidR="00401D19">
        <w:rPr>
          <w:b w:val="0"/>
        </w:rPr>
        <w:t xml:space="preserve"> of attentional biases (see </w:t>
      </w:r>
      <w:proofErr w:type="spellStart"/>
      <w:r w:rsidR="00401D19">
        <w:rPr>
          <w:b w:val="0"/>
        </w:rPr>
        <w:t>Albery</w:t>
      </w:r>
      <w:proofErr w:type="spellEnd"/>
      <w:r w:rsidR="00BE65F1">
        <w:rPr>
          <w:b w:val="0"/>
        </w:rPr>
        <w:t>, Sharma, Noyce, Frings &amp; Moss</w:t>
      </w:r>
      <w:r w:rsidR="00401D19">
        <w:rPr>
          <w:b w:val="0"/>
        </w:rPr>
        <w:t>, 2015</w:t>
      </w:r>
      <w:r w:rsidR="00BE65F1">
        <w:rPr>
          <w:b w:val="0"/>
        </w:rPr>
        <w:t xml:space="preserve">; Sharma, </w:t>
      </w:r>
      <w:proofErr w:type="spellStart"/>
      <w:r w:rsidR="00BE65F1">
        <w:rPr>
          <w:b w:val="0"/>
        </w:rPr>
        <w:t>Albery</w:t>
      </w:r>
      <w:proofErr w:type="spellEnd"/>
      <w:r w:rsidR="00BE65F1">
        <w:rPr>
          <w:b w:val="0"/>
        </w:rPr>
        <w:t xml:space="preserve"> &amp;</w:t>
      </w:r>
      <w:r w:rsidR="00401D19">
        <w:rPr>
          <w:b w:val="0"/>
        </w:rPr>
        <w:t xml:space="preserve"> Cook, 2001)</w:t>
      </w:r>
      <w:r w:rsidR="00A13346">
        <w:rPr>
          <w:b w:val="0"/>
        </w:rPr>
        <w:t>.</w:t>
      </w:r>
      <w:r w:rsidR="00401D19">
        <w:rPr>
          <w:b w:val="0"/>
        </w:rPr>
        <w:t xml:space="preserve"> </w:t>
      </w:r>
      <w:r w:rsidR="00A13346">
        <w:rPr>
          <w:b w:val="0"/>
        </w:rPr>
        <w:t xml:space="preserve">As a result, </w:t>
      </w:r>
      <w:r w:rsidR="00401D19">
        <w:rPr>
          <w:b w:val="0"/>
        </w:rPr>
        <w:t xml:space="preserve">we might not expect large biases for </w:t>
      </w:r>
      <w:r w:rsidR="007B6A45">
        <w:rPr>
          <w:b w:val="0"/>
        </w:rPr>
        <w:t>NPS</w:t>
      </w:r>
      <w:r w:rsidR="00997872">
        <w:rPr>
          <w:b w:val="0"/>
        </w:rPr>
        <w:t>-</w:t>
      </w:r>
      <w:r w:rsidR="00401D19">
        <w:rPr>
          <w:b w:val="0"/>
        </w:rPr>
        <w:t>related words in our sample</w:t>
      </w:r>
      <w:r w:rsidR="00413381">
        <w:rPr>
          <w:b w:val="0"/>
        </w:rPr>
        <w:t xml:space="preserve"> consisting predominantly of </w:t>
      </w:r>
      <w:proofErr w:type="spellStart"/>
      <w:r w:rsidR="00413381">
        <w:rPr>
          <w:b w:val="0"/>
        </w:rPr>
        <w:t>nonproblematic</w:t>
      </w:r>
      <w:proofErr w:type="spellEnd"/>
      <w:r w:rsidR="00413381">
        <w:rPr>
          <w:b w:val="0"/>
        </w:rPr>
        <w:t xml:space="preserve"> users</w:t>
      </w:r>
      <w:r w:rsidR="00401D19">
        <w:rPr>
          <w:b w:val="0"/>
        </w:rPr>
        <w:t>.</w:t>
      </w:r>
      <w:r w:rsidR="00283AAD">
        <w:rPr>
          <w:b w:val="0"/>
        </w:rPr>
        <w:t xml:space="preserve"> </w:t>
      </w:r>
      <w:r w:rsidR="0021209F">
        <w:rPr>
          <w:b w:val="0"/>
        </w:rPr>
        <w:t>Thus</w:t>
      </w:r>
      <w:r w:rsidR="00305992">
        <w:rPr>
          <w:b w:val="0"/>
        </w:rPr>
        <w:t>, f</w:t>
      </w:r>
      <w:r w:rsidR="006B6ADD">
        <w:rPr>
          <w:b w:val="0"/>
        </w:rPr>
        <w:t xml:space="preserve">uture studies </w:t>
      </w:r>
      <w:r w:rsidR="00305992">
        <w:rPr>
          <w:b w:val="0"/>
        </w:rPr>
        <w:t xml:space="preserve">should extend our adopted measure of </w:t>
      </w:r>
      <w:r w:rsidR="00305992">
        <w:rPr>
          <w:b w:val="0"/>
          <w:i/>
        </w:rPr>
        <w:t xml:space="preserve">problematic </w:t>
      </w:r>
      <w:r w:rsidR="005C3DB0" w:rsidRPr="0021209F">
        <w:rPr>
          <w:b w:val="0"/>
        </w:rPr>
        <w:t>NPS</w:t>
      </w:r>
      <w:r w:rsidR="005C3DB0">
        <w:rPr>
          <w:b w:val="0"/>
          <w:i/>
        </w:rPr>
        <w:t xml:space="preserve"> </w:t>
      </w:r>
      <w:r w:rsidR="00305992">
        <w:rPr>
          <w:b w:val="0"/>
        </w:rPr>
        <w:t>use to incorporate, for example, frequency of use</w:t>
      </w:r>
      <w:r w:rsidR="00283AAD">
        <w:rPr>
          <w:b w:val="0"/>
        </w:rPr>
        <w:t>.</w:t>
      </w:r>
    </w:p>
    <w:p w14:paraId="4FE01A61" w14:textId="50FD95B2" w:rsidR="004D206C" w:rsidRDefault="00B35374" w:rsidP="009D68D4">
      <w:pPr>
        <w:pStyle w:val="BodyText"/>
        <w:spacing w:line="480" w:lineRule="auto"/>
        <w:ind w:firstLine="720"/>
        <w:rPr>
          <w:b w:val="0"/>
        </w:rPr>
      </w:pPr>
      <w:r>
        <w:rPr>
          <w:b w:val="0"/>
        </w:rPr>
        <w:lastRenderedPageBreak/>
        <w:t xml:space="preserve">In addition to examining attentional </w:t>
      </w:r>
      <w:r w:rsidR="00DF2252">
        <w:rPr>
          <w:b w:val="0"/>
        </w:rPr>
        <w:t xml:space="preserve">bias </w:t>
      </w:r>
      <w:r>
        <w:rPr>
          <w:b w:val="0"/>
        </w:rPr>
        <w:t xml:space="preserve">for </w:t>
      </w:r>
      <w:r w:rsidR="0021209F">
        <w:rPr>
          <w:b w:val="0"/>
        </w:rPr>
        <w:t>NPS-</w:t>
      </w:r>
      <w:r w:rsidR="00DF2252">
        <w:rPr>
          <w:b w:val="0"/>
        </w:rPr>
        <w:t xml:space="preserve">specific </w:t>
      </w:r>
      <w:r>
        <w:rPr>
          <w:b w:val="0"/>
        </w:rPr>
        <w:t>stimuli</w:t>
      </w:r>
      <w:r w:rsidR="0021209F">
        <w:rPr>
          <w:b w:val="0"/>
        </w:rPr>
        <w:t>,</w:t>
      </w:r>
      <w:r>
        <w:rPr>
          <w:b w:val="0"/>
        </w:rPr>
        <w:t xml:space="preserve"> this study also explored whether </w:t>
      </w:r>
      <w:r w:rsidR="003C23D2">
        <w:rPr>
          <w:b w:val="0"/>
        </w:rPr>
        <w:t>NPS</w:t>
      </w:r>
      <w:r w:rsidR="0021209F">
        <w:rPr>
          <w:b w:val="0"/>
        </w:rPr>
        <w:t xml:space="preserve"> users </w:t>
      </w:r>
      <w:r>
        <w:rPr>
          <w:b w:val="0"/>
        </w:rPr>
        <w:t xml:space="preserve">and </w:t>
      </w:r>
      <w:r w:rsidR="0021209F">
        <w:rPr>
          <w:b w:val="0"/>
        </w:rPr>
        <w:t>n</w:t>
      </w:r>
      <w:r w:rsidR="009D6BF6">
        <w:rPr>
          <w:b w:val="0"/>
        </w:rPr>
        <w:t>ever</w:t>
      </w:r>
      <w:r w:rsidR="0021209F">
        <w:rPr>
          <w:b w:val="0"/>
        </w:rPr>
        <w:t>-</w:t>
      </w:r>
      <w:r w:rsidR="003C23D2">
        <w:rPr>
          <w:b w:val="0"/>
        </w:rPr>
        <w:t>NPS</w:t>
      </w:r>
      <w:r w:rsidR="0021209F">
        <w:rPr>
          <w:b w:val="0"/>
        </w:rPr>
        <w:t xml:space="preserve"> users </w:t>
      </w:r>
      <w:r>
        <w:rPr>
          <w:b w:val="0"/>
        </w:rPr>
        <w:t xml:space="preserve">differentially processes expectancy-based stimuli. In line with expectancy-based </w:t>
      </w:r>
      <w:r w:rsidR="00860128">
        <w:rPr>
          <w:b w:val="0"/>
        </w:rPr>
        <w:t xml:space="preserve">models of </w:t>
      </w:r>
      <w:r>
        <w:rPr>
          <w:b w:val="0"/>
        </w:rPr>
        <w:t xml:space="preserve">substance use and misuse </w:t>
      </w:r>
      <w:r w:rsidR="001A5C3C">
        <w:rPr>
          <w:b w:val="0"/>
        </w:rPr>
        <w:t xml:space="preserve">and evidence that positive and negative expectancies are linked to an increased likelihood of performing addictive behaviours </w:t>
      </w:r>
      <w:r>
        <w:rPr>
          <w:b w:val="0"/>
        </w:rPr>
        <w:t xml:space="preserve">(e.g. </w:t>
      </w:r>
      <w:r w:rsidR="001A5C3C">
        <w:rPr>
          <w:b w:val="0"/>
        </w:rPr>
        <w:t>Reich &amp; Goldman, 2015)</w:t>
      </w:r>
      <w:r>
        <w:rPr>
          <w:b w:val="0"/>
        </w:rPr>
        <w:t xml:space="preserve">, we were interested in whether </w:t>
      </w:r>
      <w:r w:rsidR="001A5C3C">
        <w:rPr>
          <w:b w:val="0"/>
        </w:rPr>
        <w:t xml:space="preserve">such expectancies </w:t>
      </w:r>
      <w:r w:rsidR="009B4000">
        <w:rPr>
          <w:b w:val="0"/>
        </w:rPr>
        <w:t xml:space="preserve">extend to NPS use. </w:t>
      </w:r>
      <w:r w:rsidR="007178D1">
        <w:rPr>
          <w:b w:val="0"/>
        </w:rPr>
        <w:t xml:space="preserve">Even though </w:t>
      </w:r>
      <w:r w:rsidR="003C23D2">
        <w:rPr>
          <w:b w:val="0"/>
        </w:rPr>
        <w:t>NPS</w:t>
      </w:r>
      <w:r w:rsidR="0021209F">
        <w:rPr>
          <w:b w:val="0"/>
        </w:rPr>
        <w:t xml:space="preserve"> users </w:t>
      </w:r>
      <w:r w:rsidR="007178D1">
        <w:rPr>
          <w:b w:val="0"/>
        </w:rPr>
        <w:t xml:space="preserve">were </w:t>
      </w:r>
      <w:r w:rsidR="00E77632">
        <w:rPr>
          <w:b w:val="0"/>
        </w:rPr>
        <w:t xml:space="preserve">found to respond </w:t>
      </w:r>
      <w:r w:rsidR="007178D1" w:rsidRPr="00CE317A">
        <w:rPr>
          <w:b w:val="0"/>
        </w:rPr>
        <w:t>significantly slower in average colour naming</w:t>
      </w:r>
      <w:r w:rsidR="00E77632">
        <w:rPr>
          <w:b w:val="0"/>
        </w:rPr>
        <w:t xml:space="preserve"> of</w:t>
      </w:r>
      <w:r w:rsidR="0058152E">
        <w:rPr>
          <w:b w:val="0"/>
        </w:rPr>
        <w:t xml:space="preserve"> negative </w:t>
      </w:r>
      <w:r w:rsidR="007178D1">
        <w:rPr>
          <w:b w:val="0"/>
        </w:rPr>
        <w:t xml:space="preserve">expectancy words, both </w:t>
      </w:r>
      <w:r w:rsidR="0021209F">
        <w:rPr>
          <w:b w:val="0"/>
        </w:rPr>
        <w:t xml:space="preserve">groups </w:t>
      </w:r>
      <w:r w:rsidR="007178D1">
        <w:rPr>
          <w:b w:val="0"/>
        </w:rPr>
        <w:t>were equivalent in their response time</w:t>
      </w:r>
      <w:r w:rsidR="0058152E">
        <w:rPr>
          <w:b w:val="0"/>
        </w:rPr>
        <w:t>s</w:t>
      </w:r>
      <w:r w:rsidR="007178D1">
        <w:rPr>
          <w:b w:val="0"/>
        </w:rPr>
        <w:t xml:space="preserve"> for p</w:t>
      </w:r>
      <w:r w:rsidR="00CE317A" w:rsidRPr="007178D1">
        <w:rPr>
          <w:b w:val="0"/>
        </w:rPr>
        <w:t>o</w:t>
      </w:r>
      <w:r w:rsidR="00CE317A">
        <w:rPr>
          <w:b w:val="0"/>
        </w:rPr>
        <w:t xml:space="preserve">sitive </w:t>
      </w:r>
      <w:r w:rsidR="007178D1">
        <w:rPr>
          <w:b w:val="0"/>
        </w:rPr>
        <w:t>expectanc</w:t>
      </w:r>
      <w:r w:rsidR="00E77632">
        <w:rPr>
          <w:b w:val="0"/>
        </w:rPr>
        <w:t xml:space="preserve">y </w:t>
      </w:r>
      <w:proofErr w:type="gramStart"/>
      <w:r w:rsidR="00E77632">
        <w:rPr>
          <w:b w:val="0"/>
        </w:rPr>
        <w:t xml:space="preserve">words </w:t>
      </w:r>
      <w:r w:rsidR="007178D1">
        <w:rPr>
          <w:b w:val="0"/>
        </w:rPr>
        <w:t xml:space="preserve"> and</w:t>
      </w:r>
      <w:proofErr w:type="gramEnd"/>
      <w:r w:rsidR="007178D1">
        <w:rPr>
          <w:b w:val="0"/>
        </w:rPr>
        <w:t xml:space="preserve"> matched neutral words. </w:t>
      </w:r>
      <w:r w:rsidR="00E77632">
        <w:rPr>
          <w:b w:val="0"/>
        </w:rPr>
        <w:t xml:space="preserve">This lack of </w:t>
      </w:r>
      <w:r w:rsidR="007178D1">
        <w:rPr>
          <w:b w:val="0"/>
        </w:rPr>
        <w:t xml:space="preserve">difference in attentional preference </w:t>
      </w:r>
      <w:r w:rsidR="00E77632">
        <w:rPr>
          <w:b w:val="0"/>
        </w:rPr>
        <w:t xml:space="preserve">among NPS users and non-NPS users alike </w:t>
      </w:r>
      <w:r w:rsidR="007178D1">
        <w:rPr>
          <w:b w:val="0"/>
        </w:rPr>
        <w:t xml:space="preserve">is further emphasised </w:t>
      </w:r>
      <w:r w:rsidR="00375136">
        <w:rPr>
          <w:b w:val="0"/>
        </w:rPr>
        <w:t xml:space="preserve">by </w:t>
      </w:r>
      <w:r w:rsidR="007178D1">
        <w:rPr>
          <w:b w:val="0"/>
        </w:rPr>
        <w:t xml:space="preserve">the magnitude of any observed bias </w:t>
      </w:r>
      <w:r w:rsidR="00375136">
        <w:rPr>
          <w:b w:val="0"/>
        </w:rPr>
        <w:t>for positive expectancy words failing to</w:t>
      </w:r>
      <w:r w:rsidR="00521D0B">
        <w:rPr>
          <w:b w:val="0"/>
        </w:rPr>
        <w:t xml:space="preserve"> si</w:t>
      </w:r>
      <w:r w:rsidR="007178D1">
        <w:rPr>
          <w:b w:val="0"/>
        </w:rPr>
        <w:t xml:space="preserve">gnificantly differ from zero. </w:t>
      </w:r>
      <w:r w:rsidR="00A83FC9">
        <w:rPr>
          <w:b w:val="0"/>
        </w:rPr>
        <w:t xml:space="preserve">In contrast, </w:t>
      </w:r>
      <w:r w:rsidR="00375136">
        <w:rPr>
          <w:b w:val="0"/>
        </w:rPr>
        <w:t xml:space="preserve">negative expectancy words </w:t>
      </w:r>
      <w:r w:rsidR="004D206C">
        <w:rPr>
          <w:b w:val="0"/>
        </w:rPr>
        <w:t>slowed</w:t>
      </w:r>
      <w:r w:rsidR="00375136">
        <w:rPr>
          <w:b w:val="0"/>
        </w:rPr>
        <w:t xml:space="preserve"> colour-naming response times in </w:t>
      </w:r>
      <w:r w:rsidR="003C23D2">
        <w:rPr>
          <w:b w:val="0"/>
        </w:rPr>
        <w:t>NPS</w:t>
      </w:r>
      <w:r w:rsidR="0058152E">
        <w:rPr>
          <w:b w:val="0"/>
        </w:rPr>
        <w:t xml:space="preserve"> users </w:t>
      </w:r>
      <w:r w:rsidR="00A83FC9">
        <w:rPr>
          <w:b w:val="0"/>
        </w:rPr>
        <w:t xml:space="preserve">compared to matched-neutral </w:t>
      </w:r>
      <w:r w:rsidR="00375136">
        <w:rPr>
          <w:b w:val="0"/>
        </w:rPr>
        <w:t>words</w:t>
      </w:r>
      <w:r w:rsidR="00A83FC9">
        <w:rPr>
          <w:b w:val="0"/>
        </w:rPr>
        <w:t xml:space="preserve">. For these </w:t>
      </w:r>
      <w:proofErr w:type="gramStart"/>
      <w:r w:rsidR="00A83FC9">
        <w:rPr>
          <w:b w:val="0"/>
        </w:rPr>
        <w:t>individuals</w:t>
      </w:r>
      <w:r w:rsidR="00375136">
        <w:rPr>
          <w:b w:val="0"/>
        </w:rPr>
        <w:t>,</w:t>
      </w:r>
      <w:r w:rsidR="00A83FC9">
        <w:rPr>
          <w:b w:val="0"/>
        </w:rPr>
        <w:t xml:space="preserve">  negative</w:t>
      </w:r>
      <w:proofErr w:type="gramEnd"/>
      <w:r w:rsidR="00A83FC9">
        <w:rPr>
          <w:b w:val="0"/>
        </w:rPr>
        <w:t xml:space="preserve"> expectancies capture</w:t>
      </w:r>
      <w:r w:rsidR="004D206C">
        <w:rPr>
          <w:b w:val="0"/>
        </w:rPr>
        <w:t>d</w:t>
      </w:r>
      <w:r w:rsidR="00A83FC9">
        <w:rPr>
          <w:b w:val="0"/>
        </w:rPr>
        <w:t xml:space="preserve"> increased attention to the extent that the </w:t>
      </w:r>
      <w:r w:rsidR="004D206C">
        <w:rPr>
          <w:b w:val="0"/>
        </w:rPr>
        <w:t xml:space="preserve">semantic </w:t>
      </w:r>
      <w:r w:rsidR="00A83FC9">
        <w:rPr>
          <w:b w:val="0"/>
        </w:rPr>
        <w:t xml:space="preserve">nature of the word </w:t>
      </w:r>
      <w:r w:rsidR="004D206C">
        <w:rPr>
          <w:b w:val="0"/>
        </w:rPr>
        <w:t>interfered</w:t>
      </w:r>
      <w:r w:rsidR="00A83FC9">
        <w:rPr>
          <w:b w:val="0"/>
        </w:rPr>
        <w:t xml:space="preserve"> with the secondary task of colour</w:t>
      </w:r>
      <w:r w:rsidR="004D206C">
        <w:rPr>
          <w:b w:val="0"/>
        </w:rPr>
        <w:t>-</w:t>
      </w:r>
      <w:r w:rsidR="00A83FC9">
        <w:rPr>
          <w:b w:val="0"/>
        </w:rPr>
        <w:t xml:space="preserve">naming the </w:t>
      </w:r>
      <w:r w:rsidR="004D206C">
        <w:rPr>
          <w:b w:val="0"/>
        </w:rPr>
        <w:t xml:space="preserve">ink </w:t>
      </w:r>
      <w:r w:rsidR="00290323">
        <w:rPr>
          <w:b w:val="0"/>
        </w:rPr>
        <w:t>within the modified Stroop task</w:t>
      </w:r>
      <w:r w:rsidR="00A83FC9">
        <w:rPr>
          <w:b w:val="0"/>
        </w:rPr>
        <w:t xml:space="preserve">. Moreover, </w:t>
      </w:r>
      <w:r w:rsidR="00E533F0">
        <w:rPr>
          <w:b w:val="0"/>
        </w:rPr>
        <w:t xml:space="preserve">the magnitude of the attentional bias observed among </w:t>
      </w:r>
      <w:r w:rsidR="003C23D2">
        <w:rPr>
          <w:b w:val="0"/>
        </w:rPr>
        <w:t>NPS</w:t>
      </w:r>
      <w:r w:rsidR="0058152E">
        <w:rPr>
          <w:b w:val="0"/>
        </w:rPr>
        <w:t xml:space="preserve"> users</w:t>
      </w:r>
      <w:r w:rsidR="00E533F0">
        <w:rPr>
          <w:b w:val="0"/>
        </w:rPr>
        <w:t xml:space="preserve"> for negative expectanc</w:t>
      </w:r>
      <w:r w:rsidR="004D206C">
        <w:rPr>
          <w:b w:val="0"/>
        </w:rPr>
        <w:t xml:space="preserve">y words </w:t>
      </w:r>
      <w:r w:rsidR="00E533F0">
        <w:rPr>
          <w:b w:val="0"/>
        </w:rPr>
        <w:t>was significant</w:t>
      </w:r>
      <w:r w:rsidR="004D206C">
        <w:rPr>
          <w:b w:val="0"/>
        </w:rPr>
        <w:t>ly different from zero</w:t>
      </w:r>
      <w:r w:rsidR="00E533F0">
        <w:rPr>
          <w:b w:val="0"/>
        </w:rPr>
        <w:t xml:space="preserve">. </w:t>
      </w:r>
    </w:p>
    <w:p w14:paraId="5F089331" w14:textId="77777777" w:rsidR="00CB0B3F" w:rsidRDefault="0058152E" w:rsidP="002845F1">
      <w:pPr>
        <w:pStyle w:val="BodyText"/>
        <w:spacing w:line="480" w:lineRule="auto"/>
        <w:ind w:firstLine="720"/>
        <w:rPr>
          <w:b w:val="0"/>
        </w:rPr>
      </w:pPr>
      <w:r>
        <w:rPr>
          <w:b w:val="0"/>
        </w:rPr>
        <w:t>Taken together, t</w:t>
      </w:r>
      <w:r w:rsidR="00E533F0">
        <w:rPr>
          <w:b w:val="0"/>
        </w:rPr>
        <w:t>hese result</w:t>
      </w:r>
      <w:r>
        <w:rPr>
          <w:b w:val="0"/>
        </w:rPr>
        <w:t>s</w:t>
      </w:r>
      <w:r w:rsidR="00E533F0">
        <w:rPr>
          <w:b w:val="0"/>
        </w:rPr>
        <w:t xml:space="preserve"> suggest that </w:t>
      </w:r>
      <w:r w:rsidR="004D206C">
        <w:rPr>
          <w:b w:val="0"/>
        </w:rPr>
        <w:t xml:space="preserve">the </w:t>
      </w:r>
      <w:r w:rsidR="00E533F0">
        <w:rPr>
          <w:b w:val="0"/>
        </w:rPr>
        <w:t xml:space="preserve">processing of negative expectancy, and not positive expectancy stimuli differentiates </w:t>
      </w:r>
      <w:r w:rsidR="003C23D2">
        <w:rPr>
          <w:b w:val="0"/>
        </w:rPr>
        <w:t>NPS</w:t>
      </w:r>
      <w:r>
        <w:rPr>
          <w:b w:val="0"/>
        </w:rPr>
        <w:t xml:space="preserve"> users </w:t>
      </w:r>
      <w:r w:rsidR="00E533F0">
        <w:rPr>
          <w:b w:val="0"/>
        </w:rPr>
        <w:t xml:space="preserve">and </w:t>
      </w:r>
      <w:r>
        <w:rPr>
          <w:b w:val="0"/>
        </w:rPr>
        <w:t>non-</w:t>
      </w:r>
      <w:r w:rsidR="003C23D2">
        <w:rPr>
          <w:b w:val="0"/>
        </w:rPr>
        <w:t>NPS</w:t>
      </w:r>
      <w:r>
        <w:rPr>
          <w:b w:val="0"/>
        </w:rPr>
        <w:t xml:space="preserve"> users</w:t>
      </w:r>
      <w:r w:rsidR="004D206C">
        <w:rPr>
          <w:b w:val="0"/>
        </w:rPr>
        <w:t>.</w:t>
      </w:r>
      <w:r w:rsidR="00E533F0">
        <w:rPr>
          <w:b w:val="0"/>
        </w:rPr>
        <w:t xml:space="preserve"> </w:t>
      </w:r>
      <w:r>
        <w:rPr>
          <w:b w:val="0"/>
        </w:rPr>
        <w:t>T</w:t>
      </w:r>
      <w:r w:rsidR="00E533F0">
        <w:rPr>
          <w:b w:val="0"/>
        </w:rPr>
        <w:t xml:space="preserve">his difference </w:t>
      </w:r>
      <w:r w:rsidR="00EB51D6">
        <w:rPr>
          <w:b w:val="0"/>
        </w:rPr>
        <w:t xml:space="preserve">in NPS users only </w:t>
      </w:r>
      <w:r w:rsidR="00E533F0">
        <w:rPr>
          <w:b w:val="0"/>
        </w:rPr>
        <w:t>is</w:t>
      </w:r>
      <w:r>
        <w:rPr>
          <w:b w:val="0"/>
        </w:rPr>
        <w:t xml:space="preserve"> </w:t>
      </w:r>
      <w:r w:rsidR="00E533F0">
        <w:rPr>
          <w:b w:val="0"/>
        </w:rPr>
        <w:t xml:space="preserve">characterised by </w:t>
      </w:r>
      <w:r w:rsidR="004D206C">
        <w:rPr>
          <w:b w:val="0"/>
        </w:rPr>
        <w:t xml:space="preserve">slower response times </w:t>
      </w:r>
      <w:r w:rsidR="00EB51D6">
        <w:rPr>
          <w:b w:val="0"/>
        </w:rPr>
        <w:t xml:space="preserve">and heightened attention </w:t>
      </w:r>
      <w:r w:rsidR="004D206C">
        <w:rPr>
          <w:b w:val="0"/>
        </w:rPr>
        <w:t>to negative expectancy-related stimuli</w:t>
      </w:r>
      <w:r w:rsidR="00EB51D6">
        <w:rPr>
          <w:b w:val="0"/>
        </w:rPr>
        <w:t xml:space="preserve"> indicative of </w:t>
      </w:r>
      <w:r w:rsidR="00E533F0">
        <w:rPr>
          <w:b w:val="0"/>
        </w:rPr>
        <w:t xml:space="preserve">a significant bias </w:t>
      </w:r>
      <w:r w:rsidR="00EB51D6">
        <w:rPr>
          <w:b w:val="0"/>
        </w:rPr>
        <w:t xml:space="preserve">to NPS-related stimuli. </w:t>
      </w:r>
      <w:r w:rsidR="00F17E30">
        <w:rPr>
          <w:b w:val="0"/>
        </w:rPr>
        <w:t xml:space="preserve">This is </w:t>
      </w:r>
      <w:proofErr w:type="spellStart"/>
      <w:r w:rsidR="00F17E30">
        <w:rPr>
          <w:b w:val="0"/>
        </w:rPr>
        <w:t>inline</w:t>
      </w:r>
      <w:proofErr w:type="spellEnd"/>
      <w:r w:rsidR="00F17E30">
        <w:rPr>
          <w:b w:val="0"/>
        </w:rPr>
        <w:t xml:space="preserve"> with e</w:t>
      </w:r>
      <w:r w:rsidR="000B76CD">
        <w:rPr>
          <w:b w:val="0"/>
        </w:rPr>
        <w:t>vidence</w:t>
      </w:r>
      <w:r>
        <w:rPr>
          <w:b w:val="0"/>
        </w:rPr>
        <w:t xml:space="preserve"> in</w:t>
      </w:r>
      <w:r w:rsidR="000B76CD">
        <w:rPr>
          <w:b w:val="0"/>
        </w:rPr>
        <w:t xml:space="preserve"> the alcohol expectancies field</w:t>
      </w:r>
      <w:r w:rsidR="00F17E30">
        <w:rPr>
          <w:b w:val="0"/>
        </w:rPr>
        <w:t>, which</w:t>
      </w:r>
      <w:r w:rsidR="00EB51D6">
        <w:rPr>
          <w:b w:val="0"/>
        </w:rPr>
        <w:t xml:space="preserve"> indicates that</w:t>
      </w:r>
      <w:r>
        <w:rPr>
          <w:b w:val="0"/>
        </w:rPr>
        <w:t xml:space="preserve"> </w:t>
      </w:r>
      <w:r w:rsidR="000B76CD" w:rsidRPr="000B76CD">
        <w:rPr>
          <w:b w:val="0"/>
          <w:i/>
        </w:rPr>
        <w:t>only</w:t>
      </w:r>
      <w:r w:rsidR="000B76CD">
        <w:rPr>
          <w:b w:val="0"/>
        </w:rPr>
        <w:t xml:space="preserve"> heavy drinkers cued with an alcohol-</w:t>
      </w:r>
      <w:r w:rsidR="000B76CD">
        <w:rPr>
          <w:b w:val="0"/>
        </w:rPr>
        <w:lastRenderedPageBreak/>
        <w:t xml:space="preserve">related stimulus showed interference for arousing (positive) expectancy words in a modified Stroop paradigm. On the other hand, </w:t>
      </w:r>
      <w:r w:rsidR="000B76CD" w:rsidRPr="000B76CD">
        <w:rPr>
          <w:b w:val="0"/>
          <w:i/>
        </w:rPr>
        <w:t>only</w:t>
      </w:r>
      <w:r w:rsidR="000B76CD">
        <w:rPr>
          <w:b w:val="0"/>
        </w:rPr>
        <w:t xml:space="preserve"> light drinkers showed interference for sedating (negative) expectan</w:t>
      </w:r>
      <w:r w:rsidR="004B0DD9">
        <w:rPr>
          <w:b w:val="0"/>
        </w:rPr>
        <w:t>cy words when so primed</w:t>
      </w:r>
      <w:r>
        <w:rPr>
          <w:b w:val="0"/>
        </w:rPr>
        <w:t xml:space="preserve"> (Kramer and Goldman, 2003)</w:t>
      </w:r>
      <w:r w:rsidR="004B0DD9">
        <w:rPr>
          <w:b w:val="0"/>
        </w:rPr>
        <w:t xml:space="preserve">. Given that the current sample comprised </w:t>
      </w:r>
      <w:r>
        <w:rPr>
          <w:b w:val="0"/>
        </w:rPr>
        <w:t xml:space="preserve">of </w:t>
      </w:r>
      <w:r w:rsidR="004B0DD9">
        <w:rPr>
          <w:b w:val="0"/>
        </w:rPr>
        <w:t xml:space="preserve">individuals for whom </w:t>
      </w:r>
      <w:r>
        <w:rPr>
          <w:b w:val="0"/>
        </w:rPr>
        <w:t xml:space="preserve">NPS </w:t>
      </w:r>
      <w:r w:rsidR="004B0DD9">
        <w:rPr>
          <w:b w:val="0"/>
        </w:rPr>
        <w:t>use was non-problematic</w:t>
      </w:r>
      <w:r>
        <w:rPr>
          <w:b w:val="0"/>
        </w:rPr>
        <w:t>,</w:t>
      </w:r>
      <w:r w:rsidR="004B0DD9">
        <w:rPr>
          <w:b w:val="0"/>
        </w:rPr>
        <w:t xml:space="preserve"> we would expect selective attentional biases for negative </w:t>
      </w:r>
      <w:r w:rsidR="00EB51D6">
        <w:rPr>
          <w:b w:val="0"/>
        </w:rPr>
        <w:t xml:space="preserve">NPS </w:t>
      </w:r>
      <w:r w:rsidR="004B0DD9">
        <w:rPr>
          <w:b w:val="0"/>
        </w:rPr>
        <w:t>expectancies</w:t>
      </w:r>
      <w:r w:rsidR="00EB51D6">
        <w:rPr>
          <w:b w:val="0"/>
        </w:rPr>
        <w:t xml:space="preserve"> but not positive NPS expectancies</w:t>
      </w:r>
      <w:r w:rsidR="004B0DD9">
        <w:rPr>
          <w:b w:val="0"/>
        </w:rPr>
        <w:t>. As such</w:t>
      </w:r>
      <w:r>
        <w:rPr>
          <w:b w:val="0"/>
        </w:rPr>
        <w:t>,</w:t>
      </w:r>
      <w:r w:rsidR="004B0DD9">
        <w:rPr>
          <w:b w:val="0"/>
        </w:rPr>
        <w:t xml:space="preserve"> among non-problematic </w:t>
      </w:r>
      <w:r w:rsidR="003C23D2">
        <w:rPr>
          <w:b w:val="0"/>
        </w:rPr>
        <w:t>NPS</w:t>
      </w:r>
      <w:r>
        <w:rPr>
          <w:b w:val="0"/>
        </w:rPr>
        <w:t xml:space="preserve"> users, </w:t>
      </w:r>
      <w:r w:rsidR="003F6B13">
        <w:rPr>
          <w:b w:val="0"/>
        </w:rPr>
        <w:t>expectancy</w:t>
      </w:r>
      <w:r>
        <w:rPr>
          <w:b w:val="0"/>
        </w:rPr>
        <w:t>-</w:t>
      </w:r>
      <w:r w:rsidR="000F3EB3">
        <w:rPr>
          <w:b w:val="0"/>
        </w:rPr>
        <w:t xml:space="preserve">based </w:t>
      </w:r>
      <w:r w:rsidR="00D246EE">
        <w:rPr>
          <w:b w:val="0"/>
        </w:rPr>
        <w:t>cognitive space</w:t>
      </w:r>
      <w:r w:rsidR="000F3EB3">
        <w:rPr>
          <w:b w:val="0"/>
        </w:rPr>
        <w:t xml:space="preserve"> may be</w:t>
      </w:r>
      <w:r w:rsidR="00D246EE">
        <w:rPr>
          <w:b w:val="0"/>
        </w:rPr>
        <w:t xml:space="preserve"> characterised by</w:t>
      </w:r>
      <w:r w:rsidR="000F3EB3">
        <w:rPr>
          <w:b w:val="0"/>
        </w:rPr>
        <w:t xml:space="preserve"> highly accessible and salient negative </w:t>
      </w:r>
      <w:r w:rsidR="00EB51D6">
        <w:rPr>
          <w:b w:val="0"/>
        </w:rPr>
        <w:t xml:space="preserve">NPS </w:t>
      </w:r>
      <w:r w:rsidR="000F3EB3">
        <w:rPr>
          <w:b w:val="0"/>
        </w:rPr>
        <w:t>expectancies.</w:t>
      </w:r>
      <w:r w:rsidR="008B55A6">
        <w:rPr>
          <w:b w:val="0"/>
        </w:rPr>
        <w:t xml:space="preserve"> That is not to say that positive </w:t>
      </w:r>
      <w:r w:rsidR="00EB51D6">
        <w:rPr>
          <w:b w:val="0"/>
        </w:rPr>
        <w:t xml:space="preserve">NPS </w:t>
      </w:r>
      <w:r w:rsidR="008B55A6">
        <w:rPr>
          <w:b w:val="0"/>
        </w:rPr>
        <w:t xml:space="preserve">expectancies are not represented in memory but that such expectancies are not </w:t>
      </w:r>
      <w:r w:rsidR="00695EB5">
        <w:rPr>
          <w:b w:val="0"/>
        </w:rPr>
        <w:t xml:space="preserve">as </w:t>
      </w:r>
      <w:r w:rsidR="008B55A6">
        <w:rPr>
          <w:b w:val="0"/>
        </w:rPr>
        <w:t xml:space="preserve">active or accessible in non-problematic </w:t>
      </w:r>
      <w:r w:rsidR="003C23D2">
        <w:rPr>
          <w:b w:val="0"/>
        </w:rPr>
        <w:t>NPS</w:t>
      </w:r>
      <w:r w:rsidR="004A77B5">
        <w:rPr>
          <w:b w:val="0"/>
        </w:rPr>
        <w:t xml:space="preserve"> users</w:t>
      </w:r>
      <w:r w:rsidR="008B55A6">
        <w:rPr>
          <w:b w:val="0"/>
        </w:rPr>
        <w:t xml:space="preserve">. </w:t>
      </w:r>
      <w:r w:rsidR="00EB51D6">
        <w:rPr>
          <w:b w:val="0"/>
        </w:rPr>
        <w:t>Therefore, it would be useful t</w:t>
      </w:r>
      <w:r w:rsidR="008B55A6">
        <w:rPr>
          <w:b w:val="0"/>
        </w:rPr>
        <w:t xml:space="preserve">o replicate and extend this work to include problematic </w:t>
      </w:r>
      <w:r w:rsidR="003C23D2">
        <w:rPr>
          <w:b w:val="0"/>
        </w:rPr>
        <w:t>NPS</w:t>
      </w:r>
      <w:r w:rsidR="004A77B5">
        <w:rPr>
          <w:b w:val="0"/>
        </w:rPr>
        <w:t xml:space="preserve"> users </w:t>
      </w:r>
      <w:r w:rsidR="009D68D4">
        <w:rPr>
          <w:b w:val="0"/>
        </w:rPr>
        <w:t>and examine the pattern of responding throughout the development of problematic behaviour</w:t>
      </w:r>
      <w:r w:rsidR="00EB51D6">
        <w:rPr>
          <w:b w:val="0"/>
        </w:rPr>
        <w:t>.</w:t>
      </w:r>
      <w:r w:rsidR="008B55A6">
        <w:rPr>
          <w:b w:val="0"/>
        </w:rPr>
        <w:t xml:space="preserve"> </w:t>
      </w:r>
    </w:p>
    <w:p w14:paraId="549DDEAC" w14:textId="5A7A5226" w:rsidR="00D44D6B" w:rsidRDefault="00CB0B3F" w:rsidP="002845F1">
      <w:pPr>
        <w:pStyle w:val="BodyText"/>
        <w:spacing w:line="480" w:lineRule="auto"/>
        <w:ind w:firstLine="720"/>
        <w:rPr>
          <w:b w:val="0"/>
        </w:rPr>
      </w:pPr>
      <w:r>
        <w:rPr>
          <w:b w:val="0"/>
        </w:rPr>
        <w:t>W</w:t>
      </w:r>
      <w:r w:rsidR="006F3734">
        <w:rPr>
          <w:b w:val="0"/>
        </w:rPr>
        <w:t xml:space="preserve">hilst we were able to categorise NPS users from never-NPS users, the current study did not ascertain pre-existing differences either within- or between-groups </w:t>
      </w:r>
      <w:r w:rsidR="00B63B84">
        <w:rPr>
          <w:b w:val="0"/>
        </w:rPr>
        <w:t>for</w:t>
      </w:r>
      <w:r w:rsidR="006F3734">
        <w:rPr>
          <w:b w:val="0"/>
        </w:rPr>
        <w:t xml:space="preserve"> other current or past drug use behaviour</w:t>
      </w:r>
      <w:r w:rsidR="00624096">
        <w:rPr>
          <w:b w:val="0"/>
        </w:rPr>
        <w:t xml:space="preserve"> (both NPS and non-NPS related)</w:t>
      </w:r>
      <w:r w:rsidR="006F3734">
        <w:rPr>
          <w:b w:val="0"/>
        </w:rPr>
        <w:t xml:space="preserve">. As such the true effect of NPS use </w:t>
      </w:r>
      <w:r w:rsidR="006F3734">
        <w:rPr>
          <w:b w:val="0"/>
          <w:i/>
        </w:rPr>
        <w:t>per</w:t>
      </w:r>
      <w:r w:rsidR="006F3734" w:rsidRPr="006F3734">
        <w:rPr>
          <w:b w:val="0"/>
          <w:i/>
        </w:rPr>
        <w:t xml:space="preserve"> se</w:t>
      </w:r>
      <w:r w:rsidR="006F3734">
        <w:rPr>
          <w:b w:val="0"/>
        </w:rPr>
        <w:t xml:space="preserve"> on attentional bi</w:t>
      </w:r>
      <w:r w:rsidR="00B63B84">
        <w:rPr>
          <w:b w:val="0"/>
        </w:rPr>
        <w:t>a</w:t>
      </w:r>
      <w:r w:rsidR="006F3734">
        <w:rPr>
          <w:b w:val="0"/>
        </w:rPr>
        <w:t>ses towa</w:t>
      </w:r>
      <w:r w:rsidR="00B63B84">
        <w:rPr>
          <w:b w:val="0"/>
        </w:rPr>
        <w:t xml:space="preserve">rds negative expectancy-based stimuli over and above that attributable to generic drug use </w:t>
      </w:r>
      <w:proofErr w:type="spellStart"/>
      <w:r w:rsidR="00B63B84">
        <w:rPr>
          <w:b w:val="0"/>
        </w:rPr>
        <w:t>can not</w:t>
      </w:r>
      <w:proofErr w:type="spellEnd"/>
      <w:r w:rsidR="00B63B84">
        <w:rPr>
          <w:b w:val="0"/>
        </w:rPr>
        <w:t xml:space="preserve"> be fully assured. </w:t>
      </w:r>
      <w:r w:rsidR="002845F1">
        <w:rPr>
          <w:b w:val="0"/>
        </w:rPr>
        <w:t xml:space="preserve">What is clear from previous research is that the pattern of attentional responding to related cues is </w:t>
      </w:r>
      <w:r w:rsidR="002845F1" w:rsidRPr="00E335CB">
        <w:rPr>
          <w:b w:val="0"/>
          <w:i/>
        </w:rPr>
        <w:t>likely</w:t>
      </w:r>
      <w:r w:rsidR="002845F1">
        <w:rPr>
          <w:b w:val="0"/>
        </w:rPr>
        <w:t xml:space="preserve"> to be specific to one’s ongoing activity. </w:t>
      </w:r>
      <w:r w:rsidR="00E94BB9">
        <w:rPr>
          <w:b w:val="0"/>
        </w:rPr>
        <w:t>Users consistently show increased attention</w:t>
      </w:r>
      <w:r w:rsidR="008737BE">
        <w:rPr>
          <w:b w:val="0"/>
        </w:rPr>
        <w:t>a</w:t>
      </w:r>
      <w:r w:rsidR="00E94BB9">
        <w:rPr>
          <w:b w:val="0"/>
        </w:rPr>
        <w:t xml:space="preserve">l biases relative to non-users (e.g. </w:t>
      </w:r>
      <w:r w:rsidR="00933AEA">
        <w:rPr>
          <w:b w:val="0"/>
        </w:rPr>
        <w:t>Marks, Robert, Stoops, Pike &amp; Rush, 2014; Bradley</w:t>
      </w:r>
      <w:r w:rsidR="00B25928">
        <w:rPr>
          <w:b w:val="0"/>
        </w:rPr>
        <w:t xml:space="preserve">, Field, </w:t>
      </w:r>
      <w:proofErr w:type="spellStart"/>
      <w:r w:rsidR="00B25928">
        <w:rPr>
          <w:b w:val="0"/>
        </w:rPr>
        <w:t>Mogg</w:t>
      </w:r>
      <w:proofErr w:type="spellEnd"/>
      <w:r w:rsidR="00B25928">
        <w:rPr>
          <w:b w:val="0"/>
        </w:rPr>
        <w:t xml:space="preserve"> &amp; De </w:t>
      </w:r>
      <w:proofErr w:type="spellStart"/>
      <w:r w:rsidR="00B25928">
        <w:rPr>
          <w:b w:val="0"/>
        </w:rPr>
        <w:t>Houwer</w:t>
      </w:r>
      <w:proofErr w:type="spellEnd"/>
      <w:r w:rsidR="00B25928">
        <w:rPr>
          <w:b w:val="0"/>
        </w:rPr>
        <w:t xml:space="preserve">, </w:t>
      </w:r>
      <w:r w:rsidR="00933AEA">
        <w:rPr>
          <w:b w:val="0"/>
        </w:rPr>
        <w:t>200</w:t>
      </w:r>
      <w:r w:rsidR="008737BE">
        <w:rPr>
          <w:b w:val="0"/>
        </w:rPr>
        <w:t xml:space="preserve">4; </w:t>
      </w:r>
      <w:proofErr w:type="spellStart"/>
      <w:r w:rsidR="008737BE">
        <w:rPr>
          <w:b w:val="0"/>
        </w:rPr>
        <w:t>Munafo</w:t>
      </w:r>
      <w:proofErr w:type="spellEnd"/>
      <w:r w:rsidR="008737BE">
        <w:rPr>
          <w:b w:val="0"/>
        </w:rPr>
        <w:t xml:space="preserve">, </w:t>
      </w:r>
      <w:proofErr w:type="spellStart"/>
      <w:r w:rsidR="006E4A7D">
        <w:rPr>
          <w:b w:val="0"/>
        </w:rPr>
        <w:t>Mogg</w:t>
      </w:r>
      <w:proofErr w:type="spellEnd"/>
      <w:r w:rsidR="006E4A7D">
        <w:rPr>
          <w:b w:val="0"/>
        </w:rPr>
        <w:t xml:space="preserve">, Roberts, Bradley &amp; Murphy, </w:t>
      </w:r>
      <w:r w:rsidR="008737BE">
        <w:rPr>
          <w:b w:val="0"/>
        </w:rPr>
        <w:t xml:space="preserve">2003) and the magnitude of the bias is proportional to the quantity and frequency of substance use </w:t>
      </w:r>
      <w:r w:rsidR="008737BE">
        <w:rPr>
          <w:b w:val="0"/>
        </w:rPr>
        <w:lastRenderedPageBreak/>
        <w:t xml:space="preserve">(e.g. </w:t>
      </w:r>
      <w:proofErr w:type="spellStart"/>
      <w:r w:rsidR="00933AEA">
        <w:rPr>
          <w:b w:val="0"/>
        </w:rPr>
        <w:t>Albery</w:t>
      </w:r>
      <w:proofErr w:type="spellEnd"/>
      <w:r w:rsidR="00933AEA">
        <w:rPr>
          <w:b w:val="0"/>
        </w:rPr>
        <w:t xml:space="preserve">, Sharma, Noyce, Frings &amp; Moss, 2015; </w:t>
      </w:r>
      <w:r w:rsidR="008737BE">
        <w:rPr>
          <w:b w:val="0"/>
        </w:rPr>
        <w:t xml:space="preserve">Sharma, </w:t>
      </w:r>
      <w:proofErr w:type="spellStart"/>
      <w:r w:rsidR="008737BE">
        <w:rPr>
          <w:b w:val="0"/>
        </w:rPr>
        <w:t>Albery</w:t>
      </w:r>
      <w:proofErr w:type="spellEnd"/>
      <w:r w:rsidR="008737BE">
        <w:rPr>
          <w:b w:val="0"/>
        </w:rPr>
        <w:t xml:space="preserve"> &amp; Cook, 2001</w:t>
      </w:r>
      <w:r w:rsidR="00933AEA">
        <w:rPr>
          <w:b w:val="0"/>
        </w:rPr>
        <w:t>; Fie</w:t>
      </w:r>
      <w:r w:rsidR="008737BE">
        <w:rPr>
          <w:b w:val="0"/>
        </w:rPr>
        <w:t>l</w:t>
      </w:r>
      <w:r w:rsidR="00933AEA">
        <w:rPr>
          <w:b w:val="0"/>
        </w:rPr>
        <w:t>d</w:t>
      </w:r>
      <w:r w:rsidR="008737BE">
        <w:rPr>
          <w:b w:val="0"/>
        </w:rPr>
        <w:t>, 2005)</w:t>
      </w:r>
      <w:r w:rsidR="00933AEA">
        <w:rPr>
          <w:b w:val="0"/>
        </w:rPr>
        <w:t xml:space="preserve">. </w:t>
      </w:r>
      <w:r w:rsidR="00D44D6B">
        <w:rPr>
          <w:b w:val="0"/>
        </w:rPr>
        <w:t xml:space="preserve">Finally, </w:t>
      </w:r>
      <w:r w:rsidR="00A431BD">
        <w:rPr>
          <w:b w:val="0"/>
        </w:rPr>
        <w:t xml:space="preserve">in studies comparing </w:t>
      </w:r>
      <w:proofErr w:type="spellStart"/>
      <w:r w:rsidR="00A431BD">
        <w:rPr>
          <w:b w:val="0"/>
        </w:rPr>
        <w:t>polydrug</w:t>
      </w:r>
      <w:proofErr w:type="spellEnd"/>
      <w:r w:rsidR="00A431BD">
        <w:rPr>
          <w:b w:val="0"/>
        </w:rPr>
        <w:t xml:space="preserve"> users and single drug users, attentional biases have been shown to be specific for the relevant group. For example, in a recent study comparing attentional biases for cocaine and alcohol-related cues among cocaine-</w:t>
      </w:r>
      <w:r w:rsidR="00F83DFD">
        <w:rPr>
          <w:b w:val="0"/>
        </w:rPr>
        <w:t xml:space="preserve">only </w:t>
      </w:r>
      <w:r w:rsidR="00A431BD">
        <w:rPr>
          <w:b w:val="0"/>
        </w:rPr>
        <w:t xml:space="preserve">and alcohol plus cocaine </w:t>
      </w:r>
      <w:r w:rsidR="00F83DFD">
        <w:rPr>
          <w:b w:val="0"/>
        </w:rPr>
        <w:t xml:space="preserve">(poly drug) </w:t>
      </w:r>
      <w:r w:rsidR="00A431BD">
        <w:rPr>
          <w:b w:val="0"/>
        </w:rPr>
        <w:t xml:space="preserve">groups, cocaine users showed a bias for cocaine-related stimuli </w:t>
      </w:r>
      <w:r w:rsidR="00A431BD">
        <w:rPr>
          <w:b w:val="0"/>
          <w:i/>
        </w:rPr>
        <w:t>only</w:t>
      </w:r>
      <w:r w:rsidR="00A431BD">
        <w:rPr>
          <w:b w:val="0"/>
        </w:rPr>
        <w:t xml:space="preserve">, </w:t>
      </w:r>
      <w:r w:rsidR="00F83DFD">
        <w:rPr>
          <w:b w:val="0"/>
        </w:rPr>
        <w:t xml:space="preserve">and </w:t>
      </w:r>
      <w:r w:rsidR="00A431BD">
        <w:rPr>
          <w:b w:val="0"/>
        </w:rPr>
        <w:t xml:space="preserve">alcohol </w:t>
      </w:r>
      <w:r w:rsidR="00F83DFD">
        <w:rPr>
          <w:b w:val="0"/>
        </w:rPr>
        <w:t xml:space="preserve">plus cocaine </w:t>
      </w:r>
      <w:r w:rsidR="00A431BD">
        <w:rPr>
          <w:b w:val="0"/>
        </w:rPr>
        <w:t xml:space="preserve">users </w:t>
      </w:r>
      <w:r w:rsidR="00F83DFD">
        <w:rPr>
          <w:b w:val="0"/>
        </w:rPr>
        <w:t>showed att</w:t>
      </w:r>
      <w:r w:rsidR="00933AEA">
        <w:rPr>
          <w:b w:val="0"/>
        </w:rPr>
        <w:t>en</w:t>
      </w:r>
      <w:r w:rsidR="00F83DFD">
        <w:rPr>
          <w:b w:val="0"/>
        </w:rPr>
        <w:t>t</w:t>
      </w:r>
      <w:r w:rsidR="00933AEA">
        <w:rPr>
          <w:b w:val="0"/>
        </w:rPr>
        <w:t>io</w:t>
      </w:r>
      <w:r w:rsidR="00F83DFD">
        <w:rPr>
          <w:b w:val="0"/>
        </w:rPr>
        <w:t>nal biase</w:t>
      </w:r>
      <w:r w:rsidR="00933AEA">
        <w:rPr>
          <w:b w:val="0"/>
        </w:rPr>
        <w:t>s</w:t>
      </w:r>
      <w:r w:rsidR="00F83DFD">
        <w:rPr>
          <w:b w:val="0"/>
        </w:rPr>
        <w:t xml:space="preserve"> for both alcohol and cocaine related stimuli</w:t>
      </w:r>
      <w:r w:rsidR="00A431BD">
        <w:rPr>
          <w:b w:val="0"/>
        </w:rPr>
        <w:t xml:space="preserve"> </w:t>
      </w:r>
      <w:r w:rsidR="00F83DFD">
        <w:rPr>
          <w:b w:val="0"/>
        </w:rPr>
        <w:t>(see</w:t>
      </w:r>
      <w:r w:rsidR="00C00188">
        <w:rPr>
          <w:b w:val="0"/>
        </w:rPr>
        <w:t xml:space="preserve"> Marks, P</w:t>
      </w:r>
      <w:r w:rsidR="00E61406">
        <w:rPr>
          <w:b w:val="0"/>
        </w:rPr>
        <w:t>ike, Stoops &amp; Ru</w:t>
      </w:r>
      <w:r w:rsidR="00F83DFD">
        <w:rPr>
          <w:b w:val="0"/>
        </w:rPr>
        <w:t xml:space="preserve">sh, 2015). </w:t>
      </w:r>
    </w:p>
    <w:p w14:paraId="7C42DC8C" w14:textId="2B64AA5A" w:rsidR="006F3734" w:rsidRDefault="009D68D4" w:rsidP="006F3734">
      <w:pPr>
        <w:pStyle w:val="BodyText"/>
        <w:spacing w:line="480" w:lineRule="auto"/>
        <w:ind w:firstLine="720"/>
        <w:rPr>
          <w:b w:val="0"/>
        </w:rPr>
      </w:pPr>
      <w:r>
        <w:rPr>
          <w:b w:val="0"/>
        </w:rPr>
        <w:t xml:space="preserve">Finally, </w:t>
      </w:r>
      <w:r w:rsidR="00321CD4">
        <w:rPr>
          <w:b w:val="0"/>
        </w:rPr>
        <w:t xml:space="preserve">for </w:t>
      </w:r>
      <w:r w:rsidR="003C23D2">
        <w:rPr>
          <w:b w:val="0"/>
        </w:rPr>
        <w:t>NPS</w:t>
      </w:r>
      <w:r w:rsidR="004A77B5">
        <w:rPr>
          <w:b w:val="0"/>
        </w:rPr>
        <w:t xml:space="preserve"> users, </w:t>
      </w:r>
      <w:r>
        <w:rPr>
          <w:b w:val="0"/>
        </w:rPr>
        <w:t>we found n</w:t>
      </w:r>
      <w:r w:rsidR="00321CD4">
        <w:rPr>
          <w:b w:val="0"/>
        </w:rPr>
        <w:t>o</w:t>
      </w:r>
      <w:r w:rsidR="004A77B5">
        <w:rPr>
          <w:b w:val="0"/>
        </w:rPr>
        <w:t xml:space="preserve"> </w:t>
      </w:r>
      <w:r w:rsidR="00521D0B">
        <w:rPr>
          <w:b w:val="0"/>
        </w:rPr>
        <w:t xml:space="preserve">relationships </w:t>
      </w:r>
      <w:r w:rsidR="00321CD4">
        <w:rPr>
          <w:b w:val="0"/>
        </w:rPr>
        <w:t xml:space="preserve">between attentional biases for </w:t>
      </w:r>
      <w:r w:rsidR="007B6A45">
        <w:rPr>
          <w:b w:val="0"/>
        </w:rPr>
        <w:t>NPS</w:t>
      </w:r>
      <w:r w:rsidR="006050EC">
        <w:rPr>
          <w:b w:val="0"/>
        </w:rPr>
        <w:t>-specific</w:t>
      </w:r>
      <w:r w:rsidR="00321CD4">
        <w:rPr>
          <w:b w:val="0"/>
        </w:rPr>
        <w:t xml:space="preserve"> </w:t>
      </w:r>
      <w:r w:rsidR="006050EC">
        <w:rPr>
          <w:b w:val="0"/>
        </w:rPr>
        <w:t>words</w:t>
      </w:r>
      <w:r w:rsidR="00321CD4">
        <w:rPr>
          <w:b w:val="0"/>
        </w:rPr>
        <w:t>, positive and negative expectancy words</w:t>
      </w:r>
      <w:r w:rsidR="006050EC">
        <w:rPr>
          <w:b w:val="0"/>
        </w:rPr>
        <w:t>, and</w:t>
      </w:r>
      <w:r w:rsidR="00321CD4">
        <w:rPr>
          <w:b w:val="0"/>
        </w:rPr>
        <w:t xml:space="preserve"> severity of problems associated with </w:t>
      </w:r>
      <w:r w:rsidR="007B6A45">
        <w:rPr>
          <w:b w:val="0"/>
        </w:rPr>
        <w:t>NPS</w:t>
      </w:r>
      <w:r w:rsidR="00321CD4">
        <w:rPr>
          <w:b w:val="0"/>
        </w:rPr>
        <w:t xml:space="preserve"> use. These findings replicate</w:t>
      </w:r>
      <w:r w:rsidR="004A77B5">
        <w:rPr>
          <w:b w:val="0"/>
        </w:rPr>
        <w:t xml:space="preserve"> </w:t>
      </w:r>
      <w:r w:rsidR="00FF64AF">
        <w:rPr>
          <w:b w:val="0"/>
        </w:rPr>
        <w:t>studies</w:t>
      </w:r>
      <w:r w:rsidR="00321CD4">
        <w:rPr>
          <w:b w:val="0"/>
        </w:rPr>
        <w:t xml:space="preserve"> which have shown that the effect of such processing only becomes apparent with more problematic drug use, whether that be</w:t>
      </w:r>
      <w:r w:rsidR="00283AAD">
        <w:rPr>
          <w:b w:val="0"/>
        </w:rPr>
        <w:t xml:space="preserve"> </w:t>
      </w:r>
      <w:r w:rsidR="00321CD4">
        <w:rPr>
          <w:b w:val="0"/>
        </w:rPr>
        <w:t>heavy drinking</w:t>
      </w:r>
      <w:r w:rsidR="00100748">
        <w:rPr>
          <w:b w:val="0"/>
        </w:rPr>
        <w:t xml:space="preserve"> or</w:t>
      </w:r>
      <w:r w:rsidR="00283AAD">
        <w:rPr>
          <w:b w:val="0"/>
        </w:rPr>
        <w:t xml:space="preserve"> </w:t>
      </w:r>
      <w:r w:rsidR="003422E2">
        <w:rPr>
          <w:b w:val="0"/>
        </w:rPr>
        <w:t>smoking</w:t>
      </w:r>
      <w:r w:rsidR="00100748">
        <w:rPr>
          <w:b w:val="0"/>
        </w:rPr>
        <w:t>,</w:t>
      </w:r>
      <w:r w:rsidR="003422E2">
        <w:rPr>
          <w:b w:val="0"/>
        </w:rPr>
        <w:t xml:space="preserve"> </w:t>
      </w:r>
      <w:r w:rsidR="00D72108">
        <w:rPr>
          <w:b w:val="0"/>
        </w:rPr>
        <w:t xml:space="preserve">or </w:t>
      </w:r>
      <w:r w:rsidR="003422E2">
        <w:rPr>
          <w:b w:val="0"/>
        </w:rPr>
        <w:t xml:space="preserve">in-treatment groups </w:t>
      </w:r>
      <w:r w:rsidR="00341425">
        <w:rPr>
          <w:b w:val="0"/>
        </w:rPr>
        <w:t>(</w:t>
      </w:r>
      <w:r w:rsidR="00321CD4">
        <w:rPr>
          <w:b w:val="0"/>
        </w:rPr>
        <w:t xml:space="preserve">e.g. </w:t>
      </w:r>
      <w:r w:rsidR="00341425">
        <w:rPr>
          <w:b w:val="0"/>
        </w:rPr>
        <w:t>Sharma et al, 2001</w:t>
      </w:r>
      <w:r w:rsidR="00321CD4">
        <w:rPr>
          <w:b w:val="0"/>
        </w:rPr>
        <w:t>; see Field et al, 2009</w:t>
      </w:r>
      <w:r w:rsidR="00C73126">
        <w:rPr>
          <w:b w:val="0"/>
        </w:rPr>
        <w:t>; Water</w:t>
      </w:r>
      <w:r w:rsidR="00AC23DF">
        <w:rPr>
          <w:b w:val="0"/>
        </w:rPr>
        <w:t>s</w:t>
      </w:r>
      <w:r w:rsidR="00C73126">
        <w:rPr>
          <w:b w:val="0"/>
        </w:rPr>
        <w:t xml:space="preserve">, </w:t>
      </w:r>
      <w:proofErr w:type="spellStart"/>
      <w:r w:rsidR="0049352A">
        <w:rPr>
          <w:b w:val="0"/>
        </w:rPr>
        <w:t>Shiffman</w:t>
      </w:r>
      <w:proofErr w:type="spellEnd"/>
      <w:r w:rsidR="0049352A">
        <w:rPr>
          <w:b w:val="0"/>
        </w:rPr>
        <w:t xml:space="preserve">, </w:t>
      </w:r>
      <w:proofErr w:type="spellStart"/>
      <w:r w:rsidR="0049352A">
        <w:rPr>
          <w:b w:val="0"/>
        </w:rPr>
        <w:t>Sayette</w:t>
      </w:r>
      <w:proofErr w:type="spellEnd"/>
      <w:r w:rsidR="0049352A">
        <w:rPr>
          <w:b w:val="0"/>
        </w:rPr>
        <w:t xml:space="preserve">, </w:t>
      </w:r>
      <w:proofErr w:type="spellStart"/>
      <w:r w:rsidR="0049352A">
        <w:rPr>
          <w:b w:val="0"/>
        </w:rPr>
        <w:t>Paty</w:t>
      </w:r>
      <w:proofErr w:type="spellEnd"/>
      <w:r w:rsidR="0049352A">
        <w:rPr>
          <w:b w:val="0"/>
        </w:rPr>
        <w:t xml:space="preserve">, </w:t>
      </w:r>
      <w:proofErr w:type="spellStart"/>
      <w:r w:rsidR="0049352A">
        <w:rPr>
          <w:b w:val="0"/>
        </w:rPr>
        <w:t>Gwaltney</w:t>
      </w:r>
      <w:proofErr w:type="spellEnd"/>
      <w:r w:rsidR="0049352A">
        <w:rPr>
          <w:b w:val="0"/>
        </w:rPr>
        <w:t xml:space="preserve"> &amp; </w:t>
      </w:r>
      <w:proofErr w:type="spellStart"/>
      <w:r w:rsidR="0049352A">
        <w:rPr>
          <w:b w:val="0"/>
        </w:rPr>
        <w:t>Balabanis</w:t>
      </w:r>
      <w:proofErr w:type="spellEnd"/>
      <w:r w:rsidR="0049352A">
        <w:rPr>
          <w:b w:val="0"/>
        </w:rPr>
        <w:t xml:space="preserve">, </w:t>
      </w:r>
      <w:r w:rsidR="00C73126">
        <w:rPr>
          <w:b w:val="0"/>
        </w:rPr>
        <w:t>2003</w:t>
      </w:r>
      <w:r w:rsidR="00341425">
        <w:rPr>
          <w:b w:val="0"/>
        </w:rPr>
        <w:t>).</w:t>
      </w:r>
      <w:r w:rsidR="00100748">
        <w:rPr>
          <w:b w:val="0"/>
        </w:rPr>
        <w:t xml:space="preserve"> </w:t>
      </w:r>
      <w:r w:rsidR="00FF64AF">
        <w:rPr>
          <w:b w:val="0"/>
        </w:rPr>
        <w:t xml:space="preserve"> </w:t>
      </w:r>
      <w:r w:rsidR="009218B2">
        <w:rPr>
          <w:b w:val="0"/>
        </w:rPr>
        <w:t>C</w:t>
      </w:r>
      <w:r w:rsidR="002C0713">
        <w:rPr>
          <w:b w:val="0"/>
        </w:rPr>
        <w:t xml:space="preserve">urrent models have </w:t>
      </w:r>
      <w:r w:rsidR="009218B2">
        <w:rPr>
          <w:b w:val="0"/>
        </w:rPr>
        <w:t xml:space="preserve">also </w:t>
      </w:r>
      <w:r w:rsidR="002C0713">
        <w:rPr>
          <w:b w:val="0"/>
        </w:rPr>
        <w:t xml:space="preserve">emphasised </w:t>
      </w:r>
      <w:r w:rsidR="00FF64AF">
        <w:rPr>
          <w:b w:val="0"/>
        </w:rPr>
        <w:t xml:space="preserve">the fundamental role of </w:t>
      </w:r>
      <w:r w:rsidR="007F620D">
        <w:rPr>
          <w:b w:val="0"/>
        </w:rPr>
        <w:t xml:space="preserve">the relationship between </w:t>
      </w:r>
      <w:r w:rsidR="00FF64AF" w:rsidRPr="007F620D">
        <w:rPr>
          <w:b w:val="0"/>
        </w:rPr>
        <w:t xml:space="preserve">craving </w:t>
      </w:r>
      <w:r w:rsidR="007F620D">
        <w:rPr>
          <w:b w:val="0"/>
        </w:rPr>
        <w:t xml:space="preserve">and </w:t>
      </w:r>
      <w:r w:rsidR="00FF64AF">
        <w:rPr>
          <w:b w:val="0"/>
        </w:rPr>
        <w:t xml:space="preserve">attentional preference </w:t>
      </w:r>
      <w:r w:rsidR="007F620D">
        <w:rPr>
          <w:b w:val="0"/>
        </w:rPr>
        <w:t xml:space="preserve">in understanding an individual’s transition from </w:t>
      </w:r>
      <w:r w:rsidR="007F620D" w:rsidRPr="007F620D">
        <w:rPr>
          <w:b w:val="0"/>
          <w:i/>
        </w:rPr>
        <w:t>liking</w:t>
      </w:r>
      <w:r w:rsidR="007F620D">
        <w:rPr>
          <w:b w:val="0"/>
        </w:rPr>
        <w:t xml:space="preserve"> the hedonic effects </w:t>
      </w:r>
      <w:r w:rsidR="009218B2">
        <w:rPr>
          <w:b w:val="0"/>
        </w:rPr>
        <w:t xml:space="preserve">of </w:t>
      </w:r>
      <w:r w:rsidR="007F620D">
        <w:rPr>
          <w:b w:val="0"/>
        </w:rPr>
        <w:t xml:space="preserve">drug use to </w:t>
      </w:r>
      <w:r w:rsidR="007F620D">
        <w:rPr>
          <w:b w:val="0"/>
          <w:i/>
        </w:rPr>
        <w:t>wanting</w:t>
      </w:r>
      <w:r w:rsidR="007F620D">
        <w:rPr>
          <w:b w:val="0"/>
        </w:rPr>
        <w:t xml:space="preserve"> that experience (</w:t>
      </w:r>
      <w:r w:rsidR="009B62AE">
        <w:rPr>
          <w:b w:val="0"/>
        </w:rPr>
        <w:t>Robinson</w:t>
      </w:r>
      <w:r w:rsidR="00EB51D6">
        <w:rPr>
          <w:b w:val="0"/>
        </w:rPr>
        <w:t xml:space="preserve"> </w:t>
      </w:r>
      <w:r w:rsidR="00CA314F">
        <w:rPr>
          <w:b w:val="0"/>
        </w:rPr>
        <w:t xml:space="preserve">&amp; </w:t>
      </w:r>
      <w:proofErr w:type="spellStart"/>
      <w:r w:rsidR="00CA314F">
        <w:rPr>
          <w:b w:val="0"/>
        </w:rPr>
        <w:t>Berridge</w:t>
      </w:r>
      <w:proofErr w:type="spellEnd"/>
      <w:r w:rsidR="00CA314F">
        <w:rPr>
          <w:b w:val="0"/>
        </w:rPr>
        <w:t>, 2003</w:t>
      </w:r>
      <w:r w:rsidR="007F620D">
        <w:rPr>
          <w:b w:val="0"/>
        </w:rPr>
        <w:t xml:space="preserve">). </w:t>
      </w:r>
      <w:r w:rsidR="00E7429A">
        <w:rPr>
          <w:b w:val="0"/>
        </w:rPr>
        <w:t>This transition is</w:t>
      </w:r>
      <w:r w:rsidR="00283AAD">
        <w:rPr>
          <w:b w:val="0"/>
        </w:rPr>
        <w:t xml:space="preserve"> </w:t>
      </w:r>
      <w:r w:rsidR="009218B2">
        <w:rPr>
          <w:b w:val="0"/>
        </w:rPr>
        <w:t>attributed to</w:t>
      </w:r>
      <w:r w:rsidR="00E7429A">
        <w:rPr>
          <w:b w:val="0"/>
        </w:rPr>
        <w:t xml:space="preserve"> the sensitisation of a dopaminergic response with repeated use</w:t>
      </w:r>
      <w:r w:rsidR="00D72108">
        <w:rPr>
          <w:b w:val="0"/>
        </w:rPr>
        <w:t>,</w:t>
      </w:r>
      <w:r w:rsidR="00E7429A">
        <w:rPr>
          <w:b w:val="0"/>
        </w:rPr>
        <w:t xml:space="preserve"> such that properties related to the substance become increasing</w:t>
      </w:r>
      <w:r w:rsidR="009218B2">
        <w:rPr>
          <w:b w:val="0"/>
        </w:rPr>
        <w:t>ly</w:t>
      </w:r>
      <w:r w:rsidR="00E7429A">
        <w:rPr>
          <w:b w:val="0"/>
        </w:rPr>
        <w:t xml:space="preserve"> salient and motivationally relevant (i.e. incentive-based) to the extent that craving occurs.  </w:t>
      </w:r>
      <w:r w:rsidR="00354496">
        <w:rPr>
          <w:b w:val="0"/>
        </w:rPr>
        <w:t>It is also argued that once established</w:t>
      </w:r>
      <w:r w:rsidR="00D72108">
        <w:rPr>
          <w:b w:val="0"/>
        </w:rPr>
        <w:t>,</w:t>
      </w:r>
      <w:r w:rsidR="00354496">
        <w:rPr>
          <w:b w:val="0"/>
        </w:rPr>
        <w:t xml:space="preserve"> the addictive behavioural pattern is best described as the result of a reciprocal relationship between craving and attentional preference (Franken, 2003; see Field &amp; Cox, 2008). </w:t>
      </w:r>
      <w:r w:rsidR="00E7429A">
        <w:rPr>
          <w:b w:val="0"/>
        </w:rPr>
        <w:t>In our sample</w:t>
      </w:r>
      <w:r w:rsidR="0023778A">
        <w:rPr>
          <w:b w:val="0"/>
        </w:rPr>
        <w:t xml:space="preserve"> of </w:t>
      </w:r>
      <w:r w:rsidR="003C23D2">
        <w:rPr>
          <w:b w:val="0"/>
        </w:rPr>
        <w:t>NPS</w:t>
      </w:r>
      <w:r w:rsidR="009218B2">
        <w:rPr>
          <w:b w:val="0"/>
        </w:rPr>
        <w:t xml:space="preserve"> </w:t>
      </w:r>
      <w:proofErr w:type="gramStart"/>
      <w:r w:rsidR="009218B2">
        <w:rPr>
          <w:b w:val="0"/>
        </w:rPr>
        <w:t xml:space="preserve">users </w:t>
      </w:r>
      <w:r w:rsidR="00E7429A">
        <w:rPr>
          <w:b w:val="0"/>
        </w:rPr>
        <w:t>,</w:t>
      </w:r>
      <w:proofErr w:type="gramEnd"/>
      <w:r w:rsidR="00E7429A">
        <w:rPr>
          <w:b w:val="0"/>
        </w:rPr>
        <w:t xml:space="preserve"> it is likely that individuals </w:t>
      </w:r>
      <w:r w:rsidR="00E7429A">
        <w:rPr>
          <w:b w:val="0"/>
        </w:rPr>
        <w:lastRenderedPageBreak/>
        <w:t>have not</w:t>
      </w:r>
      <w:r w:rsidR="00E7429A" w:rsidRPr="0023778A">
        <w:rPr>
          <w:b w:val="0"/>
        </w:rPr>
        <w:t xml:space="preserve"> made</w:t>
      </w:r>
      <w:r w:rsidR="009218B2">
        <w:rPr>
          <w:b w:val="0"/>
        </w:rPr>
        <w:t xml:space="preserve"> </w:t>
      </w:r>
      <w:r w:rsidR="00E7429A">
        <w:rPr>
          <w:b w:val="0"/>
        </w:rPr>
        <w:t xml:space="preserve">this </w:t>
      </w:r>
      <w:r w:rsidR="0023778A" w:rsidRPr="0023778A">
        <w:rPr>
          <w:b w:val="0"/>
          <w:i/>
        </w:rPr>
        <w:t>wanting-to-liking</w:t>
      </w:r>
      <w:r w:rsidR="009218B2">
        <w:rPr>
          <w:b w:val="0"/>
          <w:i/>
        </w:rPr>
        <w:t xml:space="preserve"> </w:t>
      </w:r>
      <w:r w:rsidR="00E7429A">
        <w:rPr>
          <w:b w:val="0"/>
        </w:rPr>
        <w:t>transition. Future work with</w:t>
      </w:r>
      <w:r w:rsidR="00283AAD">
        <w:rPr>
          <w:b w:val="0"/>
        </w:rPr>
        <w:t xml:space="preserve"> </w:t>
      </w:r>
      <w:r w:rsidR="008E6314">
        <w:rPr>
          <w:b w:val="0"/>
        </w:rPr>
        <w:t xml:space="preserve">problematic </w:t>
      </w:r>
      <w:r w:rsidR="003C23D2">
        <w:rPr>
          <w:b w:val="0"/>
        </w:rPr>
        <w:t>NPS</w:t>
      </w:r>
      <w:r w:rsidR="009218B2">
        <w:rPr>
          <w:b w:val="0"/>
        </w:rPr>
        <w:t xml:space="preserve"> </w:t>
      </w:r>
      <w:proofErr w:type="gramStart"/>
      <w:r w:rsidR="009218B2">
        <w:rPr>
          <w:b w:val="0"/>
        </w:rPr>
        <w:t xml:space="preserve">users </w:t>
      </w:r>
      <w:r w:rsidR="00E7429A">
        <w:rPr>
          <w:b w:val="0"/>
        </w:rPr>
        <w:t xml:space="preserve"> should</w:t>
      </w:r>
      <w:proofErr w:type="gramEnd"/>
      <w:r w:rsidR="00E7429A">
        <w:rPr>
          <w:b w:val="0"/>
        </w:rPr>
        <w:t xml:space="preserve"> include craving or desire-related indices to fully </w:t>
      </w:r>
      <w:r w:rsidR="00D72108" w:rsidRPr="00D72108">
        <w:rPr>
          <w:b w:val="0"/>
        </w:rPr>
        <w:t xml:space="preserve">elucidate </w:t>
      </w:r>
      <w:r w:rsidR="00E7429A">
        <w:rPr>
          <w:b w:val="0"/>
        </w:rPr>
        <w:t xml:space="preserve">this idea. </w:t>
      </w:r>
    </w:p>
    <w:p w14:paraId="3977DFCB" w14:textId="3B7B8752" w:rsidR="00F71CBD" w:rsidRPr="00FF265F" w:rsidRDefault="00F71CBD" w:rsidP="003C23D2">
      <w:pPr>
        <w:pStyle w:val="BodyText"/>
        <w:spacing w:line="480" w:lineRule="auto"/>
        <w:jc w:val="center"/>
        <w:outlineLvl w:val="0"/>
      </w:pPr>
      <w:r w:rsidRPr="00FF265F">
        <w:t>References</w:t>
      </w:r>
    </w:p>
    <w:p w14:paraId="65EBB363" w14:textId="0925E48D" w:rsidR="00295F0E" w:rsidRDefault="00C5102B" w:rsidP="00FF265F">
      <w:pPr>
        <w:pStyle w:val="BodyText"/>
        <w:spacing w:line="480" w:lineRule="auto"/>
        <w:ind w:left="720" w:hanging="720"/>
        <w:rPr>
          <w:b w:val="0"/>
        </w:rPr>
      </w:pPr>
      <w:proofErr w:type="spellStart"/>
      <w:r w:rsidRPr="00CA5F73">
        <w:rPr>
          <w:b w:val="0"/>
        </w:rPr>
        <w:t>Albery</w:t>
      </w:r>
      <w:proofErr w:type="spellEnd"/>
      <w:r w:rsidRPr="00CA5F73">
        <w:rPr>
          <w:b w:val="0"/>
        </w:rPr>
        <w:t xml:space="preserve">, I.P., Lowry, J., Frings, D., </w:t>
      </w:r>
      <w:proofErr w:type="gramStart"/>
      <w:r w:rsidRPr="00CA5F73">
        <w:rPr>
          <w:b w:val="0"/>
        </w:rPr>
        <w:t>Johnson ,</w:t>
      </w:r>
      <w:proofErr w:type="gramEnd"/>
      <w:r w:rsidRPr="00CA5F73">
        <w:rPr>
          <w:b w:val="0"/>
        </w:rPr>
        <w:t xml:space="preserve"> H.L., Hogan, C., &amp; Moss, A. (</w:t>
      </w:r>
      <w:r w:rsidR="00E15403">
        <w:rPr>
          <w:b w:val="0"/>
        </w:rPr>
        <w:t>2016</w:t>
      </w:r>
      <w:r w:rsidRPr="00CA5F73">
        <w:rPr>
          <w:b w:val="0"/>
        </w:rPr>
        <w:t xml:space="preserve">) Exploring the relationship between sexual compulsivity and attentional bias to sex-related words in a cohort of sexually active individuals. </w:t>
      </w:r>
      <w:r w:rsidRPr="00F219B2">
        <w:rPr>
          <w:b w:val="0"/>
          <w:i/>
        </w:rPr>
        <w:t>European Addiction Researc</w:t>
      </w:r>
      <w:r w:rsidRPr="00C5102B">
        <w:rPr>
          <w:b w:val="0"/>
        </w:rPr>
        <w:t>h</w:t>
      </w:r>
      <w:r w:rsidR="00E15403">
        <w:rPr>
          <w:b w:val="0"/>
        </w:rPr>
        <w:t>, 23, 1-6</w:t>
      </w:r>
      <w:r w:rsidRPr="00CA5F73">
        <w:rPr>
          <w:b w:val="0"/>
        </w:rPr>
        <w:t xml:space="preserve"> </w:t>
      </w:r>
    </w:p>
    <w:p w14:paraId="2864B7C0" w14:textId="0DBDB4D7" w:rsidR="00C5102B" w:rsidRDefault="00295F0E" w:rsidP="00FF265F">
      <w:pPr>
        <w:pStyle w:val="BodyText"/>
        <w:spacing w:line="480" w:lineRule="auto"/>
        <w:ind w:left="720" w:hanging="720"/>
        <w:rPr>
          <w:b w:val="0"/>
        </w:rPr>
      </w:pPr>
      <w:proofErr w:type="spellStart"/>
      <w:r w:rsidRPr="00C5102B">
        <w:rPr>
          <w:b w:val="0"/>
        </w:rPr>
        <w:t>Albery</w:t>
      </w:r>
      <w:proofErr w:type="spellEnd"/>
      <w:r w:rsidRPr="00C5102B">
        <w:rPr>
          <w:b w:val="0"/>
        </w:rPr>
        <w:t xml:space="preserve">, I. P., Collins, I., Moss, A. C., Frings, D., &amp; </w:t>
      </w:r>
      <w:proofErr w:type="spellStart"/>
      <w:r w:rsidRPr="00C5102B">
        <w:rPr>
          <w:b w:val="0"/>
        </w:rPr>
        <w:t>Spada</w:t>
      </w:r>
      <w:proofErr w:type="spellEnd"/>
      <w:r w:rsidRPr="00C5102B">
        <w:rPr>
          <w:b w:val="0"/>
        </w:rPr>
        <w:t>, M. M. (2015). Habit predicts in-the-moment alcohol consumption. </w:t>
      </w:r>
      <w:r w:rsidR="00F219B2">
        <w:rPr>
          <w:b w:val="0"/>
          <w:i/>
        </w:rPr>
        <w:t xml:space="preserve">Addictive </w:t>
      </w:r>
      <w:proofErr w:type="spellStart"/>
      <w:r w:rsidR="00F219B2">
        <w:rPr>
          <w:b w:val="0"/>
          <w:i/>
        </w:rPr>
        <w:t>B</w:t>
      </w:r>
      <w:r w:rsidRPr="00F219B2">
        <w:rPr>
          <w:b w:val="0"/>
          <w:i/>
        </w:rPr>
        <w:t>ehaviors</w:t>
      </w:r>
      <w:proofErr w:type="spellEnd"/>
      <w:r w:rsidRPr="00C5102B">
        <w:rPr>
          <w:b w:val="0"/>
        </w:rPr>
        <w:t>, 41, 78-80.</w:t>
      </w:r>
    </w:p>
    <w:p w14:paraId="3CC3E150" w14:textId="41CF57C0" w:rsidR="00C5102B" w:rsidRPr="00CA5F73" w:rsidRDefault="00C5102B" w:rsidP="00FF265F">
      <w:pPr>
        <w:pStyle w:val="BodyText"/>
        <w:spacing w:line="480" w:lineRule="auto"/>
        <w:ind w:left="720" w:hanging="720"/>
        <w:rPr>
          <w:b w:val="0"/>
        </w:rPr>
      </w:pPr>
      <w:proofErr w:type="spellStart"/>
      <w:r w:rsidRPr="00CA5F73">
        <w:rPr>
          <w:b w:val="0"/>
        </w:rPr>
        <w:t>Albery</w:t>
      </w:r>
      <w:proofErr w:type="spellEnd"/>
      <w:r w:rsidRPr="00CA5F73">
        <w:rPr>
          <w:b w:val="0"/>
        </w:rPr>
        <w:t>, I. P., Sharma, D., Noyce, S., Frings, D., &amp; Moss, A. C. (2015). Testing a frequency of exposure hypothesis in attentional bias for alcohol-related stimuli amongst social drinkers. </w:t>
      </w:r>
      <w:r w:rsidRPr="00F219B2">
        <w:rPr>
          <w:b w:val="0"/>
          <w:i/>
        </w:rPr>
        <w:t xml:space="preserve">Addictive </w:t>
      </w:r>
      <w:proofErr w:type="spellStart"/>
      <w:r w:rsidRPr="00F219B2">
        <w:rPr>
          <w:b w:val="0"/>
          <w:i/>
        </w:rPr>
        <w:t>Behaviors</w:t>
      </w:r>
      <w:proofErr w:type="spellEnd"/>
      <w:r w:rsidRPr="00F219B2">
        <w:rPr>
          <w:b w:val="0"/>
          <w:i/>
        </w:rPr>
        <w:t xml:space="preserve"> Reports</w:t>
      </w:r>
      <w:r>
        <w:rPr>
          <w:b w:val="0"/>
        </w:rPr>
        <w:t>, 1, 68-72.</w:t>
      </w:r>
    </w:p>
    <w:p w14:paraId="41A77FD2" w14:textId="77777777" w:rsidR="00C5102B" w:rsidRPr="00CA5F73" w:rsidRDefault="00C5102B" w:rsidP="00C34D53">
      <w:pPr>
        <w:pStyle w:val="BodyText"/>
        <w:spacing w:line="480" w:lineRule="auto"/>
        <w:ind w:left="720" w:hanging="720"/>
        <w:rPr>
          <w:b w:val="0"/>
        </w:rPr>
      </w:pPr>
      <w:r w:rsidRPr="00CA5F73">
        <w:rPr>
          <w:b w:val="0"/>
        </w:rPr>
        <w:t xml:space="preserve">Attwood, A. S., O'Sullivan, H., Leonards, U., Mackintosh, B., &amp; </w:t>
      </w:r>
      <w:proofErr w:type="spellStart"/>
      <w:r w:rsidRPr="00CA5F73">
        <w:rPr>
          <w:b w:val="0"/>
        </w:rPr>
        <w:t>Munafò</w:t>
      </w:r>
      <w:proofErr w:type="spellEnd"/>
      <w:r w:rsidRPr="00CA5F73">
        <w:rPr>
          <w:b w:val="0"/>
        </w:rPr>
        <w:t xml:space="preserve">, M. R. (2008). Attentional bias training and cue reactivity in cigarette smokers. </w:t>
      </w:r>
      <w:r w:rsidRPr="00F219B2">
        <w:rPr>
          <w:b w:val="0"/>
          <w:i/>
        </w:rPr>
        <w:t>Addiction</w:t>
      </w:r>
      <w:r w:rsidRPr="00CA5F73">
        <w:rPr>
          <w:b w:val="0"/>
        </w:rPr>
        <w:t>, 103(11), 1875-1882.</w:t>
      </w:r>
    </w:p>
    <w:p w14:paraId="5180A0C5" w14:textId="10B3579D" w:rsidR="00295F0E" w:rsidRDefault="00C5102B" w:rsidP="00FF265F">
      <w:pPr>
        <w:pStyle w:val="BodyText"/>
        <w:spacing w:line="480" w:lineRule="auto"/>
        <w:ind w:left="720" w:hanging="720"/>
        <w:rPr>
          <w:b w:val="0"/>
        </w:rPr>
      </w:pPr>
      <w:r w:rsidRPr="00CA5F73">
        <w:rPr>
          <w:b w:val="0"/>
        </w:rPr>
        <w:t>Bajaj, N., Mullen, D., &amp; Wylie, S. (2010). Dependence and psychosis with 4-methylmethcathinone (</w:t>
      </w:r>
      <w:proofErr w:type="spellStart"/>
      <w:r w:rsidRPr="00CA5F73">
        <w:rPr>
          <w:b w:val="0"/>
        </w:rPr>
        <w:t>mephedrone</w:t>
      </w:r>
      <w:proofErr w:type="spellEnd"/>
      <w:r w:rsidRPr="00CA5F73">
        <w:rPr>
          <w:b w:val="0"/>
        </w:rPr>
        <w:t>) use. </w:t>
      </w:r>
      <w:r w:rsidRPr="00FF265F">
        <w:rPr>
          <w:b w:val="0"/>
        </w:rPr>
        <w:t>BMJ Case Reports</w:t>
      </w:r>
      <w:r w:rsidRPr="00CA5F73">
        <w:rPr>
          <w:b w:val="0"/>
        </w:rPr>
        <w:t>, 2010, bcr0220102780.</w:t>
      </w:r>
    </w:p>
    <w:p w14:paraId="19117AF0" w14:textId="71F7C6ED" w:rsidR="00BD44E4" w:rsidRDefault="00324C33" w:rsidP="00FF265F">
      <w:pPr>
        <w:pStyle w:val="BodyText"/>
        <w:spacing w:line="480" w:lineRule="auto"/>
        <w:ind w:left="720" w:hanging="720"/>
        <w:rPr>
          <w:b w:val="0"/>
        </w:rPr>
      </w:pPr>
      <w:r w:rsidRPr="00F556C3">
        <w:rPr>
          <w:b w:val="0"/>
        </w:rPr>
        <w:t xml:space="preserve">Barnard, M., Russell, C., </w:t>
      </w:r>
      <w:proofErr w:type="spellStart"/>
      <w:r w:rsidRPr="00F556C3">
        <w:rPr>
          <w:b w:val="0"/>
        </w:rPr>
        <w:t>McKeganey</w:t>
      </w:r>
      <w:proofErr w:type="spellEnd"/>
      <w:r w:rsidRPr="00F556C3">
        <w:rPr>
          <w:b w:val="0"/>
        </w:rPr>
        <w:t>, N., &amp; Hamilton-Barclay, T. (</w:t>
      </w:r>
      <w:r w:rsidR="00716BD4">
        <w:rPr>
          <w:b w:val="0"/>
        </w:rPr>
        <w:t>2017</w:t>
      </w:r>
      <w:r w:rsidRPr="00F556C3">
        <w:rPr>
          <w:b w:val="0"/>
        </w:rPr>
        <w:t>). The highs and lows of NPS</w:t>
      </w:r>
      <w:proofErr w:type="gramStart"/>
      <w:r w:rsidRPr="00F556C3">
        <w:rPr>
          <w:b w:val="0"/>
        </w:rPr>
        <w:t>/“</w:t>
      </w:r>
      <w:proofErr w:type="gramEnd"/>
      <w:r w:rsidRPr="00F556C3">
        <w:rPr>
          <w:b w:val="0"/>
        </w:rPr>
        <w:t>Legal High” use: Qualitative views from a UK online survey. </w:t>
      </w:r>
      <w:r w:rsidRPr="00F556C3">
        <w:rPr>
          <w:b w:val="0"/>
          <w:i/>
          <w:iCs/>
        </w:rPr>
        <w:t>Drugs: Education, Prevention and Policy</w:t>
      </w:r>
      <w:r w:rsidR="00716BD4">
        <w:rPr>
          <w:b w:val="0"/>
          <w:iCs/>
        </w:rPr>
        <w:t>, 24(1), 96-102</w:t>
      </w:r>
      <w:r w:rsidRPr="00F556C3">
        <w:rPr>
          <w:b w:val="0"/>
        </w:rPr>
        <w:t>.</w:t>
      </w:r>
    </w:p>
    <w:p w14:paraId="1704957D" w14:textId="09473BE5" w:rsidR="006E4A7D" w:rsidRDefault="006E4A7D" w:rsidP="00FF265F">
      <w:pPr>
        <w:pStyle w:val="BodyText"/>
        <w:spacing w:line="480" w:lineRule="auto"/>
        <w:ind w:left="720" w:hanging="720"/>
        <w:rPr>
          <w:b w:val="0"/>
        </w:rPr>
      </w:pPr>
      <w:r w:rsidRPr="006E4A7D">
        <w:rPr>
          <w:b w:val="0"/>
        </w:rPr>
        <w:t xml:space="preserve">Bradley, B., Field, M., </w:t>
      </w:r>
      <w:proofErr w:type="spellStart"/>
      <w:r w:rsidRPr="006E4A7D">
        <w:rPr>
          <w:b w:val="0"/>
        </w:rPr>
        <w:t>Mogg</w:t>
      </w:r>
      <w:proofErr w:type="spellEnd"/>
      <w:r w:rsidRPr="006E4A7D">
        <w:rPr>
          <w:b w:val="0"/>
        </w:rPr>
        <w:t xml:space="preserve">, K., &amp; De </w:t>
      </w:r>
      <w:proofErr w:type="spellStart"/>
      <w:r w:rsidRPr="006E4A7D">
        <w:rPr>
          <w:b w:val="0"/>
        </w:rPr>
        <w:t>Houwer</w:t>
      </w:r>
      <w:proofErr w:type="spellEnd"/>
      <w:r w:rsidRPr="006E4A7D">
        <w:rPr>
          <w:b w:val="0"/>
        </w:rPr>
        <w:t xml:space="preserve">, J. (2004). Attentional and evaluative biases for smoking cues in nicotine dependence: component </w:t>
      </w:r>
      <w:r w:rsidRPr="006E4A7D">
        <w:rPr>
          <w:b w:val="0"/>
        </w:rPr>
        <w:lastRenderedPageBreak/>
        <w:t>processes of biases in</w:t>
      </w:r>
      <w:r>
        <w:rPr>
          <w:b w:val="0"/>
        </w:rPr>
        <w:t xml:space="preserve"> visual orienting. </w:t>
      </w:r>
      <w:r w:rsidRPr="00E335CB">
        <w:rPr>
          <w:b w:val="0"/>
          <w:i/>
        </w:rPr>
        <w:t>Behavioural Pharmacology</w:t>
      </w:r>
      <w:r w:rsidRPr="006E4A7D">
        <w:rPr>
          <w:b w:val="0"/>
        </w:rPr>
        <w:t>, 15(1), 29-36.</w:t>
      </w:r>
    </w:p>
    <w:p w14:paraId="516A90F6" w14:textId="488A8ABF" w:rsidR="00C5102B" w:rsidRDefault="00295F0E" w:rsidP="00FF265F">
      <w:pPr>
        <w:pStyle w:val="BodyText"/>
        <w:spacing w:line="480" w:lineRule="auto"/>
        <w:ind w:left="720" w:hanging="720"/>
        <w:rPr>
          <w:b w:val="0"/>
        </w:rPr>
      </w:pPr>
      <w:r w:rsidRPr="00C5102B">
        <w:rPr>
          <w:b w:val="0"/>
        </w:rPr>
        <w:t>Bruce, G., &amp; Jones, B. T. (2004). A pictorial Stroop paradigm reveals an alcohol attentional bias in heavier compared to lighter social drinkers. </w:t>
      </w:r>
      <w:r w:rsidRPr="00F219B2">
        <w:rPr>
          <w:b w:val="0"/>
          <w:i/>
        </w:rPr>
        <w:t>Journal of Psychopharmacology</w:t>
      </w:r>
      <w:r w:rsidRPr="00C5102B">
        <w:rPr>
          <w:b w:val="0"/>
        </w:rPr>
        <w:t>, 18(4), 527-533.</w:t>
      </w:r>
    </w:p>
    <w:p w14:paraId="69D5A50E" w14:textId="107A2E23" w:rsidR="00C5102B" w:rsidRDefault="00C5102B" w:rsidP="00716BD4">
      <w:pPr>
        <w:pStyle w:val="BodyText"/>
        <w:spacing w:line="480" w:lineRule="auto"/>
        <w:ind w:left="720" w:hanging="720"/>
        <w:rPr>
          <w:b w:val="0"/>
        </w:rPr>
      </w:pPr>
      <w:r w:rsidRPr="00CA5F73">
        <w:rPr>
          <w:b w:val="0"/>
        </w:rPr>
        <w:t xml:space="preserve">Cane, J. E., Sharma, D., &amp; </w:t>
      </w:r>
      <w:proofErr w:type="spellStart"/>
      <w:r w:rsidRPr="00CA5F73">
        <w:rPr>
          <w:b w:val="0"/>
        </w:rPr>
        <w:t>Albery</w:t>
      </w:r>
      <w:proofErr w:type="spellEnd"/>
      <w:r w:rsidRPr="00CA5F73">
        <w:rPr>
          <w:b w:val="0"/>
        </w:rPr>
        <w:t xml:space="preserve">, I. P. (2009). The addiction Stroop task: examining the fast and slow effects of smoking and marijuana-related cues. </w:t>
      </w:r>
      <w:r w:rsidRPr="00F219B2">
        <w:rPr>
          <w:b w:val="0"/>
          <w:i/>
        </w:rPr>
        <w:t>Journal of Psychopharmacology</w:t>
      </w:r>
      <w:r>
        <w:rPr>
          <w:b w:val="0"/>
        </w:rPr>
        <w:t>, 23(5), 510-519.</w:t>
      </w:r>
    </w:p>
    <w:p w14:paraId="1C18D619" w14:textId="3A48A7BE" w:rsidR="00C5102B" w:rsidRDefault="00C5102B" w:rsidP="00716BD4">
      <w:pPr>
        <w:pStyle w:val="BodyText"/>
        <w:spacing w:line="480" w:lineRule="auto"/>
        <w:ind w:left="720" w:hanging="720"/>
        <w:rPr>
          <w:b w:val="0"/>
        </w:rPr>
      </w:pPr>
      <w:r w:rsidRPr="00CA5F73">
        <w:rPr>
          <w:b w:val="0"/>
        </w:rPr>
        <w:t xml:space="preserve">Connors, G. J., O'Farrell, T. J., Cutter, H. S., &amp; Thompson, D. L. (1986). Alcohol expectancies among male alcoholics, problem drinkers, and </w:t>
      </w:r>
      <w:proofErr w:type="spellStart"/>
      <w:r w:rsidRPr="00CA5F73">
        <w:rPr>
          <w:b w:val="0"/>
        </w:rPr>
        <w:t>nonproblem</w:t>
      </w:r>
      <w:proofErr w:type="spellEnd"/>
      <w:r w:rsidRPr="00CA5F73">
        <w:rPr>
          <w:b w:val="0"/>
        </w:rPr>
        <w:t xml:space="preserve"> drinkers. </w:t>
      </w:r>
      <w:r w:rsidRPr="00C5102B">
        <w:rPr>
          <w:b w:val="0"/>
        </w:rPr>
        <w:t xml:space="preserve">Alcoholism: </w:t>
      </w:r>
      <w:r w:rsidRPr="00F219B2">
        <w:rPr>
          <w:b w:val="0"/>
          <w:i/>
        </w:rPr>
        <w:t>Clinical and Experimental Research</w:t>
      </w:r>
      <w:r w:rsidRPr="00CA5F73">
        <w:rPr>
          <w:b w:val="0"/>
        </w:rPr>
        <w:t>, 10(6), 667-671.</w:t>
      </w:r>
    </w:p>
    <w:p w14:paraId="73658E83" w14:textId="1057F240" w:rsidR="00C5102B" w:rsidRDefault="00C5102B" w:rsidP="00716BD4">
      <w:pPr>
        <w:pStyle w:val="BodyText"/>
        <w:spacing w:line="480" w:lineRule="auto"/>
        <w:ind w:left="720" w:hanging="720"/>
        <w:rPr>
          <w:b w:val="0"/>
        </w:rPr>
      </w:pPr>
      <w:r w:rsidRPr="00CA5F73">
        <w:rPr>
          <w:b w:val="0"/>
        </w:rPr>
        <w:t xml:space="preserve">Cox, W. M., Klinger, E., &amp; </w:t>
      </w:r>
      <w:proofErr w:type="spellStart"/>
      <w:r w:rsidRPr="00CA5F73">
        <w:rPr>
          <w:b w:val="0"/>
        </w:rPr>
        <w:t>Fadardi</w:t>
      </w:r>
      <w:proofErr w:type="spellEnd"/>
      <w:r w:rsidRPr="00CA5F73">
        <w:rPr>
          <w:b w:val="0"/>
        </w:rPr>
        <w:t xml:space="preserve">, J. S. (2015). The motivational basis of cognitive determinants of addictive </w:t>
      </w:r>
      <w:proofErr w:type="spellStart"/>
      <w:r w:rsidRPr="00CA5F73">
        <w:rPr>
          <w:b w:val="0"/>
        </w:rPr>
        <w:t>behaviors</w:t>
      </w:r>
      <w:proofErr w:type="spellEnd"/>
      <w:r w:rsidRPr="00CA5F73">
        <w:rPr>
          <w:b w:val="0"/>
        </w:rPr>
        <w:t>. </w:t>
      </w:r>
      <w:r w:rsidRPr="009721F7">
        <w:rPr>
          <w:b w:val="0"/>
          <w:i/>
        </w:rPr>
        <w:t xml:space="preserve">Addictive </w:t>
      </w:r>
      <w:proofErr w:type="spellStart"/>
      <w:r w:rsidRPr="009721F7">
        <w:rPr>
          <w:b w:val="0"/>
          <w:i/>
        </w:rPr>
        <w:t>Behaviors</w:t>
      </w:r>
      <w:proofErr w:type="spellEnd"/>
      <w:r>
        <w:rPr>
          <w:b w:val="0"/>
        </w:rPr>
        <w:t>, 44, 16-22.</w:t>
      </w:r>
    </w:p>
    <w:p w14:paraId="5192DA1E" w14:textId="18F54D01" w:rsidR="00295F0E" w:rsidRDefault="00C5102B" w:rsidP="00716BD4">
      <w:pPr>
        <w:pStyle w:val="BodyText"/>
        <w:spacing w:line="480" w:lineRule="auto"/>
        <w:ind w:left="720" w:hanging="720"/>
        <w:rPr>
          <w:b w:val="0"/>
        </w:rPr>
      </w:pPr>
      <w:r w:rsidRPr="0049352A">
        <w:rPr>
          <w:b w:val="0"/>
        </w:rPr>
        <w:t>European Monitoring Centre for Drugs and Drug Addiction. (2014). </w:t>
      </w:r>
      <w:r w:rsidRPr="009721F7">
        <w:rPr>
          <w:b w:val="0"/>
          <w:i/>
        </w:rPr>
        <w:t>European Drug Report 2014: Trends and Developments</w:t>
      </w:r>
      <w:r w:rsidRPr="0049352A">
        <w:rPr>
          <w:b w:val="0"/>
        </w:rPr>
        <w:t>.</w:t>
      </w:r>
    </w:p>
    <w:p w14:paraId="002C497E" w14:textId="77777777" w:rsidR="00716BD4" w:rsidRDefault="00295F0E" w:rsidP="00716BD4">
      <w:pPr>
        <w:pStyle w:val="BodyText"/>
        <w:spacing w:line="480" w:lineRule="auto"/>
        <w:ind w:left="720" w:hanging="720"/>
        <w:rPr>
          <w:b w:val="0"/>
        </w:rPr>
      </w:pPr>
      <w:r w:rsidRPr="00C5102B">
        <w:rPr>
          <w:b w:val="0"/>
        </w:rPr>
        <w:t xml:space="preserve">Field, M., &amp; Cox, W. M. (2008). Attentional bias in addictive </w:t>
      </w:r>
      <w:proofErr w:type="spellStart"/>
      <w:r w:rsidRPr="00C5102B">
        <w:rPr>
          <w:b w:val="0"/>
        </w:rPr>
        <w:t>behaviors</w:t>
      </w:r>
      <w:proofErr w:type="spellEnd"/>
      <w:r w:rsidRPr="00C5102B">
        <w:rPr>
          <w:b w:val="0"/>
        </w:rPr>
        <w:t>: a review of its development, causes, and consequences. </w:t>
      </w:r>
      <w:r w:rsidR="009721F7">
        <w:rPr>
          <w:b w:val="0"/>
          <w:i/>
        </w:rPr>
        <w:t>Drug and alcohol D</w:t>
      </w:r>
      <w:r w:rsidRPr="009721F7">
        <w:rPr>
          <w:b w:val="0"/>
          <w:i/>
        </w:rPr>
        <w:t>ependence</w:t>
      </w:r>
      <w:r w:rsidRPr="00C5102B">
        <w:rPr>
          <w:b w:val="0"/>
        </w:rPr>
        <w:t>, 97(1), 1-20.</w:t>
      </w:r>
    </w:p>
    <w:p w14:paraId="016C93A3" w14:textId="708BC41A" w:rsidR="00C5102B" w:rsidRDefault="00295F0E" w:rsidP="00716BD4">
      <w:pPr>
        <w:pStyle w:val="BodyText"/>
        <w:spacing w:line="480" w:lineRule="auto"/>
        <w:ind w:left="720" w:hanging="720"/>
        <w:rPr>
          <w:b w:val="0"/>
        </w:rPr>
      </w:pPr>
      <w:r w:rsidRPr="0077336E">
        <w:rPr>
          <w:b w:val="0"/>
        </w:rPr>
        <w:t xml:space="preserve">Field, M., Hogarth, L., </w:t>
      </w:r>
      <w:proofErr w:type="spellStart"/>
      <w:r w:rsidRPr="0077336E">
        <w:rPr>
          <w:b w:val="0"/>
        </w:rPr>
        <w:t>Bleasdale</w:t>
      </w:r>
      <w:proofErr w:type="spellEnd"/>
      <w:r w:rsidRPr="0077336E">
        <w:rPr>
          <w:b w:val="0"/>
        </w:rPr>
        <w:t xml:space="preserve">, D., Wright, P., </w:t>
      </w:r>
      <w:proofErr w:type="spellStart"/>
      <w:r w:rsidRPr="0077336E">
        <w:rPr>
          <w:b w:val="0"/>
        </w:rPr>
        <w:t>Fernie</w:t>
      </w:r>
      <w:proofErr w:type="spellEnd"/>
      <w:r w:rsidRPr="0077336E">
        <w:rPr>
          <w:b w:val="0"/>
        </w:rPr>
        <w:t>, G., &amp; Christiansen, P. (2011). Alcohol expectancy moderates attentional bias for alcohol cues in light drinkers. </w:t>
      </w:r>
      <w:r w:rsidRPr="009721F7">
        <w:rPr>
          <w:b w:val="0"/>
          <w:i/>
        </w:rPr>
        <w:t>Addiction</w:t>
      </w:r>
      <w:r w:rsidRPr="0077336E">
        <w:rPr>
          <w:b w:val="0"/>
        </w:rPr>
        <w:t>, 106(6), 1097-1103.</w:t>
      </w:r>
    </w:p>
    <w:p w14:paraId="6DE28634" w14:textId="3CEF1946" w:rsidR="00C5102B" w:rsidRDefault="00C5102B" w:rsidP="00716BD4">
      <w:pPr>
        <w:pStyle w:val="BodyText"/>
        <w:spacing w:line="480" w:lineRule="auto"/>
        <w:ind w:left="720" w:hanging="720"/>
        <w:rPr>
          <w:b w:val="0"/>
        </w:rPr>
      </w:pPr>
      <w:r w:rsidRPr="00CA5F73">
        <w:rPr>
          <w:b w:val="0"/>
        </w:rPr>
        <w:lastRenderedPageBreak/>
        <w:t xml:space="preserve">Field, M., </w:t>
      </w:r>
      <w:proofErr w:type="spellStart"/>
      <w:r w:rsidRPr="00CA5F73">
        <w:rPr>
          <w:b w:val="0"/>
        </w:rPr>
        <w:t>Munafò</w:t>
      </w:r>
      <w:proofErr w:type="spellEnd"/>
      <w:r w:rsidRPr="00CA5F73">
        <w:rPr>
          <w:b w:val="0"/>
        </w:rPr>
        <w:t>, M. R., &amp; Franken, I. H. (2009). A meta-analytic investigation of the relationship between attentional bias and subjective craving in substance abuse. </w:t>
      </w:r>
      <w:r w:rsidRPr="009721F7">
        <w:rPr>
          <w:b w:val="0"/>
          <w:i/>
        </w:rPr>
        <w:t>Psychological Bulletin</w:t>
      </w:r>
      <w:r>
        <w:rPr>
          <w:b w:val="0"/>
        </w:rPr>
        <w:t>, 135(4), 589-607.</w:t>
      </w:r>
    </w:p>
    <w:p w14:paraId="05612148" w14:textId="3BA967C6" w:rsidR="00295F0E" w:rsidRDefault="00C5102B" w:rsidP="00716BD4">
      <w:pPr>
        <w:pStyle w:val="BodyText"/>
        <w:spacing w:line="480" w:lineRule="auto"/>
        <w:ind w:left="720" w:hanging="720"/>
        <w:rPr>
          <w:b w:val="0"/>
        </w:rPr>
      </w:pPr>
      <w:r w:rsidRPr="00CA5F73">
        <w:rPr>
          <w:b w:val="0"/>
        </w:rPr>
        <w:t xml:space="preserve">Franken, I. H. (2003). Drug craving and addiction: integrating psychological and </w:t>
      </w:r>
      <w:proofErr w:type="spellStart"/>
      <w:r w:rsidRPr="00CA5F73">
        <w:rPr>
          <w:b w:val="0"/>
        </w:rPr>
        <w:t>neuropsychopharmacological</w:t>
      </w:r>
      <w:proofErr w:type="spellEnd"/>
      <w:r w:rsidRPr="00CA5F73">
        <w:rPr>
          <w:b w:val="0"/>
        </w:rPr>
        <w:t xml:space="preserve"> approaches. </w:t>
      </w:r>
      <w:r w:rsidRPr="009721F7">
        <w:rPr>
          <w:b w:val="0"/>
          <w:i/>
        </w:rPr>
        <w:t>Progress in Neuro-Psychopharmacology and Biological Psychiatry</w:t>
      </w:r>
      <w:r w:rsidRPr="00CA5F73">
        <w:rPr>
          <w:b w:val="0"/>
        </w:rPr>
        <w:t>, 27(4), 563-579.</w:t>
      </w:r>
    </w:p>
    <w:p w14:paraId="7AFB601E" w14:textId="35A7FEF5" w:rsidR="00C5102B" w:rsidRDefault="00295F0E" w:rsidP="00716BD4">
      <w:pPr>
        <w:pStyle w:val="BodyText"/>
        <w:spacing w:line="480" w:lineRule="auto"/>
        <w:ind w:left="720" w:hanging="720"/>
        <w:rPr>
          <w:b w:val="0"/>
        </w:rPr>
      </w:pPr>
      <w:proofErr w:type="spellStart"/>
      <w:r w:rsidRPr="00C5102B">
        <w:rPr>
          <w:b w:val="0"/>
        </w:rPr>
        <w:t>Frankland</w:t>
      </w:r>
      <w:proofErr w:type="spellEnd"/>
      <w:r w:rsidRPr="00C5102B">
        <w:rPr>
          <w:b w:val="0"/>
        </w:rPr>
        <w:t>, L., Brad</w:t>
      </w:r>
      <w:r w:rsidR="00716BD4">
        <w:rPr>
          <w:b w:val="0"/>
        </w:rPr>
        <w:t xml:space="preserve">ley, B. P., &amp; </w:t>
      </w:r>
      <w:proofErr w:type="spellStart"/>
      <w:r w:rsidR="00716BD4">
        <w:rPr>
          <w:b w:val="0"/>
        </w:rPr>
        <w:t>Mogg</w:t>
      </w:r>
      <w:proofErr w:type="spellEnd"/>
      <w:r w:rsidR="00716BD4">
        <w:rPr>
          <w:b w:val="0"/>
        </w:rPr>
        <w:t>, K. (2016</w:t>
      </w:r>
      <w:r w:rsidRPr="00C5102B">
        <w:rPr>
          <w:b w:val="0"/>
        </w:rPr>
        <w:t xml:space="preserve">). Time Course of Attentional Bias to Drug Cues in Opioid Dependence. </w:t>
      </w:r>
      <w:r w:rsidRPr="009721F7">
        <w:rPr>
          <w:b w:val="0"/>
          <w:i/>
        </w:rPr>
        <w:t xml:space="preserve">Psychology of Addictive </w:t>
      </w:r>
      <w:proofErr w:type="spellStart"/>
      <w:r w:rsidRPr="009721F7">
        <w:rPr>
          <w:b w:val="0"/>
          <w:i/>
        </w:rPr>
        <w:t>Behaviors</w:t>
      </w:r>
      <w:proofErr w:type="spellEnd"/>
      <w:r w:rsidR="00716BD4">
        <w:rPr>
          <w:b w:val="0"/>
        </w:rPr>
        <w:t>, 30(5), 601-606</w:t>
      </w:r>
      <w:r w:rsidRPr="00C5102B">
        <w:rPr>
          <w:b w:val="0"/>
        </w:rPr>
        <w:t>.</w:t>
      </w:r>
    </w:p>
    <w:p w14:paraId="4E1CBED9" w14:textId="08ECCA1C" w:rsidR="00C5102B" w:rsidRDefault="00C5102B" w:rsidP="00716BD4">
      <w:pPr>
        <w:pStyle w:val="BodyText"/>
        <w:spacing w:line="480" w:lineRule="auto"/>
        <w:ind w:left="720" w:hanging="720"/>
        <w:rPr>
          <w:b w:val="0"/>
        </w:rPr>
      </w:pPr>
      <w:r w:rsidRPr="00CA5F73">
        <w:rPr>
          <w:b w:val="0"/>
        </w:rPr>
        <w:t xml:space="preserve">Freeman, T. P., Morgan, C. J., </w:t>
      </w:r>
      <w:proofErr w:type="spellStart"/>
      <w:r w:rsidRPr="00CA5F73">
        <w:rPr>
          <w:b w:val="0"/>
        </w:rPr>
        <w:t>Vaugh</w:t>
      </w:r>
      <w:r w:rsidR="004005C6">
        <w:rPr>
          <w:b w:val="0"/>
        </w:rPr>
        <w:t>a</w:t>
      </w:r>
      <w:r w:rsidRPr="00CA5F73">
        <w:rPr>
          <w:b w:val="0"/>
        </w:rPr>
        <w:t>nJones</w:t>
      </w:r>
      <w:proofErr w:type="spellEnd"/>
      <w:r w:rsidRPr="00CA5F73">
        <w:rPr>
          <w:b w:val="0"/>
        </w:rPr>
        <w:t xml:space="preserve">, J., Hussain, N., </w:t>
      </w:r>
      <w:proofErr w:type="spellStart"/>
      <w:r w:rsidRPr="00CA5F73">
        <w:rPr>
          <w:b w:val="0"/>
        </w:rPr>
        <w:t>Karimi</w:t>
      </w:r>
      <w:proofErr w:type="spellEnd"/>
      <w:r w:rsidRPr="00CA5F73">
        <w:rPr>
          <w:b w:val="0"/>
        </w:rPr>
        <w:t xml:space="preserve">, K., &amp; Curran, H. V. (2012). Cognitive and subjective effects of </w:t>
      </w:r>
      <w:proofErr w:type="spellStart"/>
      <w:r w:rsidRPr="00CA5F73">
        <w:rPr>
          <w:b w:val="0"/>
        </w:rPr>
        <w:t>mephedrone</w:t>
      </w:r>
      <w:proofErr w:type="spellEnd"/>
      <w:r w:rsidRPr="00CA5F73">
        <w:rPr>
          <w:b w:val="0"/>
        </w:rPr>
        <w:t xml:space="preserve"> and factors influencing use of a ‘new legal high’. </w:t>
      </w:r>
      <w:r w:rsidRPr="009721F7">
        <w:rPr>
          <w:b w:val="0"/>
          <w:i/>
        </w:rPr>
        <w:t>Addiction</w:t>
      </w:r>
      <w:r w:rsidRPr="00CA5F73">
        <w:rPr>
          <w:b w:val="0"/>
        </w:rPr>
        <w:t>, 107(4), 792-800.</w:t>
      </w:r>
    </w:p>
    <w:p w14:paraId="05A389B4" w14:textId="7F12441F" w:rsidR="00C5102B" w:rsidRDefault="00C5102B" w:rsidP="00716BD4">
      <w:pPr>
        <w:pStyle w:val="BodyText"/>
        <w:spacing w:line="480" w:lineRule="auto"/>
        <w:ind w:left="720" w:hanging="720"/>
        <w:rPr>
          <w:b w:val="0"/>
        </w:rPr>
      </w:pPr>
      <w:r w:rsidRPr="00CA5F73">
        <w:rPr>
          <w:b w:val="0"/>
        </w:rPr>
        <w:t xml:space="preserve">Friedman, R. S., McCarthy, D. M., </w:t>
      </w:r>
      <w:proofErr w:type="spellStart"/>
      <w:r w:rsidRPr="00CA5F73">
        <w:rPr>
          <w:b w:val="0"/>
        </w:rPr>
        <w:t>Bartholow</w:t>
      </w:r>
      <w:proofErr w:type="spellEnd"/>
      <w:r w:rsidRPr="00CA5F73">
        <w:rPr>
          <w:b w:val="0"/>
        </w:rPr>
        <w:t xml:space="preserve">, B. D., &amp; Hicks, J. A. (2007). Interactive effects of alcohol outcome expectancies and alcohol cues on </w:t>
      </w:r>
      <w:proofErr w:type="spellStart"/>
      <w:r w:rsidRPr="00CA5F73">
        <w:rPr>
          <w:b w:val="0"/>
        </w:rPr>
        <w:t>nonconsumptive</w:t>
      </w:r>
      <w:proofErr w:type="spellEnd"/>
      <w:r w:rsidRPr="00CA5F73">
        <w:rPr>
          <w:b w:val="0"/>
        </w:rPr>
        <w:t xml:space="preserve"> </w:t>
      </w:r>
      <w:proofErr w:type="spellStart"/>
      <w:r w:rsidRPr="00CA5F73">
        <w:rPr>
          <w:b w:val="0"/>
        </w:rPr>
        <w:t>behavior</w:t>
      </w:r>
      <w:proofErr w:type="spellEnd"/>
      <w:r w:rsidRPr="00CA5F73">
        <w:rPr>
          <w:b w:val="0"/>
        </w:rPr>
        <w:t>. </w:t>
      </w:r>
      <w:r w:rsidRPr="009721F7">
        <w:rPr>
          <w:b w:val="0"/>
          <w:i/>
        </w:rPr>
        <w:t>Experimental and Clinical Psychopharmacology</w:t>
      </w:r>
      <w:r>
        <w:rPr>
          <w:b w:val="0"/>
        </w:rPr>
        <w:t>,</w:t>
      </w:r>
      <w:r w:rsidR="00D72108">
        <w:rPr>
          <w:b w:val="0"/>
        </w:rPr>
        <w:t xml:space="preserve"> </w:t>
      </w:r>
      <w:r>
        <w:rPr>
          <w:b w:val="0"/>
        </w:rPr>
        <w:t>15(1), 102.</w:t>
      </w:r>
    </w:p>
    <w:p w14:paraId="3C5D86D0" w14:textId="4FE80C9F" w:rsidR="00C5102B" w:rsidRDefault="00C5102B" w:rsidP="006F07E4">
      <w:pPr>
        <w:pStyle w:val="BodyText"/>
        <w:spacing w:line="480" w:lineRule="auto"/>
        <w:ind w:left="720" w:hanging="720"/>
        <w:rPr>
          <w:b w:val="0"/>
        </w:rPr>
      </w:pPr>
      <w:r w:rsidRPr="00AC21DE">
        <w:rPr>
          <w:b w:val="0"/>
        </w:rPr>
        <w:t xml:space="preserve">Goldman, M. S., Reich, R. R., &amp; Darkes, J. (2006). Expectancy as a unifying construct in alcohol-related cognition. In R.W. </w:t>
      </w:r>
      <w:proofErr w:type="spellStart"/>
      <w:r w:rsidRPr="00AC21DE">
        <w:rPr>
          <w:b w:val="0"/>
        </w:rPr>
        <w:t>Wiers</w:t>
      </w:r>
      <w:proofErr w:type="spellEnd"/>
      <w:r w:rsidRPr="00AC21DE">
        <w:rPr>
          <w:b w:val="0"/>
        </w:rPr>
        <w:t xml:space="preserve">, &amp; A.W. Stacy (Eds.), </w:t>
      </w:r>
      <w:r w:rsidRPr="009721F7">
        <w:rPr>
          <w:b w:val="0"/>
          <w:i/>
        </w:rPr>
        <w:t>Handbook of Implicit Cognition and Addiction</w:t>
      </w:r>
      <w:r w:rsidRPr="00AC21DE">
        <w:rPr>
          <w:b w:val="0"/>
        </w:rPr>
        <w:t xml:space="preserve"> (pp. 105-119). Thousand Oaks, CA: Sage </w:t>
      </w:r>
      <w:proofErr w:type="gramStart"/>
      <w:r w:rsidRPr="00AC21DE">
        <w:rPr>
          <w:b w:val="0"/>
        </w:rPr>
        <w:t>Publications</w:t>
      </w:r>
      <w:r w:rsidRPr="00C5102B">
        <w:rPr>
          <w:b w:val="0"/>
        </w:rPr>
        <w:t xml:space="preserve"> .</w:t>
      </w:r>
      <w:proofErr w:type="gramEnd"/>
    </w:p>
    <w:p w14:paraId="6D934F54" w14:textId="7ACC630D" w:rsidR="00C34D53" w:rsidRPr="00C5102B" w:rsidRDefault="00C5102B" w:rsidP="00716BD4">
      <w:pPr>
        <w:pStyle w:val="BodyText"/>
        <w:spacing w:line="480" w:lineRule="auto"/>
        <w:ind w:left="720" w:hanging="720"/>
        <w:rPr>
          <w:b w:val="0"/>
        </w:rPr>
      </w:pPr>
      <w:r w:rsidRPr="00CA5F73">
        <w:rPr>
          <w:b w:val="0"/>
        </w:rPr>
        <w:t xml:space="preserve">Janssen, T., Larsen, H., </w:t>
      </w:r>
      <w:proofErr w:type="spellStart"/>
      <w:r w:rsidRPr="00CA5F73">
        <w:rPr>
          <w:b w:val="0"/>
        </w:rPr>
        <w:t>Vollebergh</w:t>
      </w:r>
      <w:proofErr w:type="spellEnd"/>
      <w:r w:rsidRPr="00CA5F73">
        <w:rPr>
          <w:b w:val="0"/>
        </w:rPr>
        <w:t xml:space="preserve">, W. A., &amp; </w:t>
      </w:r>
      <w:proofErr w:type="spellStart"/>
      <w:r w:rsidRPr="00CA5F73">
        <w:rPr>
          <w:b w:val="0"/>
        </w:rPr>
        <w:t>Wiers</w:t>
      </w:r>
      <w:proofErr w:type="spellEnd"/>
      <w:r w:rsidRPr="00CA5F73">
        <w:rPr>
          <w:b w:val="0"/>
        </w:rPr>
        <w:t xml:space="preserve">, R. W. (2015). Longitudinal relations between cognitive bias and adolescent alcohol use. </w:t>
      </w:r>
      <w:r w:rsidRPr="009721F7">
        <w:rPr>
          <w:b w:val="0"/>
          <w:i/>
        </w:rPr>
        <w:t xml:space="preserve">Addictive </w:t>
      </w:r>
      <w:proofErr w:type="spellStart"/>
      <w:r w:rsidRPr="009721F7">
        <w:rPr>
          <w:b w:val="0"/>
          <w:i/>
        </w:rPr>
        <w:t>Behaviors</w:t>
      </w:r>
      <w:proofErr w:type="spellEnd"/>
      <w:r w:rsidR="00295F0E">
        <w:rPr>
          <w:b w:val="0"/>
        </w:rPr>
        <w:t>, 44, 51-57</w:t>
      </w:r>
      <w:r w:rsidR="00C34D53">
        <w:rPr>
          <w:b w:val="0"/>
        </w:rPr>
        <w:t>.</w:t>
      </w:r>
    </w:p>
    <w:p w14:paraId="7ABF6912" w14:textId="0E00EB6D" w:rsidR="00295F0E" w:rsidRDefault="00295F0E" w:rsidP="00716BD4">
      <w:pPr>
        <w:pStyle w:val="BodyText"/>
        <w:spacing w:line="480" w:lineRule="auto"/>
        <w:ind w:left="720" w:hanging="720"/>
        <w:rPr>
          <w:b w:val="0"/>
        </w:rPr>
      </w:pPr>
      <w:r w:rsidRPr="00C5102B">
        <w:rPr>
          <w:b w:val="0"/>
        </w:rPr>
        <w:lastRenderedPageBreak/>
        <w:t>Jones, B. T., Bruce, G., Livingstone, S., &amp; Reed, E. (2006). Alcohol-related attentional bias in problem drinkers with the flicker change blindness paradigm. </w:t>
      </w:r>
      <w:r w:rsidRPr="009721F7">
        <w:rPr>
          <w:b w:val="0"/>
          <w:i/>
        </w:rPr>
        <w:t xml:space="preserve">Psychology of Addictive </w:t>
      </w:r>
      <w:proofErr w:type="spellStart"/>
      <w:r w:rsidRPr="009721F7">
        <w:rPr>
          <w:b w:val="0"/>
          <w:i/>
        </w:rPr>
        <w:t>Behaviors</w:t>
      </w:r>
      <w:proofErr w:type="spellEnd"/>
      <w:r w:rsidRPr="00C5102B">
        <w:rPr>
          <w:b w:val="0"/>
        </w:rPr>
        <w:t>, 20(2), 171-177.</w:t>
      </w:r>
    </w:p>
    <w:p w14:paraId="4A99170C" w14:textId="54547842" w:rsidR="00C5102B" w:rsidRDefault="00295F0E" w:rsidP="00716BD4">
      <w:pPr>
        <w:pStyle w:val="BodyText"/>
        <w:spacing w:line="480" w:lineRule="auto"/>
        <w:ind w:left="720" w:hanging="720"/>
        <w:rPr>
          <w:b w:val="0"/>
        </w:rPr>
      </w:pPr>
      <w:r w:rsidRPr="00C5102B">
        <w:rPr>
          <w:b w:val="0"/>
        </w:rPr>
        <w:t xml:space="preserve">Jones, A., Hogarth, L., Christiansen, P., Rose, A. K., </w:t>
      </w:r>
      <w:proofErr w:type="spellStart"/>
      <w:r w:rsidRPr="00C5102B">
        <w:rPr>
          <w:b w:val="0"/>
        </w:rPr>
        <w:t>Martinovic</w:t>
      </w:r>
      <w:proofErr w:type="spellEnd"/>
      <w:r w:rsidRPr="00C5102B">
        <w:rPr>
          <w:b w:val="0"/>
        </w:rPr>
        <w:t>, J., &amp; Field, M. (2012). Reward expectancy promotes generalized increases in attentional bias for rewarding stimuli. </w:t>
      </w:r>
      <w:r w:rsidRPr="009721F7">
        <w:rPr>
          <w:b w:val="0"/>
          <w:i/>
        </w:rPr>
        <w:t>The Quarterly Journal of Experimental Psychology</w:t>
      </w:r>
      <w:r w:rsidRPr="00C5102B">
        <w:rPr>
          <w:b w:val="0"/>
        </w:rPr>
        <w:t>,</w:t>
      </w:r>
      <w:r w:rsidR="00D72108">
        <w:rPr>
          <w:b w:val="0"/>
        </w:rPr>
        <w:t xml:space="preserve"> </w:t>
      </w:r>
      <w:r w:rsidRPr="00C5102B">
        <w:rPr>
          <w:b w:val="0"/>
        </w:rPr>
        <w:t>65(12), 2333-2342.</w:t>
      </w:r>
    </w:p>
    <w:p w14:paraId="5B250B20" w14:textId="479656A4" w:rsidR="00295F0E" w:rsidRDefault="00CA5F73" w:rsidP="00716BD4">
      <w:pPr>
        <w:pStyle w:val="BodyText"/>
        <w:spacing w:line="480" w:lineRule="auto"/>
        <w:ind w:left="720" w:hanging="720"/>
        <w:rPr>
          <w:b w:val="0"/>
        </w:rPr>
      </w:pPr>
      <w:proofErr w:type="spellStart"/>
      <w:r w:rsidRPr="00CA5F73">
        <w:rPr>
          <w:b w:val="0"/>
        </w:rPr>
        <w:t>Karila</w:t>
      </w:r>
      <w:proofErr w:type="spellEnd"/>
      <w:r w:rsidRPr="00CA5F73">
        <w:rPr>
          <w:b w:val="0"/>
        </w:rPr>
        <w:t xml:space="preserve">, L., &amp; Reynaud, M. (2011). GHB and synthetic </w:t>
      </w:r>
      <w:proofErr w:type="spellStart"/>
      <w:r w:rsidRPr="00CA5F73">
        <w:rPr>
          <w:b w:val="0"/>
        </w:rPr>
        <w:t>cathinones</w:t>
      </w:r>
      <w:proofErr w:type="spellEnd"/>
      <w:r w:rsidRPr="00CA5F73">
        <w:rPr>
          <w:b w:val="0"/>
        </w:rPr>
        <w:t>: clinical effects and potential consequences. </w:t>
      </w:r>
      <w:r w:rsidRPr="009721F7">
        <w:rPr>
          <w:b w:val="0"/>
          <w:i/>
        </w:rPr>
        <w:t>Drug Testing and Analysis</w:t>
      </w:r>
      <w:r w:rsidRPr="00CA5F73">
        <w:rPr>
          <w:b w:val="0"/>
        </w:rPr>
        <w:t>, 3(9), 552-559.</w:t>
      </w:r>
    </w:p>
    <w:p w14:paraId="2C7103F5" w14:textId="6D86A32C" w:rsidR="00295F0E" w:rsidRDefault="00295F0E" w:rsidP="00716BD4">
      <w:pPr>
        <w:pStyle w:val="BodyText"/>
        <w:spacing w:line="480" w:lineRule="auto"/>
        <w:ind w:left="720" w:hanging="720"/>
        <w:rPr>
          <w:b w:val="0"/>
        </w:rPr>
      </w:pPr>
      <w:r w:rsidRPr="00C5102B">
        <w:rPr>
          <w:b w:val="0"/>
        </w:rPr>
        <w:t>Kramer, D. A., &amp; Goldman, M. S. (2003). Using a modified Stroop task to implicitly discern the cognitive organization of alcohol expectancies. </w:t>
      </w:r>
      <w:r w:rsidRPr="009721F7">
        <w:rPr>
          <w:b w:val="0"/>
          <w:i/>
        </w:rPr>
        <w:t>Journal of Abnormal Psychology</w:t>
      </w:r>
      <w:r w:rsidRPr="00C5102B">
        <w:rPr>
          <w:b w:val="0"/>
        </w:rPr>
        <w:t>, 112(1), 171-175.</w:t>
      </w:r>
    </w:p>
    <w:p w14:paraId="65AC7BBB" w14:textId="612EC7C4" w:rsidR="00295F0E" w:rsidRDefault="00295F0E" w:rsidP="00716BD4">
      <w:pPr>
        <w:pStyle w:val="BodyText"/>
        <w:spacing w:line="480" w:lineRule="auto"/>
        <w:ind w:left="720" w:hanging="720"/>
        <w:rPr>
          <w:b w:val="0"/>
        </w:rPr>
      </w:pPr>
      <w:proofErr w:type="spellStart"/>
      <w:r w:rsidRPr="00C5102B">
        <w:rPr>
          <w:b w:val="0"/>
        </w:rPr>
        <w:t>Kučera</w:t>
      </w:r>
      <w:proofErr w:type="spellEnd"/>
      <w:r w:rsidRPr="00C5102B">
        <w:rPr>
          <w:b w:val="0"/>
        </w:rPr>
        <w:t>, H., &amp; Francis, W. (</w:t>
      </w:r>
      <w:proofErr w:type="spellStart"/>
      <w:r w:rsidRPr="00C5102B">
        <w:rPr>
          <w:b w:val="0"/>
        </w:rPr>
        <w:t>Eds</w:t>
      </w:r>
      <w:proofErr w:type="spellEnd"/>
      <w:r w:rsidRPr="00C5102B">
        <w:rPr>
          <w:b w:val="0"/>
        </w:rPr>
        <w:t xml:space="preserve">) (1967) </w:t>
      </w:r>
      <w:r w:rsidRPr="009721F7">
        <w:rPr>
          <w:b w:val="0"/>
          <w:i/>
        </w:rPr>
        <w:t>Computational Analysis of Present-Day American English</w:t>
      </w:r>
      <w:r w:rsidRPr="00C5102B">
        <w:rPr>
          <w:b w:val="0"/>
        </w:rPr>
        <w:t xml:space="preserve">.  Providence, Brown University Press. </w:t>
      </w:r>
    </w:p>
    <w:p w14:paraId="7AAF4FB8" w14:textId="5AB2A2E9" w:rsidR="00295F0E" w:rsidRDefault="00295F0E" w:rsidP="00716BD4">
      <w:pPr>
        <w:pStyle w:val="BodyText"/>
        <w:spacing w:line="480" w:lineRule="auto"/>
        <w:ind w:left="720" w:hanging="720"/>
        <w:rPr>
          <w:b w:val="0"/>
        </w:rPr>
      </w:pPr>
      <w:r w:rsidRPr="00C5102B">
        <w:rPr>
          <w:b w:val="0"/>
        </w:rPr>
        <w:t xml:space="preserve">McCarthy, D. M., &amp; </w:t>
      </w:r>
      <w:proofErr w:type="spellStart"/>
      <w:r w:rsidRPr="00C5102B">
        <w:rPr>
          <w:b w:val="0"/>
        </w:rPr>
        <w:t>Thompsen</w:t>
      </w:r>
      <w:proofErr w:type="spellEnd"/>
      <w:r w:rsidRPr="00C5102B">
        <w:rPr>
          <w:b w:val="0"/>
        </w:rPr>
        <w:t>, D. M. (2006). Implicit and explicit measures of alcohol and smoking cognitions. </w:t>
      </w:r>
      <w:r w:rsidRPr="009721F7">
        <w:rPr>
          <w:b w:val="0"/>
          <w:i/>
        </w:rPr>
        <w:t xml:space="preserve">Psychology of Addictive </w:t>
      </w:r>
      <w:proofErr w:type="spellStart"/>
      <w:r w:rsidRPr="009721F7">
        <w:rPr>
          <w:b w:val="0"/>
          <w:i/>
        </w:rPr>
        <w:t>Behaviors</w:t>
      </w:r>
      <w:proofErr w:type="spellEnd"/>
      <w:r w:rsidRPr="00C5102B">
        <w:rPr>
          <w:b w:val="0"/>
        </w:rPr>
        <w:t>, 20(4), 436-444.</w:t>
      </w:r>
    </w:p>
    <w:p w14:paraId="2F3D1BA0" w14:textId="3E0557E0" w:rsidR="00CA5F73" w:rsidRPr="00CA5F73" w:rsidRDefault="00C5102B" w:rsidP="00177B16">
      <w:pPr>
        <w:pStyle w:val="BodyText"/>
        <w:spacing w:line="480" w:lineRule="auto"/>
        <w:ind w:left="720" w:hanging="720"/>
        <w:rPr>
          <w:b w:val="0"/>
        </w:rPr>
      </w:pPr>
      <w:proofErr w:type="spellStart"/>
      <w:r w:rsidRPr="00CA5F73">
        <w:rPr>
          <w:b w:val="0"/>
        </w:rPr>
        <w:t>McCambridge</w:t>
      </w:r>
      <w:proofErr w:type="spellEnd"/>
      <w:r w:rsidRPr="00CA5F73">
        <w:rPr>
          <w:b w:val="0"/>
        </w:rPr>
        <w:t xml:space="preserve">, J., </w:t>
      </w:r>
      <w:proofErr w:type="spellStart"/>
      <w:r w:rsidRPr="00CA5F73">
        <w:rPr>
          <w:b w:val="0"/>
        </w:rPr>
        <w:t>Winstock</w:t>
      </w:r>
      <w:proofErr w:type="spellEnd"/>
      <w:r w:rsidRPr="00CA5F73">
        <w:rPr>
          <w:b w:val="0"/>
        </w:rPr>
        <w:t xml:space="preserve">, A. R., </w:t>
      </w:r>
      <w:proofErr w:type="spellStart"/>
      <w:r w:rsidRPr="00CA5F73">
        <w:rPr>
          <w:b w:val="0"/>
        </w:rPr>
        <w:t>Mitcheson</w:t>
      </w:r>
      <w:proofErr w:type="spellEnd"/>
      <w:r w:rsidRPr="00CA5F73">
        <w:rPr>
          <w:b w:val="0"/>
        </w:rPr>
        <w:t>, L., &amp; Hunt, N. (2007). Five-year trends in patterns of hallucinogen use among people in dance contexts in the United Kingdom. </w:t>
      </w:r>
      <w:r w:rsidRPr="009721F7">
        <w:rPr>
          <w:b w:val="0"/>
          <w:i/>
        </w:rPr>
        <w:t>European Addiction Research</w:t>
      </w:r>
      <w:r w:rsidRPr="00CA5F73">
        <w:rPr>
          <w:b w:val="0"/>
        </w:rPr>
        <w:t>, 13, 57-64.</w:t>
      </w:r>
    </w:p>
    <w:p w14:paraId="4826CB65" w14:textId="1220B664" w:rsidR="00C5102B" w:rsidRDefault="00CA5F73" w:rsidP="00716BD4">
      <w:pPr>
        <w:pStyle w:val="BodyText"/>
        <w:spacing w:line="480" w:lineRule="auto"/>
        <w:ind w:left="720" w:hanging="720"/>
        <w:rPr>
          <w:b w:val="0"/>
        </w:rPr>
      </w:pPr>
      <w:r w:rsidRPr="00CA5F73">
        <w:rPr>
          <w:b w:val="0"/>
        </w:rPr>
        <w:t xml:space="preserve">McNabb, C., Russell, B., </w:t>
      </w:r>
      <w:proofErr w:type="spellStart"/>
      <w:r w:rsidRPr="00CA5F73">
        <w:rPr>
          <w:b w:val="0"/>
        </w:rPr>
        <w:t>Caprioli</w:t>
      </w:r>
      <w:proofErr w:type="spellEnd"/>
      <w:r w:rsidRPr="00CA5F73">
        <w:rPr>
          <w:b w:val="0"/>
        </w:rPr>
        <w:t xml:space="preserve">, D., Nutt, D., Gibbons, S., &amp; </w:t>
      </w:r>
      <w:proofErr w:type="spellStart"/>
      <w:r w:rsidRPr="00CA5F73">
        <w:rPr>
          <w:b w:val="0"/>
        </w:rPr>
        <w:t>Dalley</w:t>
      </w:r>
      <w:proofErr w:type="spellEnd"/>
      <w:r w:rsidRPr="00CA5F73">
        <w:rPr>
          <w:b w:val="0"/>
        </w:rPr>
        <w:t>, J. (2012). Single chemical entity legal highs: assessing the risk for long term harm. </w:t>
      </w:r>
      <w:r w:rsidRPr="009721F7">
        <w:rPr>
          <w:b w:val="0"/>
          <w:i/>
        </w:rPr>
        <w:t>Current Drug Abuse Reviews</w:t>
      </w:r>
      <w:r w:rsidRPr="00CA5F73">
        <w:rPr>
          <w:b w:val="0"/>
        </w:rPr>
        <w:t>, 5(4), 304-319.</w:t>
      </w:r>
    </w:p>
    <w:p w14:paraId="406E17BE" w14:textId="0F2F61F2" w:rsidR="00A21BDA" w:rsidRDefault="00A21BDA" w:rsidP="00716BD4">
      <w:pPr>
        <w:pStyle w:val="BodyText"/>
        <w:spacing w:line="480" w:lineRule="auto"/>
        <w:ind w:left="720" w:hanging="720"/>
        <w:rPr>
          <w:b w:val="0"/>
        </w:rPr>
      </w:pPr>
      <w:r w:rsidRPr="00A21BDA">
        <w:rPr>
          <w:b w:val="0"/>
        </w:rPr>
        <w:lastRenderedPageBreak/>
        <w:t>Marks, K. R., Roberts, W., Stoops, W. W., Pike, E., Fillmore, M. T., &amp; Rush, C. R. (2014). Fixation time is a sensitive measure of cocaine cue attentional bias. Addiction, 109(9), 1501-1508.</w:t>
      </w:r>
    </w:p>
    <w:p w14:paraId="6D884777" w14:textId="79752E39" w:rsidR="006F07E4" w:rsidRPr="00CA5F73" w:rsidRDefault="006F07E4" w:rsidP="00716BD4">
      <w:pPr>
        <w:pStyle w:val="BodyText"/>
        <w:spacing w:line="480" w:lineRule="auto"/>
        <w:ind w:left="720" w:hanging="720"/>
        <w:rPr>
          <w:b w:val="0"/>
        </w:rPr>
      </w:pPr>
      <w:r w:rsidRPr="006F07E4">
        <w:rPr>
          <w:b w:val="0"/>
        </w:rPr>
        <w:t xml:space="preserve">Marks, K. R., Pike, E., Stoops, W. W., &amp; Rush, C. R. (2015). The magnitude of drug attentional bias is specific to substance use disorder. </w:t>
      </w:r>
      <w:r w:rsidRPr="00E335CB">
        <w:rPr>
          <w:b w:val="0"/>
          <w:i/>
        </w:rPr>
        <w:t xml:space="preserve">Psychology of Addictive </w:t>
      </w:r>
      <w:proofErr w:type="spellStart"/>
      <w:r w:rsidRPr="00E335CB">
        <w:rPr>
          <w:b w:val="0"/>
          <w:i/>
        </w:rPr>
        <w:t>Behaviors</w:t>
      </w:r>
      <w:proofErr w:type="spellEnd"/>
      <w:r w:rsidRPr="006F07E4">
        <w:rPr>
          <w:b w:val="0"/>
        </w:rPr>
        <w:t>, 29(3), 690</w:t>
      </w:r>
      <w:r>
        <w:rPr>
          <w:b w:val="0"/>
        </w:rPr>
        <w:t>-695</w:t>
      </w:r>
      <w:r w:rsidRPr="006F07E4">
        <w:rPr>
          <w:b w:val="0"/>
        </w:rPr>
        <w:t>.</w:t>
      </w:r>
    </w:p>
    <w:p w14:paraId="591118B5" w14:textId="0C01C378" w:rsidR="00295F0E" w:rsidRDefault="00C5102B" w:rsidP="00716BD4">
      <w:pPr>
        <w:pStyle w:val="BodyText"/>
        <w:spacing w:line="480" w:lineRule="auto"/>
        <w:ind w:left="720" w:hanging="720"/>
        <w:rPr>
          <w:b w:val="0"/>
        </w:rPr>
      </w:pPr>
      <w:proofErr w:type="spellStart"/>
      <w:r w:rsidRPr="00CA5F73">
        <w:rPr>
          <w:b w:val="0"/>
        </w:rPr>
        <w:t>Measham</w:t>
      </w:r>
      <w:proofErr w:type="spellEnd"/>
      <w:r w:rsidRPr="00CA5F73">
        <w:rPr>
          <w:b w:val="0"/>
        </w:rPr>
        <w:t>, F., Wood, D. M., Dargan, P. I., &amp; Moore, K. (2011). The rise in legal highs: prevalence and patterns in the use of illegal drugs and first-and second-generation “legal highs” in South London gay dance clubs. </w:t>
      </w:r>
      <w:r w:rsidRPr="009721F7">
        <w:rPr>
          <w:b w:val="0"/>
          <w:i/>
        </w:rPr>
        <w:t>Journal of Substance Use,</w:t>
      </w:r>
      <w:r>
        <w:rPr>
          <w:b w:val="0"/>
        </w:rPr>
        <w:t> 16(4), 263-272.</w:t>
      </w:r>
    </w:p>
    <w:p w14:paraId="614951C5" w14:textId="3AB47B5B" w:rsidR="00C5102B" w:rsidRDefault="00295F0E" w:rsidP="00716BD4">
      <w:pPr>
        <w:pStyle w:val="BodyText"/>
        <w:spacing w:line="480" w:lineRule="auto"/>
        <w:ind w:left="720" w:hanging="720"/>
        <w:rPr>
          <w:b w:val="0"/>
        </w:rPr>
      </w:pPr>
      <w:r w:rsidRPr="00C5102B">
        <w:rPr>
          <w:b w:val="0"/>
        </w:rPr>
        <w:t>Monk, R. L., &amp; Heim, D. (2013). Environmental context effects on alcohol-related outcome expectancies, efficacy, and norms: a field study. </w:t>
      </w:r>
      <w:r w:rsidRPr="009721F7">
        <w:rPr>
          <w:b w:val="0"/>
          <w:i/>
        </w:rPr>
        <w:t xml:space="preserve">Psychology of Addictive </w:t>
      </w:r>
      <w:proofErr w:type="spellStart"/>
      <w:r w:rsidRPr="009721F7">
        <w:rPr>
          <w:b w:val="0"/>
          <w:i/>
        </w:rPr>
        <w:t>Behaviors</w:t>
      </w:r>
      <w:proofErr w:type="spellEnd"/>
      <w:r w:rsidRPr="00C5102B">
        <w:rPr>
          <w:b w:val="0"/>
        </w:rPr>
        <w:t>, 27(3), 814-818.</w:t>
      </w:r>
    </w:p>
    <w:p w14:paraId="39FD9528" w14:textId="38ED24B5" w:rsidR="00C5102B" w:rsidRDefault="00C5102B" w:rsidP="00716BD4">
      <w:pPr>
        <w:pStyle w:val="BodyText"/>
        <w:spacing w:line="480" w:lineRule="auto"/>
        <w:ind w:left="720" w:hanging="720"/>
        <w:rPr>
          <w:b w:val="0"/>
        </w:rPr>
      </w:pPr>
      <w:r w:rsidRPr="00CA5F73">
        <w:rPr>
          <w:b w:val="0"/>
        </w:rPr>
        <w:t xml:space="preserve">Moss, A. C., &amp; </w:t>
      </w:r>
      <w:proofErr w:type="spellStart"/>
      <w:r w:rsidRPr="00CA5F73">
        <w:rPr>
          <w:b w:val="0"/>
        </w:rPr>
        <w:t>Albery</w:t>
      </w:r>
      <w:proofErr w:type="spellEnd"/>
      <w:r w:rsidRPr="00CA5F73">
        <w:rPr>
          <w:b w:val="0"/>
        </w:rPr>
        <w:t>, I. P. (2009). A dual-process model of the alcohol–</w:t>
      </w:r>
      <w:proofErr w:type="spellStart"/>
      <w:r w:rsidRPr="00CA5F73">
        <w:rPr>
          <w:b w:val="0"/>
        </w:rPr>
        <w:t>behavior</w:t>
      </w:r>
      <w:proofErr w:type="spellEnd"/>
      <w:r w:rsidRPr="00CA5F73">
        <w:rPr>
          <w:b w:val="0"/>
        </w:rPr>
        <w:t xml:space="preserve"> link for social drinking. </w:t>
      </w:r>
      <w:r w:rsidRPr="009721F7">
        <w:rPr>
          <w:b w:val="0"/>
          <w:i/>
        </w:rPr>
        <w:t>Psychological Bulletin</w:t>
      </w:r>
      <w:r w:rsidRPr="00CA5F73">
        <w:rPr>
          <w:b w:val="0"/>
        </w:rPr>
        <w:t>, 135(4), 516</w:t>
      </w:r>
      <w:r>
        <w:rPr>
          <w:b w:val="0"/>
        </w:rPr>
        <w:t>-530.</w:t>
      </w:r>
    </w:p>
    <w:p w14:paraId="70BAAA67" w14:textId="6D7C6C82" w:rsidR="006E4A7D" w:rsidRDefault="006E4A7D" w:rsidP="00716BD4">
      <w:pPr>
        <w:pStyle w:val="BodyText"/>
        <w:spacing w:line="480" w:lineRule="auto"/>
        <w:ind w:left="720" w:hanging="720"/>
        <w:rPr>
          <w:b w:val="0"/>
        </w:rPr>
      </w:pPr>
      <w:proofErr w:type="spellStart"/>
      <w:r w:rsidRPr="006E4A7D">
        <w:rPr>
          <w:b w:val="0"/>
        </w:rPr>
        <w:t>Munafò</w:t>
      </w:r>
      <w:proofErr w:type="spellEnd"/>
      <w:r w:rsidRPr="006E4A7D">
        <w:rPr>
          <w:b w:val="0"/>
        </w:rPr>
        <w:t xml:space="preserve">, M., </w:t>
      </w:r>
      <w:proofErr w:type="spellStart"/>
      <w:r w:rsidRPr="006E4A7D">
        <w:rPr>
          <w:b w:val="0"/>
        </w:rPr>
        <w:t>Mogg</w:t>
      </w:r>
      <w:proofErr w:type="spellEnd"/>
      <w:r w:rsidRPr="006E4A7D">
        <w:rPr>
          <w:b w:val="0"/>
        </w:rPr>
        <w:t xml:space="preserve">, K., Roberts, S., Bradley, B. P., &amp; Murphy, M. (2003). Selective processing of smoking-related cues in current smokers, ex-smokers and never-smokers on the modified Stroop task. </w:t>
      </w:r>
      <w:r w:rsidRPr="00E335CB">
        <w:rPr>
          <w:b w:val="0"/>
          <w:i/>
        </w:rPr>
        <w:t>Journal of Psychopharmacology</w:t>
      </w:r>
      <w:r w:rsidRPr="006E4A7D">
        <w:rPr>
          <w:b w:val="0"/>
        </w:rPr>
        <w:t>, 17(3), 310-316.</w:t>
      </w:r>
    </w:p>
    <w:p w14:paraId="246CA239" w14:textId="7CA5F4A3" w:rsidR="00C5102B" w:rsidRDefault="00C5102B" w:rsidP="00716BD4">
      <w:pPr>
        <w:pStyle w:val="BodyText"/>
        <w:spacing w:line="480" w:lineRule="auto"/>
        <w:ind w:left="720" w:hanging="720"/>
        <w:rPr>
          <w:b w:val="0"/>
        </w:rPr>
      </w:pPr>
      <w:r w:rsidRPr="00CA5F73">
        <w:rPr>
          <w:b w:val="0"/>
        </w:rPr>
        <w:t xml:space="preserve">Ramsey, J., Dargan, P. I., </w:t>
      </w:r>
      <w:proofErr w:type="spellStart"/>
      <w:r w:rsidRPr="00CA5F73">
        <w:rPr>
          <w:b w:val="0"/>
        </w:rPr>
        <w:t>Smyllie</w:t>
      </w:r>
      <w:proofErr w:type="spellEnd"/>
      <w:r w:rsidRPr="00CA5F73">
        <w:rPr>
          <w:b w:val="0"/>
        </w:rPr>
        <w:t>, M., Davies, S., Button, J., Holt, D. W., &amp; Wood, D. M. (2010). Buying ‘</w:t>
      </w:r>
      <w:proofErr w:type="spellStart"/>
      <w:r w:rsidRPr="00CA5F73">
        <w:rPr>
          <w:b w:val="0"/>
        </w:rPr>
        <w:t>legal’recreational</w:t>
      </w:r>
      <w:proofErr w:type="spellEnd"/>
      <w:r w:rsidRPr="00CA5F73">
        <w:rPr>
          <w:b w:val="0"/>
        </w:rPr>
        <w:t xml:space="preserve"> drugs does not mean that you are not breaking the law. </w:t>
      </w:r>
      <w:r w:rsidRPr="009721F7">
        <w:rPr>
          <w:b w:val="0"/>
          <w:i/>
        </w:rPr>
        <w:t>QJM</w:t>
      </w:r>
      <w:r w:rsidRPr="00CA5F73">
        <w:rPr>
          <w:b w:val="0"/>
        </w:rPr>
        <w:t>, 103(10), 777-783.</w:t>
      </w:r>
    </w:p>
    <w:p w14:paraId="485121CB" w14:textId="05A71CF6" w:rsidR="00C5102B" w:rsidRDefault="00C5102B" w:rsidP="00716BD4">
      <w:pPr>
        <w:pStyle w:val="BodyText"/>
        <w:spacing w:line="480" w:lineRule="auto"/>
        <w:ind w:left="720" w:hanging="720"/>
        <w:rPr>
          <w:b w:val="0"/>
        </w:rPr>
      </w:pPr>
      <w:r w:rsidRPr="00CA5F73">
        <w:rPr>
          <w:b w:val="0"/>
        </w:rPr>
        <w:lastRenderedPageBreak/>
        <w:t>Reich, R. R., Below, M. C., &amp; Goldman, M. S. (2010). Explicit and implicit measures of expectancy and related alcohol cognitions: a meta-analytic comparison. </w:t>
      </w:r>
      <w:r w:rsidRPr="009721F7">
        <w:rPr>
          <w:b w:val="0"/>
          <w:i/>
        </w:rPr>
        <w:t xml:space="preserve">Psychology of Addictive </w:t>
      </w:r>
      <w:proofErr w:type="spellStart"/>
      <w:r w:rsidRPr="009721F7">
        <w:rPr>
          <w:b w:val="0"/>
          <w:i/>
        </w:rPr>
        <w:t>Behaviors</w:t>
      </w:r>
      <w:proofErr w:type="spellEnd"/>
      <w:r w:rsidRPr="00CA5F73">
        <w:rPr>
          <w:b w:val="0"/>
        </w:rPr>
        <w:t>, 24(1), 13</w:t>
      </w:r>
      <w:r>
        <w:rPr>
          <w:b w:val="0"/>
        </w:rPr>
        <w:t>-25</w:t>
      </w:r>
      <w:r w:rsidRPr="00CA5F73">
        <w:rPr>
          <w:b w:val="0"/>
        </w:rPr>
        <w:t>.</w:t>
      </w:r>
    </w:p>
    <w:p w14:paraId="303ADC69" w14:textId="770EB3B3" w:rsidR="00C5102B" w:rsidRDefault="00C5102B" w:rsidP="00716BD4">
      <w:pPr>
        <w:pStyle w:val="BodyText"/>
        <w:spacing w:line="480" w:lineRule="auto"/>
        <w:ind w:left="720" w:hanging="720"/>
        <w:rPr>
          <w:b w:val="0"/>
        </w:rPr>
      </w:pPr>
      <w:r w:rsidRPr="00CA5F73">
        <w:rPr>
          <w:b w:val="0"/>
        </w:rPr>
        <w:t>Reich, R. R., &amp; Goldman, M. S. (2015). Decision making about alcohol use: The case for scientific convergence. </w:t>
      </w:r>
      <w:r w:rsidRPr="009721F7">
        <w:rPr>
          <w:b w:val="0"/>
          <w:i/>
        </w:rPr>
        <w:t xml:space="preserve">Addictive </w:t>
      </w:r>
      <w:proofErr w:type="spellStart"/>
      <w:r w:rsidRPr="009721F7">
        <w:rPr>
          <w:b w:val="0"/>
          <w:i/>
        </w:rPr>
        <w:t>Behaviors</w:t>
      </w:r>
      <w:proofErr w:type="spellEnd"/>
      <w:r w:rsidRPr="00CA5F73">
        <w:rPr>
          <w:b w:val="0"/>
        </w:rPr>
        <w:t>, 44, 23-28.</w:t>
      </w:r>
    </w:p>
    <w:p w14:paraId="26479566" w14:textId="6E08EF49" w:rsidR="00295F0E" w:rsidRDefault="00C5102B" w:rsidP="00177B16">
      <w:pPr>
        <w:pStyle w:val="BodyText"/>
        <w:spacing w:line="480" w:lineRule="auto"/>
        <w:ind w:left="720" w:hanging="720"/>
        <w:rPr>
          <w:b w:val="0"/>
        </w:rPr>
      </w:pPr>
      <w:r w:rsidRPr="00CA5F73">
        <w:rPr>
          <w:b w:val="0"/>
        </w:rPr>
        <w:t xml:space="preserve">Robinson, T. E., &amp; </w:t>
      </w:r>
      <w:proofErr w:type="spellStart"/>
      <w:r w:rsidRPr="00CA5F73">
        <w:rPr>
          <w:b w:val="0"/>
        </w:rPr>
        <w:t>Berridge</w:t>
      </w:r>
      <w:proofErr w:type="spellEnd"/>
      <w:r w:rsidRPr="00CA5F73">
        <w:rPr>
          <w:b w:val="0"/>
        </w:rPr>
        <w:t>, K. C. (2001). Incentive-sensitization and addiction. </w:t>
      </w:r>
      <w:r w:rsidRPr="009721F7">
        <w:rPr>
          <w:b w:val="0"/>
          <w:i/>
        </w:rPr>
        <w:t>Addiction</w:t>
      </w:r>
      <w:r w:rsidRPr="00CA5F73">
        <w:rPr>
          <w:b w:val="0"/>
        </w:rPr>
        <w:t>, 96(1), 103-114.</w:t>
      </w:r>
    </w:p>
    <w:p w14:paraId="2F196E5F" w14:textId="0A10CBEC" w:rsidR="00C5102B" w:rsidRDefault="00295F0E" w:rsidP="00716BD4">
      <w:pPr>
        <w:pStyle w:val="BodyText"/>
        <w:spacing w:line="480" w:lineRule="auto"/>
        <w:ind w:left="720" w:hanging="720"/>
        <w:rPr>
          <w:b w:val="0"/>
        </w:rPr>
      </w:pPr>
      <w:proofErr w:type="spellStart"/>
      <w:r w:rsidRPr="00C5102B">
        <w:rPr>
          <w:b w:val="0"/>
        </w:rPr>
        <w:t>Roehrich</w:t>
      </w:r>
      <w:proofErr w:type="spellEnd"/>
      <w:r w:rsidRPr="00C5102B">
        <w:rPr>
          <w:b w:val="0"/>
        </w:rPr>
        <w:t xml:space="preserve">, L., &amp; Goldman, M. S. (1995). Implicit priming of alcohol expectancy memory processes and subsequent drinking </w:t>
      </w:r>
      <w:proofErr w:type="spellStart"/>
      <w:r w:rsidRPr="00C5102B">
        <w:rPr>
          <w:b w:val="0"/>
        </w:rPr>
        <w:t>behavior</w:t>
      </w:r>
      <w:proofErr w:type="spellEnd"/>
      <w:r w:rsidRPr="00C5102B">
        <w:rPr>
          <w:b w:val="0"/>
        </w:rPr>
        <w:t>. </w:t>
      </w:r>
      <w:r w:rsidRPr="009721F7">
        <w:rPr>
          <w:b w:val="0"/>
          <w:i/>
        </w:rPr>
        <w:t>Experimental and Clinical Psychopharmacology</w:t>
      </w:r>
      <w:r w:rsidRPr="00C5102B">
        <w:rPr>
          <w:b w:val="0"/>
        </w:rPr>
        <w:t>, 3(4), 402-410.</w:t>
      </w:r>
    </w:p>
    <w:p w14:paraId="4A1844C0" w14:textId="416BD3CF" w:rsidR="00C5102B" w:rsidRDefault="00C5102B" w:rsidP="00716BD4">
      <w:pPr>
        <w:pStyle w:val="BodyText"/>
        <w:spacing w:line="480" w:lineRule="auto"/>
        <w:ind w:left="720" w:hanging="720"/>
        <w:rPr>
          <w:b w:val="0"/>
        </w:rPr>
      </w:pPr>
      <w:r w:rsidRPr="00CA5F73">
        <w:rPr>
          <w:b w:val="0"/>
        </w:rPr>
        <w:t xml:space="preserve">Sharma, D., </w:t>
      </w:r>
      <w:proofErr w:type="spellStart"/>
      <w:r w:rsidRPr="00CA5F73">
        <w:rPr>
          <w:b w:val="0"/>
        </w:rPr>
        <w:t>Albery</w:t>
      </w:r>
      <w:proofErr w:type="spellEnd"/>
      <w:r w:rsidRPr="00CA5F73">
        <w:rPr>
          <w:b w:val="0"/>
        </w:rPr>
        <w:t xml:space="preserve">, I. P., &amp; Cook, C. (2001). Selective attentional bias to alcohol related stimuli in problem drinkers and </w:t>
      </w:r>
      <w:proofErr w:type="spellStart"/>
      <w:r w:rsidRPr="00CA5F73">
        <w:rPr>
          <w:b w:val="0"/>
        </w:rPr>
        <w:t>nonproblem</w:t>
      </w:r>
      <w:proofErr w:type="spellEnd"/>
      <w:r w:rsidRPr="00CA5F73">
        <w:rPr>
          <w:b w:val="0"/>
        </w:rPr>
        <w:t xml:space="preserve"> </w:t>
      </w:r>
      <w:proofErr w:type="spellStart"/>
      <w:proofErr w:type="gramStart"/>
      <w:r w:rsidRPr="00CA5F73">
        <w:rPr>
          <w:b w:val="0"/>
        </w:rPr>
        <w:t>drinkers.</w:t>
      </w:r>
      <w:r w:rsidRPr="009721F7">
        <w:rPr>
          <w:b w:val="0"/>
          <w:i/>
        </w:rPr>
        <w:t>Addiction</w:t>
      </w:r>
      <w:proofErr w:type="spellEnd"/>
      <w:proofErr w:type="gramEnd"/>
      <w:r w:rsidRPr="00CA5F73">
        <w:rPr>
          <w:b w:val="0"/>
        </w:rPr>
        <w:t>, 96(2), 285-295.</w:t>
      </w:r>
    </w:p>
    <w:p w14:paraId="79939FBB" w14:textId="60A97314" w:rsidR="00C5102B" w:rsidRDefault="00C5102B" w:rsidP="00716BD4">
      <w:pPr>
        <w:pStyle w:val="BodyText"/>
        <w:spacing w:line="480" w:lineRule="auto"/>
        <w:ind w:left="720" w:hanging="720"/>
        <w:rPr>
          <w:b w:val="0"/>
        </w:rPr>
      </w:pPr>
      <w:r w:rsidRPr="00CA5F73">
        <w:rPr>
          <w:b w:val="0"/>
        </w:rPr>
        <w:t xml:space="preserve">Sheeran, P., </w:t>
      </w:r>
      <w:proofErr w:type="spellStart"/>
      <w:r w:rsidRPr="00CA5F73">
        <w:rPr>
          <w:b w:val="0"/>
        </w:rPr>
        <w:t>Aarts</w:t>
      </w:r>
      <w:proofErr w:type="spellEnd"/>
      <w:r w:rsidRPr="00CA5F73">
        <w:rPr>
          <w:b w:val="0"/>
        </w:rPr>
        <w:t xml:space="preserve">, H., </w:t>
      </w:r>
      <w:proofErr w:type="spellStart"/>
      <w:r w:rsidRPr="00CA5F73">
        <w:rPr>
          <w:b w:val="0"/>
        </w:rPr>
        <w:t>Custers</w:t>
      </w:r>
      <w:proofErr w:type="spellEnd"/>
      <w:r w:rsidRPr="00CA5F73">
        <w:rPr>
          <w:b w:val="0"/>
        </w:rPr>
        <w:t xml:space="preserve">, R., </w:t>
      </w:r>
      <w:proofErr w:type="spellStart"/>
      <w:r w:rsidRPr="00CA5F73">
        <w:rPr>
          <w:b w:val="0"/>
        </w:rPr>
        <w:t>Rivis</w:t>
      </w:r>
      <w:proofErr w:type="spellEnd"/>
      <w:r w:rsidRPr="00CA5F73">
        <w:rPr>
          <w:b w:val="0"/>
        </w:rPr>
        <w:t>, A., Webb, T. L., &amp; Cooke, R. (2005). The goal</w:t>
      </w:r>
      <w:r w:rsidR="004005C6">
        <w:rPr>
          <w:b w:val="0"/>
        </w:rPr>
        <w:t>-</w:t>
      </w:r>
      <w:r w:rsidRPr="00CA5F73">
        <w:rPr>
          <w:b w:val="0"/>
        </w:rPr>
        <w:t>dependent automaticity of drinking habits. </w:t>
      </w:r>
      <w:r w:rsidRPr="009721F7">
        <w:rPr>
          <w:b w:val="0"/>
          <w:i/>
        </w:rPr>
        <w:t>British Journal of Social Psychology</w:t>
      </w:r>
      <w:r w:rsidRPr="00CA5F73">
        <w:rPr>
          <w:b w:val="0"/>
        </w:rPr>
        <w:t>, 44(1), 47-63.</w:t>
      </w:r>
    </w:p>
    <w:p w14:paraId="22FCCBE5" w14:textId="5FB0C006" w:rsidR="00295F0E" w:rsidRDefault="00C5102B" w:rsidP="00716BD4">
      <w:pPr>
        <w:pStyle w:val="BodyText"/>
        <w:spacing w:line="480" w:lineRule="auto"/>
        <w:ind w:left="720" w:hanging="720"/>
        <w:rPr>
          <w:b w:val="0"/>
        </w:rPr>
      </w:pPr>
      <w:r w:rsidRPr="00CA5F73">
        <w:rPr>
          <w:b w:val="0"/>
        </w:rPr>
        <w:t>Sheridan, J., &amp; Butler, R. (2010). “They’re legal so they’re safe, right?” What did the legal status of BZP-party pills mean to young people in New Zealand? </w:t>
      </w:r>
      <w:r w:rsidRPr="009721F7">
        <w:rPr>
          <w:b w:val="0"/>
          <w:i/>
        </w:rPr>
        <w:t>International Journal of Drug Policy</w:t>
      </w:r>
      <w:r w:rsidRPr="00CA5F73">
        <w:rPr>
          <w:b w:val="0"/>
        </w:rPr>
        <w:t>, 21(1), 77-81.</w:t>
      </w:r>
    </w:p>
    <w:p w14:paraId="06721A2F" w14:textId="1AC38664" w:rsidR="00C5102B" w:rsidRDefault="00295F0E" w:rsidP="00716BD4">
      <w:pPr>
        <w:pStyle w:val="BodyText"/>
        <w:spacing w:line="480" w:lineRule="auto"/>
        <w:ind w:left="720" w:hanging="720"/>
        <w:rPr>
          <w:b w:val="0"/>
        </w:rPr>
      </w:pPr>
      <w:r w:rsidRPr="00C5102B">
        <w:rPr>
          <w:b w:val="0"/>
        </w:rPr>
        <w:t>Skinner, H. A. (1982). The drug abuse screening test. </w:t>
      </w:r>
      <w:r w:rsidRPr="009721F7">
        <w:rPr>
          <w:b w:val="0"/>
          <w:i/>
        </w:rPr>
        <w:t xml:space="preserve">Addictive </w:t>
      </w:r>
      <w:proofErr w:type="spellStart"/>
      <w:r w:rsidRPr="009721F7">
        <w:rPr>
          <w:b w:val="0"/>
          <w:i/>
        </w:rPr>
        <w:t>behaviors</w:t>
      </w:r>
      <w:proofErr w:type="spellEnd"/>
      <w:r w:rsidRPr="00C5102B">
        <w:rPr>
          <w:b w:val="0"/>
        </w:rPr>
        <w:t>,</w:t>
      </w:r>
      <w:r w:rsidR="00D72108">
        <w:rPr>
          <w:b w:val="0"/>
        </w:rPr>
        <w:t xml:space="preserve"> </w:t>
      </w:r>
      <w:r w:rsidRPr="00C5102B">
        <w:rPr>
          <w:b w:val="0"/>
        </w:rPr>
        <w:t>7(4), 363-371.</w:t>
      </w:r>
    </w:p>
    <w:p w14:paraId="116D0CDB" w14:textId="5A07667F" w:rsidR="00295F0E" w:rsidRDefault="00C5102B" w:rsidP="00716BD4">
      <w:pPr>
        <w:pStyle w:val="BodyText"/>
        <w:spacing w:line="480" w:lineRule="auto"/>
        <w:ind w:left="720" w:hanging="720"/>
        <w:rPr>
          <w:b w:val="0"/>
        </w:rPr>
      </w:pPr>
      <w:r w:rsidRPr="00CA5F73">
        <w:rPr>
          <w:b w:val="0"/>
        </w:rPr>
        <w:t xml:space="preserve">Spiller, H. A., Ryan, M. L., Weston, R. G., &amp; Jansen, J. (2011). Clinical experience with and analytical confirmation of “bath salts” and “legal </w:t>
      </w:r>
      <w:proofErr w:type="gramStart"/>
      <w:r w:rsidRPr="00CA5F73">
        <w:rPr>
          <w:b w:val="0"/>
        </w:rPr>
        <w:t>highs”(</w:t>
      </w:r>
      <w:proofErr w:type="gramEnd"/>
      <w:r w:rsidRPr="00CA5F73">
        <w:rPr>
          <w:b w:val="0"/>
        </w:rPr>
        <w:t xml:space="preserve">synthetic </w:t>
      </w:r>
      <w:proofErr w:type="spellStart"/>
      <w:r w:rsidRPr="00CA5F73">
        <w:rPr>
          <w:b w:val="0"/>
        </w:rPr>
        <w:t>cathinones</w:t>
      </w:r>
      <w:proofErr w:type="spellEnd"/>
      <w:r w:rsidRPr="00CA5F73">
        <w:rPr>
          <w:b w:val="0"/>
        </w:rPr>
        <w:t>) in the United States. </w:t>
      </w:r>
      <w:r w:rsidRPr="009721F7">
        <w:rPr>
          <w:b w:val="0"/>
          <w:i/>
        </w:rPr>
        <w:t>Clinical Toxicology</w:t>
      </w:r>
      <w:r>
        <w:rPr>
          <w:b w:val="0"/>
        </w:rPr>
        <w:t>, 49(6), 499-505.</w:t>
      </w:r>
    </w:p>
    <w:p w14:paraId="624E36BD" w14:textId="68F3EA81" w:rsidR="00CA5F73" w:rsidRPr="00CA5F73" w:rsidRDefault="00295F0E" w:rsidP="00716BD4">
      <w:pPr>
        <w:pStyle w:val="BodyText"/>
        <w:spacing w:line="480" w:lineRule="auto"/>
        <w:ind w:left="720" w:hanging="720"/>
        <w:rPr>
          <w:b w:val="0"/>
        </w:rPr>
      </w:pPr>
      <w:r w:rsidRPr="00CA5F73">
        <w:rPr>
          <w:b w:val="0"/>
        </w:rPr>
        <w:lastRenderedPageBreak/>
        <w:t xml:space="preserve">Stacy, A. W., &amp; </w:t>
      </w:r>
      <w:proofErr w:type="spellStart"/>
      <w:r w:rsidRPr="00CA5F73">
        <w:rPr>
          <w:b w:val="0"/>
        </w:rPr>
        <w:t>Wiers</w:t>
      </w:r>
      <w:proofErr w:type="spellEnd"/>
      <w:r w:rsidRPr="00CA5F73">
        <w:rPr>
          <w:b w:val="0"/>
        </w:rPr>
        <w:t xml:space="preserve">, R. W. (2010). Implicit cognition and addiction: a tool for explaining paradoxical </w:t>
      </w:r>
      <w:proofErr w:type="spellStart"/>
      <w:r w:rsidRPr="00CA5F73">
        <w:rPr>
          <w:b w:val="0"/>
        </w:rPr>
        <w:t>behavior</w:t>
      </w:r>
      <w:proofErr w:type="spellEnd"/>
      <w:r w:rsidRPr="00CA5F73">
        <w:rPr>
          <w:b w:val="0"/>
        </w:rPr>
        <w:t>. </w:t>
      </w:r>
      <w:r w:rsidRPr="009721F7">
        <w:rPr>
          <w:b w:val="0"/>
          <w:i/>
        </w:rPr>
        <w:t>Annual Review of Clinical Psychology</w:t>
      </w:r>
      <w:r>
        <w:rPr>
          <w:b w:val="0"/>
        </w:rPr>
        <w:t>, 6, 551.</w:t>
      </w:r>
    </w:p>
    <w:p w14:paraId="50EB53BE" w14:textId="67D0A539" w:rsidR="00CA5F73" w:rsidRPr="00CA5F73" w:rsidRDefault="00CA5F73" w:rsidP="00177B16">
      <w:pPr>
        <w:pStyle w:val="BodyText"/>
        <w:spacing w:line="480" w:lineRule="auto"/>
        <w:ind w:left="720" w:hanging="720"/>
        <w:rPr>
          <w:b w:val="0"/>
        </w:rPr>
      </w:pPr>
      <w:r w:rsidRPr="00CA5F73">
        <w:rPr>
          <w:b w:val="0"/>
        </w:rPr>
        <w:t xml:space="preserve">Van </w:t>
      </w:r>
      <w:proofErr w:type="spellStart"/>
      <w:r w:rsidRPr="00CA5F73">
        <w:rPr>
          <w:b w:val="0"/>
        </w:rPr>
        <w:t>Hout</w:t>
      </w:r>
      <w:proofErr w:type="spellEnd"/>
      <w:r w:rsidRPr="00CA5F73">
        <w:rPr>
          <w:b w:val="0"/>
        </w:rPr>
        <w:t xml:space="preserve">, M. C., &amp; Brennan, R. (2011). Plant food for thought: A qualitative study of </w:t>
      </w:r>
      <w:proofErr w:type="spellStart"/>
      <w:r w:rsidRPr="00CA5F73">
        <w:rPr>
          <w:b w:val="0"/>
        </w:rPr>
        <w:t>mephedrone</w:t>
      </w:r>
      <w:proofErr w:type="spellEnd"/>
      <w:r w:rsidRPr="00CA5F73">
        <w:rPr>
          <w:b w:val="0"/>
        </w:rPr>
        <w:t xml:space="preserve"> use in Ireland. </w:t>
      </w:r>
      <w:r w:rsidR="0077336E" w:rsidRPr="009721F7">
        <w:rPr>
          <w:b w:val="0"/>
          <w:i/>
        </w:rPr>
        <w:t>Drugs: Education, Prevention and P</w:t>
      </w:r>
      <w:r w:rsidRPr="009721F7">
        <w:rPr>
          <w:b w:val="0"/>
          <w:i/>
        </w:rPr>
        <w:t>olicy</w:t>
      </w:r>
      <w:r w:rsidRPr="00CA5F73">
        <w:rPr>
          <w:b w:val="0"/>
        </w:rPr>
        <w:t>,</w:t>
      </w:r>
      <w:r w:rsidR="00D72108">
        <w:rPr>
          <w:b w:val="0"/>
        </w:rPr>
        <w:t xml:space="preserve"> </w:t>
      </w:r>
      <w:r w:rsidRPr="00CA5F73">
        <w:rPr>
          <w:b w:val="0"/>
        </w:rPr>
        <w:t>18(5), 371-381.</w:t>
      </w:r>
    </w:p>
    <w:p w14:paraId="4FDA88C3" w14:textId="707844EE" w:rsidR="00295F0E" w:rsidRDefault="00CA5F73" w:rsidP="00716BD4">
      <w:pPr>
        <w:pStyle w:val="BodyText"/>
        <w:spacing w:line="480" w:lineRule="auto"/>
        <w:ind w:left="720" w:hanging="720"/>
        <w:rPr>
          <w:b w:val="0"/>
        </w:rPr>
      </w:pPr>
      <w:r w:rsidRPr="00CA5F73">
        <w:rPr>
          <w:b w:val="0"/>
        </w:rPr>
        <w:t xml:space="preserve">Van </w:t>
      </w:r>
      <w:proofErr w:type="spellStart"/>
      <w:r w:rsidRPr="00CA5F73">
        <w:rPr>
          <w:b w:val="0"/>
        </w:rPr>
        <w:t>Hout</w:t>
      </w:r>
      <w:proofErr w:type="spellEnd"/>
      <w:r w:rsidRPr="00CA5F73">
        <w:rPr>
          <w:b w:val="0"/>
        </w:rPr>
        <w:t xml:space="preserve">, M. C., &amp; Brennan, R. (2012). Curiosity killed M-Cat: A post-legislative study on </w:t>
      </w:r>
      <w:proofErr w:type="spellStart"/>
      <w:r w:rsidRPr="00CA5F73">
        <w:rPr>
          <w:b w:val="0"/>
        </w:rPr>
        <w:t>mephedrone</w:t>
      </w:r>
      <w:proofErr w:type="spellEnd"/>
      <w:r w:rsidRPr="00CA5F73">
        <w:rPr>
          <w:b w:val="0"/>
        </w:rPr>
        <w:t xml:space="preserve"> use in Ireland. </w:t>
      </w:r>
      <w:r w:rsidR="0077336E" w:rsidRPr="009721F7">
        <w:rPr>
          <w:b w:val="0"/>
          <w:i/>
        </w:rPr>
        <w:t>Drugs: Education, Prevention and P</w:t>
      </w:r>
      <w:r w:rsidRPr="009721F7">
        <w:rPr>
          <w:b w:val="0"/>
          <w:i/>
        </w:rPr>
        <w:t>olicy</w:t>
      </w:r>
      <w:r w:rsidR="00295F0E">
        <w:rPr>
          <w:b w:val="0"/>
        </w:rPr>
        <w:t>, 19(2), 156-162.</w:t>
      </w:r>
    </w:p>
    <w:p w14:paraId="3C5F911F" w14:textId="50F95825" w:rsidR="00295F0E" w:rsidRDefault="00295F0E" w:rsidP="00716BD4">
      <w:pPr>
        <w:pStyle w:val="BodyText"/>
        <w:spacing w:line="480" w:lineRule="auto"/>
        <w:ind w:left="720" w:hanging="720"/>
        <w:rPr>
          <w:b w:val="0"/>
        </w:rPr>
      </w:pPr>
      <w:r w:rsidRPr="00C5102B">
        <w:rPr>
          <w:b w:val="0"/>
        </w:rPr>
        <w:t xml:space="preserve">Waters, A. J., </w:t>
      </w:r>
      <w:proofErr w:type="spellStart"/>
      <w:r w:rsidRPr="00C5102B">
        <w:rPr>
          <w:b w:val="0"/>
        </w:rPr>
        <w:t>Shiffman</w:t>
      </w:r>
      <w:proofErr w:type="spellEnd"/>
      <w:r w:rsidRPr="00C5102B">
        <w:rPr>
          <w:b w:val="0"/>
        </w:rPr>
        <w:t xml:space="preserve">, S., </w:t>
      </w:r>
      <w:proofErr w:type="spellStart"/>
      <w:r w:rsidRPr="00C5102B">
        <w:rPr>
          <w:b w:val="0"/>
        </w:rPr>
        <w:t>Sayette</w:t>
      </w:r>
      <w:proofErr w:type="spellEnd"/>
      <w:r w:rsidRPr="00C5102B">
        <w:rPr>
          <w:b w:val="0"/>
        </w:rPr>
        <w:t xml:space="preserve">, M. A., </w:t>
      </w:r>
      <w:proofErr w:type="spellStart"/>
      <w:r w:rsidRPr="00C5102B">
        <w:rPr>
          <w:b w:val="0"/>
        </w:rPr>
        <w:t>Paty</w:t>
      </w:r>
      <w:proofErr w:type="spellEnd"/>
      <w:r w:rsidRPr="00C5102B">
        <w:rPr>
          <w:b w:val="0"/>
        </w:rPr>
        <w:t xml:space="preserve">, J. A., </w:t>
      </w:r>
      <w:proofErr w:type="spellStart"/>
      <w:r w:rsidRPr="00C5102B">
        <w:rPr>
          <w:b w:val="0"/>
        </w:rPr>
        <w:t>Gwaltney</w:t>
      </w:r>
      <w:proofErr w:type="spellEnd"/>
      <w:r w:rsidRPr="00C5102B">
        <w:rPr>
          <w:b w:val="0"/>
        </w:rPr>
        <w:t xml:space="preserve">, C. J., &amp; </w:t>
      </w:r>
      <w:proofErr w:type="spellStart"/>
      <w:r w:rsidRPr="00C5102B">
        <w:rPr>
          <w:b w:val="0"/>
        </w:rPr>
        <w:t>Balabanis</w:t>
      </w:r>
      <w:proofErr w:type="spellEnd"/>
      <w:r w:rsidRPr="00C5102B">
        <w:rPr>
          <w:b w:val="0"/>
        </w:rPr>
        <w:t>, M. H. (2003). Attentional bias predicts outcome in smoking cessation. </w:t>
      </w:r>
      <w:r w:rsidRPr="009721F7">
        <w:rPr>
          <w:b w:val="0"/>
          <w:i/>
        </w:rPr>
        <w:t>Health Psychology</w:t>
      </w:r>
      <w:r w:rsidRPr="00C5102B">
        <w:rPr>
          <w:b w:val="0"/>
        </w:rPr>
        <w:t>, 22(4), 378-387.</w:t>
      </w:r>
    </w:p>
    <w:p w14:paraId="2B2E0C35" w14:textId="08B75CAF" w:rsidR="00C5102B" w:rsidRDefault="00295F0E" w:rsidP="00716BD4">
      <w:pPr>
        <w:pStyle w:val="BodyText"/>
        <w:spacing w:line="480" w:lineRule="auto"/>
        <w:ind w:left="720" w:hanging="720"/>
        <w:rPr>
          <w:b w:val="0"/>
        </w:rPr>
      </w:pPr>
      <w:proofErr w:type="spellStart"/>
      <w:r w:rsidRPr="00C5102B">
        <w:rPr>
          <w:b w:val="0"/>
        </w:rPr>
        <w:t>Wiers</w:t>
      </w:r>
      <w:proofErr w:type="spellEnd"/>
      <w:r w:rsidRPr="00C5102B">
        <w:rPr>
          <w:b w:val="0"/>
        </w:rPr>
        <w:t xml:space="preserve">, R. W., Van </w:t>
      </w:r>
      <w:proofErr w:type="spellStart"/>
      <w:r w:rsidRPr="00C5102B">
        <w:rPr>
          <w:b w:val="0"/>
        </w:rPr>
        <w:t>Woerden</w:t>
      </w:r>
      <w:proofErr w:type="spellEnd"/>
      <w:r w:rsidRPr="00C5102B">
        <w:rPr>
          <w:b w:val="0"/>
        </w:rPr>
        <w:t xml:space="preserve">, N., Smulders, F. T., &amp; De Jong, P. J. (2002). Implicit and explicit alcohol-related cognitions in heavy and light drinkers. </w:t>
      </w:r>
      <w:r w:rsidRPr="009721F7">
        <w:rPr>
          <w:b w:val="0"/>
          <w:i/>
        </w:rPr>
        <w:t>Journal of Abnormal Psychology</w:t>
      </w:r>
      <w:r w:rsidRPr="00C5102B">
        <w:rPr>
          <w:b w:val="0"/>
        </w:rPr>
        <w:t>, 111(4), 648-658.</w:t>
      </w:r>
    </w:p>
    <w:p w14:paraId="60C6A0C5" w14:textId="7D6B65DC" w:rsidR="00CA5F73" w:rsidRPr="00CA5F73" w:rsidRDefault="00C5102B" w:rsidP="00716BD4">
      <w:pPr>
        <w:pStyle w:val="BodyText"/>
        <w:spacing w:line="480" w:lineRule="auto"/>
        <w:ind w:left="720" w:hanging="720"/>
        <w:rPr>
          <w:b w:val="0"/>
        </w:rPr>
      </w:pPr>
      <w:r w:rsidRPr="00CA5F73">
        <w:rPr>
          <w:b w:val="0"/>
        </w:rPr>
        <w:t>Wilson, C., &amp; Wallis, D. J. (2013). Attentional bias and slowed disengagement from food and threat stimuli in rest</w:t>
      </w:r>
      <w:r>
        <w:rPr>
          <w:b w:val="0"/>
        </w:rPr>
        <w:t>rained eaters using a modified S</w:t>
      </w:r>
      <w:r w:rsidRPr="00CA5F73">
        <w:rPr>
          <w:b w:val="0"/>
        </w:rPr>
        <w:t>troop task. </w:t>
      </w:r>
      <w:r w:rsidRPr="009721F7">
        <w:rPr>
          <w:b w:val="0"/>
          <w:i/>
        </w:rPr>
        <w:t>Cognitive Therapy and Research</w:t>
      </w:r>
      <w:r w:rsidRPr="00CA5F73">
        <w:rPr>
          <w:b w:val="0"/>
        </w:rPr>
        <w:t>, 37(1), 127-138.</w:t>
      </w:r>
    </w:p>
    <w:p w14:paraId="742BD8D1" w14:textId="29EE3DC9" w:rsidR="00CA5F73" w:rsidRPr="00CA5F73" w:rsidRDefault="00CA5F73" w:rsidP="00C42907">
      <w:pPr>
        <w:pStyle w:val="BodyText"/>
        <w:spacing w:line="480" w:lineRule="auto"/>
        <w:ind w:left="720" w:hanging="720"/>
        <w:rPr>
          <w:b w:val="0"/>
        </w:rPr>
      </w:pPr>
      <w:r w:rsidRPr="00CA5F73">
        <w:rPr>
          <w:b w:val="0"/>
        </w:rPr>
        <w:t xml:space="preserve">Wood, D. M., </w:t>
      </w:r>
      <w:proofErr w:type="spellStart"/>
      <w:r w:rsidRPr="00CA5F73">
        <w:rPr>
          <w:b w:val="0"/>
        </w:rPr>
        <w:t>Measham</w:t>
      </w:r>
      <w:proofErr w:type="spellEnd"/>
      <w:r w:rsidRPr="00CA5F73">
        <w:rPr>
          <w:b w:val="0"/>
        </w:rPr>
        <w:t xml:space="preserve">, F., &amp; Dargan, P. I. (2012). ‘Our favourite drug’: prevalence of use and preference for </w:t>
      </w:r>
      <w:proofErr w:type="spellStart"/>
      <w:r w:rsidRPr="00CA5F73">
        <w:rPr>
          <w:b w:val="0"/>
        </w:rPr>
        <w:t>mephedrone</w:t>
      </w:r>
      <w:proofErr w:type="spellEnd"/>
      <w:r w:rsidRPr="00CA5F73">
        <w:rPr>
          <w:b w:val="0"/>
        </w:rPr>
        <w:t xml:space="preserve"> in the London night-time economy 1 year after control. </w:t>
      </w:r>
      <w:r w:rsidRPr="009721F7">
        <w:rPr>
          <w:b w:val="0"/>
          <w:i/>
        </w:rPr>
        <w:t>Journal of Substance Use</w:t>
      </w:r>
      <w:r w:rsidRPr="00CA5F73">
        <w:rPr>
          <w:b w:val="0"/>
        </w:rPr>
        <w:t>, 17(2), 91-97.</w:t>
      </w:r>
    </w:p>
    <w:p w14:paraId="5129C675" w14:textId="77777777" w:rsidR="00F71CBD" w:rsidRPr="00177B16" w:rsidRDefault="00295F0E" w:rsidP="003C23D2">
      <w:pPr>
        <w:spacing w:line="480" w:lineRule="auto"/>
        <w:ind w:left="720" w:hanging="720"/>
        <w:jc w:val="center"/>
        <w:outlineLvl w:val="0"/>
        <w:rPr>
          <w:b/>
        </w:rPr>
      </w:pPr>
      <w:r>
        <w:br w:type="page"/>
      </w:r>
      <w:r w:rsidR="00F71CBD" w:rsidRPr="00177B16">
        <w:rPr>
          <w:b/>
        </w:rPr>
        <w:lastRenderedPageBreak/>
        <w:t>Author Note</w:t>
      </w:r>
    </w:p>
    <w:p w14:paraId="4AAF4C26" w14:textId="7CC3A515" w:rsidR="00F71CBD" w:rsidRDefault="00F71CBD">
      <w:pPr>
        <w:pStyle w:val="BodyTextIndent"/>
      </w:pPr>
      <w:r>
        <w:t xml:space="preserve">Ian P. </w:t>
      </w:r>
      <w:proofErr w:type="spellStart"/>
      <w:r>
        <w:t>Albery</w:t>
      </w:r>
      <w:proofErr w:type="spellEnd"/>
      <w:r>
        <w:t xml:space="preserve">, </w:t>
      </w:r>
      <w:r w:rsidR="0097217D">
        <w:t xml:space="preserve">Centre for Addictive Behaviours Research, </w:t>
      </w:r>
      <w:r>
        <w:t>Division of Psychol</w:t>
      </w:r>
      <w:r w:rsidR="001E6AF2">
        <w:t xml:space="preserve">ogy, </w:t>
      </w:r>
      <w:r w:rsidR="009D68D4">
        <w:t xml:space="preserve">School of Applied Sciences, </w:t>
      </w:r>
      <w:r w:rsidR="00804050">
        <w:t xml:space="preserve">London </w:t>
      </w:r>
      <w:r w:rsidR="001E6AF2">
        <w:t>South Bank University, UK.</w:t>
      </w:r>
    </w:p>
    <w:p w14:paraId="420918E2" w14:textId="46FA294A" w:rsidR="00F71CBD" w:rsidRDefault="00F71CBD">
      <w:pPr>
        <w:spacing w:line="480" w:lineRule="auto"/>
        <w:ind w:firstLine="720"/>
      </w:pPr>
      <w:r>
        <w:t xml:space="preserve">Correspondence concerning this article should be addressed to Ian P. </w:t>
      </w:r>
      <w:proofErr w:type="spellStart"/>
      <w:r>
        <w:t>Albery</w:t>
      </w:r>
      <w:proofErr w:type="spellEnd"/>
      <w:r>
        <w:t xml:space="preserve">, </w:t>
      </w:r>
      <w:r w:rsidR="0097217D">
        <w:t xml:space="preserve">Centre for Addictive Behaviours Research, </w:t>
      </w:r>
      <w:r>
        <w:t xml:space="preserve">Division of Psychology, </w:t>
      </w:r>
      <w:r w:rsidR="007B2283">
        <w:t xml:space="preserve">School of Applied Sciences, </w:t>
      </w:r>
      <w:r w:rsidR="00804050">
        <w:t xml:space="preserve">London </w:t>
      </w:r>
      <w:r>
        <w:t xml:space="preserve">South Bank University, 103 Borough Road, London SE1 0AA, United Kingdom. Email: </w:t>
      </w:r>
      <w:hyperlink r:id="rId9" w:history="1">
        <w:r w:rsidR="00177B16" w:rsidRPr="00AC6C42">
          <w:rPr>
            <w:rStyle w:val="Hyperlink"/>
          </w:rPr>
          <w:t>alberyip@lsbu.ac.uk</w:t>
        </w:r>
      </w:hyperlink>
    </w:p>
    <w:p w14:paraId="4A5F7684" w14:textId="46B65DAB" w:rsidR="00177B16" w:rsidRPr="009178D2" w:rsidRDefault="009178D2" w:rsidP="009178D2">
      <w:pPr>
        <w:spacing w:line="480" w:lineRule="auto"/>
        <w:ind w:firstLine="720"/>
        <w:jc w:val="center"/>
        <w:rPr>
          <w:b/>
        </w:rPr>
      </w:pPr>
      <w:r>
        <w:rPr>
          <w:b/>
        </w:rPr>
        <w:t>Disclosure of interest</w:t>
      </w:r>
    </w:p>
    <w:p w14:paraId="3B709490" w14:textId="757997FA" w:rsidR="009178D2" w:rsidRPr="009178D2" w:rsidRDefault="009178D2" w:rsidP="009178D2">
      <w:pPr>
        <w:spacing w:line="480" w:lineRule="auto"/>
        <w:ind w:firstLine="720"/>
        <w:rPr>
          <w:lang w:val="en-US"/>
        </w:rPr>
      </w:pPr>
      <w:r w:rsidRPr="009178D2">
        <w:rPr>
          <w:iCs/>
          <w:lang w:val="en-US"/>
        </w:rPr>
        <w:t>The authors report no conflict</w:t>
      </w:r>
      <w:r w:rsidR="00EB6F32">
        <w:rPr>
          <w:iCs/>
          <w:lang w:val="en-US"/>
        </w:rPr>
        <w:t>s</w:t>
      </w:r>
      <w:r w:rsidRPr="009178D2">
        <w:rPr>
          <w:iCs/>
          <w:lang w:val="en-US"/>
        </w:rPr>
        <w:t xml:space="preserve"> of interest</w:t>
      </w:r>
      <w:r>
        <w:rPr>
          <w:iCs/>
          <w:lang w:val="en-US"/>
        </w:rPr>
        <w:t>.</w:t>
      </w:r>
    </w:p>
    <w:p w14:paraId="50CA4446" w14:textId="77777777" w:rsidR="009178D2" w:rsidRDefault="009178D2">
      <w:pPr>
        <w:spacing w:line="480" w:lineRule="auto"/>
        <w:ind w:firstLine="720"/>
        <w:rPr>
          <w:u w:val="double"/>
        </w:rPr>
      </w:pPr>
    </w:p>
    <w:p w14:paraId="720C7016" w14:textId="77777777" w:rsidR="00F71CBD" w:rsidRDefault="00F71CBD">
      <w:pPr>
        <w:spacing w:line="480" w:lineRule="auto"/>
        <w:rPr>
          <w:lang w:val="en-US"/>
        </w:rPr>
      </w:pPr>
    </w:p>
    <w:p w14:paraId="623501F6" w14:textId="77777777" w:rsidR="006E27CC" w:rsidRPr="006E27CC" w:rsidRDefault="006E27CC" w:rsidP="00A2653B">
      <w:pPr>
        <w:spacing w:line="480" w:lineRule="auto"/>
        <w:rPr>
          <w:rFonts w:ascii="Bookman Old Style" w:hAnsi="Bookman Old Style"/>
          <w:i/>
          <w:sz w:val="28"/>
          <w:szCs w:val="28"/>
          <w:u w:val="single"/>
        </w:rPr>
      </w:pPr>
    </w:p>
    <w:p w14:paraId="269931E1" w14:textId="77777777" w:rsidR="00F71CBD" w:rsidRDefault="00F71CBD">
      <w:pPr>
        <w:spacing w:line="480" w:lineRule="auto"/>
        <w:rPr>
          <w:lang w:val="en-US"/>
        </w:rPr>
      </w:pPr>
    </w:p>
    <w:p w14:paraId="5E1B53B6" w14:textId="77777777" w:rsidR="00EC02C4" w:rsidRDefault="00F71CBD">
      <w:pPr>
        <w:pStyle w:val="BodyText"/>
        <w:spacing w:line="480" w:lineRule="auto"/>
        <w:rPr>
          <w:b w:val="0"/>
        </w:rPr>
        <w:sectPr w:rsidR="00EC02C4">
          <w:headerReference w:type="even" r:id="rId10"/>
          <w:headerReference w:type="default" r:id="rId11"/>
          <w:footerReference w:type="even" r:id="rId12"/>
          <w:footerReference w:type="default" r:id="rId13"/>
          <w:pgSz w:w="11909" w:h="16834" w:code="9"/>
          <w:pgMar w:top="1872" w:right="1872" w:bottom="1872" w:left="1872" w:header="1080" w:footer="720" w:gutter="0"/>
          <w:cols w:space="720"/>
          <w:noEndnote/>
        </w:sectPr>
      </w:pPr>
      <w:r>
        <w:rPr>
          <w:b w:val="0"/>
        </w:rPr>
        <w:br w:type="page"/>
      </w:r>
    </w:p>
    <w:p w14:paraId="59675830" w14:textId="77777777" w:rsidR="00F71CBD" w:rsidRDefault="00F71CBD">
      <w:pPr>
        <w:pStyle w:val="BodyText"/>
        <w:spacing w:line="480" w:lineRule="auto"/>
        <w:rPr>
          <w:b w:val="0"/>
        </w:rPr>
      </w:pPr>
      <w:r>
        <w:rPr>
          <w:b w:val="0"/>
        </w:rPr>
        <w:lastRenderedPageBreak/>
        <w:t xml:space="preserve">Table 1. </w:t>
      </w:r>
    </w:p>
    <w:p w14:paraId="6CAF18EE" w14:textId="5A677692" w:rsidR="00F71CBD" w:rsidRDefault="00804050">
      <w:pPr>
        <w:pStyle w:val="BodyText"/>
        <w:spacing w:line="480" w:lineRule="auto"/>
        <w:rPr>
          <w:b w:val="0"/>
          <w:i/>
        </w:rPr>
      </w:pPr>
      <w:r>
        <w:rPr>
          <w:b w:val="0"/>
          <w:i/>
        </w:rPr>
        <w:t>Mean correct response times (</w:t>
      </w:r>
      <w:proofErr w:type="spellStart"/>
      <w:r>
        <w:rPr>
          <w:b w:val="0"/>
          <w:i/>
        </w:rPr>
        <w:t>ms</w:t>
      </w:r>
      <w:proofErr w:type="spellEnd"/>
      <w:r>
        <w:rPr>
          <w:b w:val="0"/>
          <w:i/>
        </w:rPr>
        <w:t xml:space="preserve">) </w:t>
      </w:r>
      <w:r w:rsidR="00EF6934">
        <w:rPr>
          <w:b w:val="0"/>
          <w:i/>
        </w:rPr>
        <w:t xml:space="preserve">and attentional bias scores </w:t>
      </w:r>
      <w:r w:rsidR="00EF6934" w:rsidRPr="00EF6934">
        <w:rPr>
          <w:b w:val="0"/>
          <w:i/>
        </w:rPr>
        <w:t xml:space="preserve">(standard deviations in parentheses) </w:t>
      </w:r>
      <w:r>
        <w:rPr>
          <w:b w:val="0"/>
          <w:i/>
        </w:rPr>
        <w:t xml:space="preserve">by </w:t>
      </w:r>
      <w:r w:rsidR="00F9199F">
        <w:rPr>
          <w:b w:val="0"/>
          <w:i/>
        </w:rPr>
        <w:t xml:space="preserve">novel </w:t>
      </w:r>
      <w:r w:rsidR="007B6A45">
        <w:rPr>
          <w:b w:val="0"/>
          <w:i/>
        </w:rPr>
        <w:t>psychoactive substance</w:t>
      </w:r>
      <w:r w:rsidR="00D72108">
        <w:rPr>
          <w:b w:val="0"/>
          <w:i/>
        </w:rPr>
        <w:t xml:space="preserve"> users (NSPUs)</w:t>
      </w:r>
      <w:r>
        <w:rPr>
          <w:b w:val="0"/>
          <w:i/>
        </w:rPr>
        <w:t xml:space="preserve"> and n</w:t>
      </w:r>
      <w:r w:rsidR="007B6A45">
        <w:rPr>
          <w:b w:val="0"/>
          <w:i/>
        </w:rPr>
        <w:t>ever</w:t>
      </w:r>
      <w:r w:rsidR="0004304F">
        <w:rPr>
          <w:b w:val="0"/>
          <w:i/>
        </w:rPr>
        <w:t xml:space="preserve"> </w:t>
      </w:r>
      <w:r w:rsidR="00F9199F">
        <w:rPr>
          <w:b w:val="0"/>
          <w:i/>
        </w:rPr>
        <w:t xml:space="preserve">novel </w:t>
      </w:r>
      <w:r w:rsidR="007B6A45">
        <w:rPr>
          <w:b w:val="0"/>
          <w:i/>
        </w:rPr>
        <w:t xml:space="preserve">psychoactive substance </w:t>
      </w:r>
      <w:r>
        <w:rPr>
          <w:b w:val="0"/>
          <w:i/>
        </w:rPr>
        <w:t>users</w:t>
      </w:r>
      <w:r w:rsidR="00D72108">
        <w:rPr>
          <w:b w:val="0"/>
          <w:i/>
        </w:rPr>
        <w:t xml:space="preserve"> (</w:t>
      </w:r>
      <w:proofErr w:type="spellStart"/>
      <w:r w:rsidR="00D72108">
        <w:rPr>
          <w:b w:val="0"/>
          <w:i/>
        </w:rPr>
        <w:t>nNSPUs</w:t>
      </w:r>
      <w:proofErr w:type="spellEnd"/>
      <w:r w:rsidR="00D72108">
        <w:rPr>
          <w:b w:val="0"/>
          <w:i/>
        </w:rPr>
        <w:t>)</w:t>
      </w:r>
      <w:r>
        <w:rPr>
          <w:b w:val="0"/>
          <w:i/>
        </w:rPr>
        <w:t xml:space="preserve"> for category and matched neutral words. </w:t>
      </w:r>
    </w:p>
    <w:p w14:paraId="145C4718" w14:textId="77777777" w:rsidR="00F71CBD" w:rsidRDefault="00F71CBD">
      <w:pPr>
        <w:pStyle w:val="BodyText"/>
        <w:spacing w:line="480" w:lineRule="auto"/>
        <w:rPr>
          <w:b w:val="0"/>
        </w:rPr>
      </w:pPr>
    </w:p>
    <w:tbl>
      <w:tblPr>
        <w:tblW w:w="6067"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968"/>
        <w:gridCol w:w="968"/>
        <w:gridCol w:w="858"/>
        <w:gridCol w:w="968"/>
        <w:gridCol w:w="968"/>
        <w:gridCol w:w="1033"/>
        <w:gridCol w:w="1011"/>
        <w:gridCol w:w="968"/>
        <w:gridCol w:w="1050"/>
      </w:tblGrid>
      <w:tr w:rsidR="007C0CE9" w:rsidRPr="00D033A5" w14:paraId="01C9F9FA" w14:textId="77777777" w:rsidTr="007C0CE9">
        <w:tc>
          <w:tcPr>
            <w:tcW w:w="677" w:type="pct"/>
            <w:shd w:val="clear" w:color="auto" w:fill="auto"/>
          </w:tcPr>
          <w:p w14:paraId="33201519" w14:textId="4E3C97FA" w:rsidR="00F101E7" w:rsidRPr="00D033A5" w:rsidRDefault="00D72108" w:rsidP="00F71CBD">
            <w:pPr>
              <w:pStyle w:val="BodyText"/>
              <w:spacing w:line="480" w:lineRule="auto"/>
              <w:rPr>
                <w:b w:val="0"/>
                <w:sz w:val="22"/>
                <w:szCs w:val="22"/>
              </w:rPr>
            </w:pPr>
            <w:r>
              <w:rPr>
                <w:b w:val="0"/>
                <w:sz w:val="22"/>
                <w:szCs w:val="22"/>
              </w:rPr>
              <w:t>Novel Psychoactive Substance User</w:t>
            </w:r>
            <w:r w:rsidR="00F101E7" w:rsidRPr="00D033A5">
              <w:rPr>
                <w:b w:val="0"/>
                <w:sz w:val="22"/>
                <w:szCs w:val="22"/>
              </w:rPr>
              <w:t xml:space="preserve"> Group</w:t>
            </w:r>
          </w:p>
        </w:tc>
        <w:tc>
          <w:tcPr>
            <w:tcW w:w="4323" w:type="pct"/>
            <w:gridSpan w:val="9"/>
            <w:shd w:val="clear" w:color="auto" w:fill="auto"/>
          </w:tcPr>
          <w:p w14:paraId="70D62E74" w14:textId="77777777" w:rsidR="00F101E7" w:rsidRPr="00D033A5" w:rsidRDefault="00F101E7" w:rsidP="00F71CBD">
            <w:pPr>
              <w:pStyle w:val="BodyText"/>
              <w:spacing w:line="480" w:lineRule="auto"/>
              <w:jc w:val="center"/>
              <w:rPr>
                <w:b w:val="0"/>
                <w:sz w:val="22"/>
                <w:szCs w:val="22"/>
              </w:rPr>
            </w:pPr>
          </w:p>
          <w:p w14:paraId="63C11831" w14:textId="77777777" w:rsidR="00F101E7" w:rsidRPr="00D033A5" w:rsidRDefault="00F101E7" w:rsidP="00F71CBD">
            <w:pPr>
              <w:pStyle w:val="BodyText"/>
              <w:spacing w:line="480" w:lineRule="auto"/>
              <w:jc w:val="center"/>
              <w:rPr>
                <w:b w:val="0"/>
                <w:sz w:val="22"/>
                <w:szCs w:val="22"/>
              </w:rPr>
            </w:pPr>
            <w:r w:rsidRPr="00D033A5">
              <w:rPr>
                <w:b w:val="0"/>
                <w:sz w:val="22"/>
                <w:szCs w:val="22"/>
              </w:rPr>
              <w:t>Word Type</w:t>
            </w:r>
          </w:p>
        </w:tc>
      </w:tr>
      <w:tr w:rsidR="007C0CE9" w:rsidRPr="00D033A5" w14:paraId="3783D727" w14:textId="77777777" w:rsidTr="007C0CE9">
        <w:tc>
          <w:tcPr>
            <w:tcW w:w="677" w:type="pct"/>
            <w:shd w:val="clear" w:color="auto" w:fill="auto"/>
          </w:tcPr>
          <w:p w14:paraId="3C87AE0F" w14:textId="77777777" w:rsidR="00F101E7" w:rsidRPr="00D033A5" w:rsidRDefault="00F101E7" w:rsidP="00F71CBD">
            <w:pPr>
              <w:pStyle w:val="BodyText"/>
              <w:spacing w:line="480" w:lineRule="auto"/>
              <w:rPr>
                <w:b w:val="0"/>
                <w:sz w:val="22"/>
                <w:szCs w:val="22"/>
              </w:rPr>
            </w:pPr>
          </w:p>
        </w:tc>
        <w:tc>
          <w:tcPr>
            <w:tcW w:w="476" w:type="pct"/>
            <w:shd w:val="clear" w:color="auto" w:fill="auto"/>
          </w:tcPr>
          <w:p w14:paraId="3C2D3ECF" w14:textId="6FE146AB" w:rsidR="00F101E7" w:rsidRPr="00D033A5" w:rsidRDefault="007F3394" w:rsidP="00F71CBD">
            <w:pPr>
              <w:pStyle w:val="BodyText"/>
              <w:spacing w:line="480" w:lineRule="auto"/>
              <w:rPr>
                <w:b w:val="0"/>
                <w:sz w:val="22"/>
                <w:szCs w:val="22"/>
              </w:rPr>
            </w:pPr>
            <w:r w:rsidRPr="00D033A5">
              <w:rPr>
                <w:b w:val="0"/>
                <w:sz w:val="22"/>
                <w:szCs w:val="22"/>
              </w:rPr>
              <w:t xml:space="preserve">LH </w:t>
            </w:r>
            <w:r w:rsidR="004005C6">
              <w:rPr>
                <w:b w:val="0"/>
                <w:sz w:val="22"/>
                <w:szCs w:val="22"/>
              </w:rPr>
              <w:t>NPS</w:t>
            </w:r>
            <w:r w:rsidR="004005C6" w:rsidRPr="00D033A5">
              <w:rPr>
                <w:b w:val="0"/>
                <w:sz w:val="22"/>
                <w:szCs w:val="22"/>
              </w:rPr>
              <w:t xml:space="preserve"> </w:t>
            </w:r>
            <w:r w:rsidRPr="00D033A5">
              <w:rPr>
                <w:b w:val="0"/>
                <w:sz w:val="22"/>
                <w:szCs w:val="22"/>
              </w:rPr>
              <w:t>Specific</w:t>
            </w:r>
          </w:p>
        </w:tc>
        <w:tc>
          <w:tcPr>
            <w:tcW w:w="476" w:type="pct"/>
            <w:shd w:val="clear" w:color="auto" w:fill="auto"/>
          </w:tcPr>
          <w:p w14:paraId="2ECF4F03" w14:textId="77777777" w:rsidR="00F101E7" w:rsidRPr="00D033A5" w:rsidRDefault="007F3394" w:rsidP="00F71CBD">
            <w:pPr>
              <w:pStyle w:val="BodyText"/>
              <w:spacing w:line="480" w:lineRule="auto"/>
              <w:rPr>
                <w:b w:val="0"/>
                <w:sz w:val="22"/>
                <w:szCs w:val="22"/>
              </w:rPr>
            </w:pPr>
            <w:r w:rsidRPr="00D033A5">
              <w:rPr>
                <w:b w:val="0"/>
                <w:sz w:val="22"/>
                <w:szCs w:val="22"/>
              </w:rPr>
              <w:t>Neutral</w:t>
            </w:r>
          </w:p>
        </w:tc>
        <w:tc>
          <w:tcPr>
            <w:tcW w:w="422" w:type="pct"/>
            <w:shd w:val="clear" w:color="auto" w:fill="auto"/>
          </w:tcPr>
          <w:p w14:paraId="6216E853" w14:textId="77777777" w:rsidR="00F101E7" w:rsidRPr="00D033A5" w:rsidRDefault="007F3394" w:rsidP="00F71CBD">
            <w:pPr>
              <w:pStyle w:val="BodyText"/>
              <w:spacing w:line="480" w:lineRule="auto"/>
              <w:rPr>
                <w:b w:val="0"/>
                <w:sz w:val="22"/>
                <w:szCs w:val="22"/>
              </w:rPr>
            </w:pPr>
            <w:r w:rsidRPr="00D033A5">
              <w:rPr>
                <w:b w:val="0"/>
                <w:sz w:val="22"/>
                <w:szCs w:val="22"/>
              </w:rPr>
              <w:t>AB score</w:t>
            </w:r>
          </w:p>
        </w:tc>
        <w:tc>
          <w:tcPr>
            <w:tcW w:w="476" w:type="pct"/>
            <w:shd w:val="clear" w:color="auto" w:fill="auto"/>
          </w:tcPr>
          <w:p w14:paraId="23DBA7DF" w14:textId="77777777" w:rsidR="00F101E7" w:rsidRPr="00D033A5" w:rsidRDefault="007F3394" w:rsidP="00F71CBD">
            <w:pPr>
              <w:pStyle w:val="BodyText"/>
              <w:spacing w:line="480" w:lineRule="auto"/>
              <w:rPr>
                <w:b w:val="0"/>
                <w:sz w:val="22"/>
                <w:szCs w:val="22"/>
              </w:rPr>
            </w:pPr>
            <w:r w:rsidRPr="00D033A5">
              <w:rPr>
                <w:b w:val="0"/>
                <w:sz w:val="22"/>
                <w:szCs w:val="22"/>
              </w:rPr>
              <w:t xml:space="preserve">Positive </w:t>
            </w:r>
          </w:p>
        </w:tc>
        <w:tc>
          <w:tcPr>
            <w:tcW w:w="476" w:type="pct"/>
            <w:shd w:val="clear" w:color="auto" w:fill="auto"/>
          </w:tcPr>
          <w:p w14:paraId="3CC3E92F" w14:textId="77777777" w:rsidR="00F101E7" w:rsidRPr="00D033A5" w:rsidRDefault="007F3394" w:rsidP="00F71CBD">
            <w:pPr>
              <w:pStyle w:val="BodyText"/>
              <w:spacing w:line="480" w:lineRule="auto"/>
              <w:rPr>
                <w:b w:val="0"/>
                <w:sz w:val="22"/>
                <w:szCs w:val="22"/>
              </w:rPr>
            </w:pPr>
            <w:r w:rsidRPr="00D033A5">
              <w:rPr>
                <w:b w:val="0"/>
                <w:sz w:val="22"/>
                <w:szCs w:val="22"/>
              </w:rPr>
              <w:t>Neutral</w:t>
            </w:r>
          </w:p>
        </w:tc>
        <w:tc>
          <w:tcPr>
            <w:tcW w:w="508" w:type="pct"/>
            <w:shd w:val="clear" w:color="auto" w:fill="auto"/>
          </w:tcPr>
          <w:p w14:paraId="42D57B61" w14:textId="77777777" w:rsidR="00F101E7" w:rsidRPr="00D033A5" w:rsidRDefault="007F3394" w:rsidP="00F71CBD">
            <w:pPr>
              <w:pStyle w:val="BodyText"/>
              <w:spacing w:line="480" w:lineRule="auto"/>
              <w:rPr>
                <w:b w:val="0"/>
                <w:sz w:val="22"/>
                <w:szCs w:val="22"/>
              </w:rPr>
            </w:pPr>
            <w:r w:rsidRPr="00D033A5">
              <w:rPr>
                <w:b w:val="0"/>
                <w:sz w:val="22"/>
                <w:szCs w:val="22"/>
              </w:rPr>
              <w:t>AB score</w:t>
            </w:r>
          </w:p>
        </w:tc>
        <w:tc>
          <w:tcPr>
            <w:tcW w:w="497" w:type="pct"/>
            <w:shd w:val="clear" w:color="auto" w:fill="auto"/>
          </w:tcPr>
          <w:p w14:paraId="12EB00C6" w14:textId="77777777" w:rsidR="00F101E7" w:rsidRPr="00D033A5" w:rsidRDefault="007F3394" w:rsidP="00F71CBD">
            <w:pPr>
              <w:pStyle w:val="BodyText"/>
              <w:spacing w:line="480" w:lineRule="auto"/>
              <w:rPr>
                <w:b w:val="0"/>
                <w:sz w:val="22"/>
                <w:szCs w:val="22"/>
              </w:rPr>
            </w:pPr>
            <w:r w:rsidRPr="00D033A5">
              <w:rPr>
                <w:b w:val="0"/>
                <w:sz w:val="22"/>
                <w:szCs w:val="22"/>
              </w:rPr>
              <w:t xml:space="preserve">Negative </w:t>
            </w:r>
          </w:p>
        </w:tc>
        <w:tc>
          <w:tcPr>
            <w:tcW w:w="476" w:type="pct"/>
            <w:shd w:val="clear" w:color="auto" w:fill="auto"/>
          </w:tcPr>
          <w:p w14:paraId="5C8958CF" w14:textId="77777777" w:rsidR="00F101E7" w:rsidRPr="00D033A5" w:rsidRDefault="007F3394" w:rsidP="00F71CBD">
            <w:pPr>
              <w:pStyle w:val="BodyText"/>
              <w:spacing w:line="480" w:lineRule="auto"/>
              <w:rPr>
                <w:b w:val="0"/>
                <w:sz w:val="22"/>
                <w:szCs w:val="22"/>
              </w:rPr>
            </w:pPr>
            <w:r w:rsidRPr="00D033A5">
              <w:rPr>
                <w:b w:val="0"/>
                <w:sz w:val="22"/>
                <w:szCs w:val="22"/>
              </w:rPr>
              <w:t>Neutral</w:t>
            </w:r>
          </w:p>
        </w:tc>
        <w:tc>
          <w:tcPr>
            <w:tcW w:w="517" w:type="pct"/>
            <w:shd w:val="clear" w:color="auto" w:fill="auto"/>
          </w:tcPr>
          <w:p w14:paraId="1C20F5D6" w14:textId="77777777" w:rsidR="00F101E7" w:rsidRPr="00D033A5" w:rsidRDefault="007F3394" w:rsidP="00F71CBD">
            <w:pPr>
              <w:pStyle w:val="BodyText"/>
              <w:spacing w:line="480" w:lineRule="auto"/>
              <w:rPr>
                <w:b w:val="0"/>
                <w:sz w:val="22"/>
                <w:szCs w:val="22"/>
              </w:rPr>
            </w:pPr>
            <w:r w:rsidRPr="00D033A5">
              <w:rPr>
                <w:b w:val="0"/>
                <w:sz w:val="22"/>
                <w:szCs w:val="22"/>
              </w:rPr>
              <w:t>AB score</w:t>
            </w:r>
          </w:p>
        </w:tc>
      </w:tr>
      <w:tr w:rsidR="007C0CE9" w:rsidRPr="00D033A5" w14:paraId="35FC0B8E" w14:textId="77777777" w:rsidTr="007C0CE9">
        <w:tc>
          <w:tcPr>
            <w:tcW w:w="677" w:type="pct"/>
            <w:shd w:val="clear" w:color="auto" w:fill="auto"/>
          </w:tcPr>
          <w:p w14:paraId="57E1C6C9" w14:textId="3CACF78B" w:rsidR="00F101E7" w:rsidRPr="00D033A5" w:rsidRDefault="003C23D2" w:rsidP="00F71CBD">
            <w:pPr>
              <w:pStyle w:val="BodyText"/>
              <w:spacing w:line="480" w:lineRule="auto"/>
              <w:rPr>
                <w:b w:val="0"/>
                <w:sz w:val="22"/>
                <w:szCs w:val="22"/>
              </w:rPr>
            </w:pPr>
            <w:r>
              <w:rPr>
                <w:b w:val="0"/>
                <w:sz w:val="22"/>
                <w:szCs w:val="22"/>
              </w:rPr>
              <w:t>NPSUs</w:t>
            </w:r>
          </w:p>
        </w:tc>
        <w:tc>
          <w:tcPr>
            <w:tcW w:w="476" w:type="pct"/>
            <w:shd w:val="clear" w:color="auto" w:fill="auto"/>
          </w:tcPr>
          <w:p w14:paraId="0B940223" w14:textId="77777777" w:rsidR="00F101E7" w:rsidRPr="00D033A5" w:rsidRDefault="005E17C9" w:rsidP="00F71CBD">
            <w:pPr>
              <w:pStyle w:val="BodyText"/>
              <w:spacing w:line="480" w:lineRule="auto"/>
              <w:rPr>
                <w:b w:val="0"/>
                <w:sz w:val="22"/>
                <w:szCs w:val="22"/>
              </w:rPr>
            </w:pPr>
            <w:r w:rsidRPr="00D033A5">
              <w:rPr>
                <w:b w:val="0"/>
                <w:sz w:val="22"/>
                <w:szCs w:val="22"/>
              </w:rPr>
              <w:t>860.97 (122.64)</w:t>
            </w:r>
          </w:p>
        </w:tc>
        <w:tc>
          <w:tcPr>
            <w:tcW w:w="476" w:type="pct"/>
            <w:shd w:val="clear" w:color="auto" w:fill="auto"/>
          </w:tcPr>
          <w:p w14:paraId="4822A885" w14:textId="77777777" w:rsidR="00F101E7" w:rsidRPr="00D033A5" w:rsidRDefault="005E17C9" w:rsidP="00F71CBD">
            <w:pPr>
              <w:pStyle w:val="BodyText"/>
              <w:spacing w:line="480" w:lineRule="auto"/>
              <w:rPr>
                <w:b w:val="0"/>
                <w:sz w:val="22"/>
                <w:szCs w:val="22"/>
              </w:rPr>
            </w:pPr>
            <w:r w:rsidRPr="00D033A5">
              <w:rPr>
                <w:b w:val="0"/>
                <w:sz w:val="22"/>
                <w:szCs w:val="22"/>
              </w:rPr>
              <w:t>834.47 (128.02)</w:t>
            </w:r>
          </w:p>
        </w:tc>
        <w:tc>
          <w:tcPr>
            <w:tcW w:w="422" w:type="pct"/>
            <w:shd w:val="clear" w:color="auto" w:fill="auto"/>
          </w:tcPr>
          <w:p w14:paraId="74A7CBCF" w14:textId="77777777" w:rsidR="00F101E7" w:rsidRPr="00D033A5" w:rsidRDefault="005E17C9" w:rsidP="00F71CBD">
            <w:pPr>
              <w:pStyle w:val="BodyText"/>
              <w:spacing w:line="480" w:lineRule="auto"/>
              <w:rPr>
                <w:b w:val="0"/>
                <w:sz w:val="22"/>
                <w:szCs w:val="22"/>
              </w:rPr>
            </w:pPr>
            <w:r w:rsidRPr="00D033A5">
              <w:rPr>
                <w:b w:val="0"/>
                <w:sz w:val="22"/>
                <w:szCs w:val="22"/>
              </w:rPr>
              <w:t>+ 26.5 (87.05)</w:t>
            </w:r>
          </w:p>
        </w:tc>
        <w:tc>
          <w:tcPr>
            <w:tcW w:w="476" w:type="pct"/>
            <w:shd w:val="clear" w:color="auto" w:fill="auto"/>
          </w:tcPr>
          <w:p w14:paraId="6442A7B4" w14:textId="77777777" w:rsidR="00F101E7" w:rsidRPr="00D033A5" w:rsidRDefault="00D033A5" w:rsidP="00F71CBD">
            <w:pPr>
              <w:pStyle w:val="BodyText"/>
              <w:spacing w:line="480" w:lineRule="auto"/>
              <w:rPr>
                <w:b w:val="0"/>
                <w:sz w:val="22"/>
                <w:szCs w:val="22"/>
              </w:rPr>
            </w:pPr>
            <w:r w:rsidRPr="00D033A5">
              <w:rPr>
                <w:b w:val="0"/>
                <w:sz w:val="22"/>
                <w:szCs w:val="22"/>
              </w:rPr>
              <w:t>841.00 (117.90)</w:t>
            </w:r>
          </w:p>
        </w:tc>
        <w:tc>
          <w:tcPr>
            <w:tcW w:w="476" w:type="pct"/>
            <w:shd w:val="clear" w:color="auto" w:fill="auto"/>
          </w:tcPr>
          <w:p w14:paraId="6C28869F" w14:textId="3AF0E7B8" w:rsidR="00F101E7" w:rsidRPr="00D033A5" w:rsidRDefault="00D033A5" w:rsidP="00F71CBD">
            <w:pPr>
              <w:pStyle w:val="BodyText"/>
              <w:spacing w:line="480" w:lineRule="auto"/>
              <w:rPr>
                <w:b w:val="0"/>
                <w:sz w:val="22"/>
                <w:szCs w:val="22"/>
              </w:rPr>
            </w:pPr>
            <w:r w:rsidRPr="00D033A5">
              <w:rPr>
                <w:b w:val="0"/>
                <w:sz w:val="22"/>
                <w:szCs w:val="22"/>
              </w:rPr>
              <w:t>8</w:t>
            </w:r>
            <w:r w:rsidR="00120644">
              <w:rPr>
                <w:b w:val="0"/>
                <w:sz w:val="22"/>
                <w:szCs w:val="22"/>
              </w:rPr>
              <w:t>06</w:t>
            </w:r>
            <w:r w:rsidRPr="00D033A5">
              <w:rPr>
                <w:b w:val="0"/>
                <w:sz w:val="22"/>
                <w:szCs w:val="22"/>
              </w:rPr>
              <w:t>.</w:t>
            </w:r>
            <w:r w:rsidR="00120644">
              <w:rPr>
                <w:b w:val="0"/>
                <w:sz w:val="22"/>
                <w:szCs w:val="22"/>
              </w:rPr>
              <w:t>13</w:t>
            </w:r>
            <w:r w:rsidRPr="00D033A5">
              <w:rPr>
                <w:b w:val="0"/>
                <w:sz w:val="22"/>
                <w:szCs w:val="22"/>
              </w:rPr>
              <w:t xml:space="preserve"> (1</w:t>
            </w:r>
            <w:r w:rsidR="00120644">
              <w:rPr>
                <w:b w:val="0"/>
                <w:sz w:val="22"/>
                <w:szCs w:val="22"/>
              </w:rPr>
              <w:t>35.93</w:t>
            </w:r>
            <w:r w:rsidRPr="00D033A5">
              <w:rPr>
                <w:b w:val="0"/>
                <w:sz w:val="22"/>
                <w:szCs w:val="22"/>
              </w:rPr>
              <w:t>)</w:t>
            </w:r>
          </w:p>
        </w:tc>
        <w:tc>
          <w:tcPr>
            <w:tcW w:w="508" w:type="pct"/>
            <w:shd w:val="clear" w:color="auto" w:fill="auto"/>
          </w:tcPr>
          <w:p w14:paraId="69C1609E" w14:textId="77777777" w:rsidR="00F101E7" w:rsidRPr="00D033A5" w:rsidRDefault="00D033A5" w:rsidP="00F71CBD">
            <w:pPr>
              <w:pStyle w:val="BodyText"/>
              <w:spacing w:line="480" w:lineRule="auto"/>
              <w:rPr>
                <w:b w:val="0"/>
                <w:sz w:val="22"/>
                <w:szCs w:val="22"/>
              </w:rPr>
            </w:pPr>
            <w:r w:rsidRPr="00D033A5">
              <w:rPr>
                <w:b w:val="0"/>
                <w:sz w:val="22"/>
                <w:szCs w:val="22"/>
              </w:rPr>
              <w:t>+ 34.87 (129.89)</w:t>
            </w:r>
          </w:p>
        </w:tc>
        <w:tc>
          <w:tcPr>
            <w:tcW w:w="497" w:type="pct"/>
            <w:shd w:val="clear" w:color="auto" w:fill="auto"/>
          </w:tcPr>
          <w:p w14:paraId="3AA48C1A" w14:textId="77777777" w:rsidR="00F101E7" w:rsidRPr="00D033A5" w:rsidRDefault="005E17C9" w:rsidP="00F71CBD">
            <w:pPr>
              <w:pStyle w:val="BodyText"/>
              <w:spacing w:line="480" w:lineRule="auto"/>
              <w:rPr>
                <w:b w:val="0"/>
                <w:sz w:val="22"/>
                <w:szCs w:val="22"/>
              </w:rPr>
            </w:pPr>
            <w:r w:rsidRPr="00D033A5">
              <w:rPr>
                <w:b w:val="0"/>
                <w:sz w:val="22"/>
                <w:szCs w:val="22"/>
                <w:lang w:val="en-US"/>
              </w:rPr>
              <w:t>860.70 (114.09)</w:t>
            </w:r>
          </w:p>
        </w:tc>
        <w:tc>
          <w:tcPr>
            <w:tcW w:w="476" w:type="pct"/>
            <w:shd w:val="clear" w:color="auto" w:fill="auto"/>
          </w:tcPr>
          <w:p w14:paraId="559FA134" w14:textId="77777777" w:rsidR="00F101E7" w:rsidRPr="00D033A5" w:rsidRDefault="005E17C9" w:rsidP="00F71CBD">
            <w:pPr>
              <w:pStyle w:val="BodyText"/>
              <w:spacing w:line="480" w:lineRule="auto"/>
              <w:rPr>
                <w:b w:val="0"/>
                <w:sz w:val="22"/>
                <w:szCs w:val="22"/>
              </w:rPr>
            </w:pPr>
            <w:r w:rsidRPr="00D033A5">
              <w:rPr>
                <w:b w:val="0"/>
                <w:sz w:val="22"/>
                <w:szCs w:val="22"/>
              </w:rPr>
              <w:t>796.90 (107.04)</w:t>
            </w:r>
          </w:p>
        </w:tc>
        <w:tc>
          <w:tcPr>
            <w:tcW w:w="517" w:type="pct"/>
            <w:shd w:val="clear" w:color="auto" w:fill="auto"/>
          </w:tcPr>
          <w:p w14:paraId="67F826F9" w14:textId="77777777" w:rsidR="00F101E7" w:rsidRPr="00D033A5" w:rsidRDefault="005E17C9" w:rsidP="00F71CBD">
            <w:pPr>
              <w:pStyle w:val="BodyText"/>
              <w:spacing w:line="480" w:lineRule="auto"/>
              <w:rPr>
                <w:b w:val="0"/>
                <w:sz w:val="22"/>
                <w:szCs w:val="22"/>
              </w:rPr>
            </w:pPr>
            <w:r w:rsidRPr="00D033A5">
              <w:rPr>
                <w:b w:val="0"/>
                <w:sz w:val="22"/>
                <w:szCs w:val="22"/>
              </w:rPr>
              <w:t>+ 63.8 (93.57)</w:t>
            </w:r>
          </w:p>
        </w:tc>
      </w:tr>
      <w:tr w:rsidR="007C0CE9" w:rsidRPr="00D033A5" w14:paraId="68185CD1" w14:textId="77777777" w:rsidTr="007C0CE9">
        <w:tc>
          <w:tcPr>
            <w:tcW w:w="677" w:type="pct"/>
            <w:shd w:val="clear" w:color="auto" w:fill="auto"/>
          </w:tcPr>
          <w:p w14:paraId="21540C0C" w14:textId="52A163DD" w:rsidR="00F101E7" w:rsidRPr="00D033A5" w:rsidRDefault="007B5FAB" w:rsidP="00F71CBD">
            <w:pPr>
              <w:pStyle w:val="BodyText"/>
              <w:spacing w:line="480" w:lineRule="auto"/>
              <w:rPr>
                <w:b w:val="0"/>
                <w:sz w:val="22"/>
                <w:szCs w:val="22"/>
              </w:rPr>
            </w:pPr>
            <w:proofErr w:type="spellStart"/>
            <w:r w:rsidRPr="00D033A5">
              <w:rPr>
                <w:b w:val="0"/>
                <w:sz w:val="22"/>
                <w:szCs w:val="22"/>
              </w:rPr>
              <w:t>n</w:t>
            </w:r>
            <w:r w:rsidR="003C23D2">
              <w:rPr>
                <w:b w:val="0"/>
                <w:sz w:val="22"/>
                <w:szCs w:val="22"/>
              </w:rPr>
              <w:t>NPSUs</w:t>
            </w:r>
            <w:proofErr w:type="spellEnd"/>
          </w:p>
        </w:tc>
        <w:tc>
          <w:tcPr>
            <w:tcW w:w="476" w:type="pct"/>
            <w:shd w:val="clear" w:color="auto" w:fill="auto"/>
          </w:tcPr>
          <w:p w14:paraId="305EEA73" w14:textId="77777777" w:rsidR="00F101E7" w:rsidRPr="00D033A5" w:rsidRDefault="005E17C9" w:rsidP="00F71CBD">
            <w:pPr>
              <w:pStyle w:val="BodyText"/>
              <w:spacing w:line="480" w:lineRule="auto"/>
              <w:rPr>
                <w:b w:val="0"/>
                <w:sz w:val="22"/>
                <w:szCs w:val="22"/>
              </w:rPr>
            </w:pPr>
            <w:r w:rsidRPr="00D033A5">
              <w:rPr>
                <w:b w:val="0"/>
                <w:sz w:val="22"/>
                <w:szCs w:val="22"/>
              </w:rPr>
              <w:t>815.68 (155.54)</w:t>
            </w:r>
          </w:p>
        </w:tc>
        <w:tc>
          <w:tcPr>
            <w:tcW w:w="476" w:type="pct"/>
            <w:shd w:val="clear" w:color="auto" w:fill="auto"/>
          </w:tcPr>
          <w:p w14:paraId="4454F932" w14:textId="77777777" w:rsidR="00F101E7" w:rsidRPr="00D033A5" w:rsidRDefault="005E17C9" w:rsidP="00F71CBD">
            <w:pPr>
              <w:pStyle w:val="BodyText"/>
              <w:spacing w:line="480" w:lineRule="auto"/>
              <w:rPr>
                <w:b w:val="0"/>
                <w:sz w:val="22"/>
                <w:szCs w:val="22"/>
              </w:rPr>
            </w:pPr>
            <w:r w:rsidRPr="00D033A5">
              <w:rPr>
                <w:b w:val="0"/>
                <w:sz w:val="22"/>
                <w:szCs w:val="22"/>
              </w:rPr>
              <w:t>816.86 (140.47)</w:t>
            </w:r>
          </w:p>
        </w:tc>
        <w:tc>
          <w:tcPr>
            <w:tcW w:w="422" w:type="pct"/>
            <w:shd w:val="clear" w:color="auto" w:fill="auto"/>
          </w:tcPr>
          <w:p w14:paraId="0AE8CE95" w14:textId="77777777" w:rsidR="00F101E7" w:rsidRPr="00D033A5" w:rsidRDefault="00723946" w:rsidP="00F71CBD">
            <w:pPr>
              <w:pStyle w:val="BodyText"/>
              <w:spacing w:line="480" w:lineRule="auto"/>
              <w:rPr>
                <w:b w:val="0"/>
                <w:sz w:val="22"/>
                <w:szCs w:val="22"/>
              </w:rPr>
            </w:pPr>
            <w:r>
              <w:rPr>
                <w:b w:val="0"/>
                <w:sz w:val="22"/>
                <w:szCs w:val="22"/>
              </w:rPr>
              <w:t>- 1.</w:t>
            </w:r>
            <w:r w:rsidR="00EF6934">
              <w:rPr>
                <w:b w:val="0"/>
                <w:sz w:val="22"/>
                <w:szCs w:val="22"/>
              </w:rPr>
              <w:t>18 (97.79)</w:t>
            </w:r>
          </w:p>
        </w:tc>
        <w:tc>
          <w:tcPr>
            <w:tcW w:w="476" w:type="pct"/>
            <w:shd w:val="clear" w:color="auto" w:fill="auto"/>
          </w:tcPr>
          <w:p w14:paraId="2049CE52" w14:textId="77777777" w:rsidR="00F101E7" w:rsidRPr="00D033A5" w:rsidRDefault="00D033A5" w:rsidP="00F71CBD">
            <w:pPr>
              <w:pStyle w:val="BodyText"/>
              <w:spacing w:line="480" w:lineRule="auto"/>
              <w:rPr>
                <w:b w:val="0"/>
                <w:sz w:val="22"/>
                <w:szCs w:val="22"/>
              </w:rPr>
            </w:pPr>
            <w:r>
              <w:rPr>
                <w:b w:val="0"/>
                <w:sz w:val="22"/>
                <w:szCs w:val="22"/>
              </w:rPr>
              <w:t>800.94 (135.94)</w:t>
            </w:r>
          </w:p>
        </w:tc>
        <w:tc>
          <w:tcPr>
            <w:tcW w:w="476" w:type="pct"/>
            <w:shd w:val="clear" w:color="auto" w:fill="auto"/>
          </w:tcPr>
          <w:p w14:paraId="4A7CEF5D" w14:textId="77777777" w:rsidR="00F101E7" w:rsidRPr="00D033A5" w:rsidRDefault="00D033A5" w:rsidP="00F71CBD">
            <w:pPr>
              <w:pStyle w:val="BodyText"/>
              <w:spacing w:line="480" w:lineRule="auto"/>
              <w:rPr>
                <w:b w:val="0"/>
                <w:sz w:val="22"/>
                <w:szCs w:val="22"/>
              </w:rPr>
            </w:pPr>
            <w:r>
              <w:rPr>
                <w:b w:val="0"/>
                <w:sz w:val="22"/>
                <w:szCs w:val="22"/>
              </w:rPr>
              <w:t>836.24 (145.14)</w:t>
            </w:r>
          </w:p>
        </w:tc>
        <w:tc>
          <w:tcPr>
            <w:tcW w:w="508" w:type="pct"/>
            <w:shd w:val="clear" w:color="auto" w:fill="auto"/>
          </w:tcPr>
          <w:p w14:paraId="35F798E1" w14:textId="77777777" w:rsidR="00F101E7" w:rsidRPr="00D033A5" w:rsidRDefault="00EF6934" w:rsidP="00F71CBD">
            <w:pPr>
              <w:pStyle w:val="BodyText"/>
              <w:spacing w:line="480" w:lineRule="auto"/>
              <w:rPr>
                <w:b w:val="0"/>
                <w:sz w:val="22"/>
                <w:szCs w:val="22"/>
              </w:rPr>
            </w:pPr>
            <w:r>
              <w:rPr>
                <w:b w:val="0"/>
                <w:sz w:val="22"/>
                <w:szCs w:val="22"/>
              </w:rPr>
              <w:t>- 35.29 (112.44)</w:t>
            </w:r>
          </w:p>
        </w:tc>
        <w:tc>
          <w:tcPr>
            <w:tcW w:w="497" w:type="pct"/>
            <w:shd w:val="clear" w:color="auto" w:fill="auto"/>
          </w:tcPr>
          <w:p w14:paraId="76B0BE43" w14:textId="77777777" w:rsidR="00F101E7" w:rsidRPr="00D033A5" w:rsidRDefault="005E17C9" w:rsidP="00F71CBD">
            <w:pPr>
              <w:pStyle w:val="BodyText"/>
              <w:spacing w:line="480" w:lineRule="auto"/>
              <w:rPr>
                <w:b w:val="0"/>
                <w:sz w:val="22"/>
                <w:szCs w:val="22"/>
              </w:rPr>
            </w:pPr>
            <w:r w:rsidRPr="00D033A5">
              <w:rPr>
                <w:b w:val="0"/>
                <w:sz w:val="22"/>
                <w:szCs w:val="22"/>
                <w:lang w:val="en-US"/>
              </w:rPr>
              <w:t>811.06 (128.61)</w:t>
            </w:r>
          </w:p>
        </w:tc>
        <w:tc>
          <w:tcPr>
            <w:tcW w:w="476" w:type="pct"/>
            <w:shd w:val="clear" w:color="auto" w:fill="auto"/>
          </w:tcPr>
          <w:p w14:paraId="757FF7F6" w14:textId="77777777" w:rsidR="00F101E7" w:rsidRPr="00D033A5" w:rsidRDefault="005E17C9" w:rsidP="00F71CBD">
            <w:pPr>
              <w:pStyle w:val="BodyText"/>
              <w:spacing w:line="480" w:lineRule="auto"/>
              <w:rPr>
                <w:b w:val="0"/>
                <w:sz w:val="22"/>
                <w:szCs w:val="22"/>
              </w:rPr>
            </w:pPr>
            <w:r w:rsidRPr="00D033A5">
              <w:rPr>
                <w:b w:val="0"/>
                <w:sz w:val="22"/>
                <w:szCs w:val="22"/>
              </w:rPr>
              <w:t>810.121 (149.36)</w:t>
            </w:r>
          </w:p>
        </w:tc>
        <w:tc>
          <w:tcPr>
            <w:tcW w:w="517" w:type="pct"/>
            <w:shd w:val="clear" w:color="auto" w:fill="auto"/>
          </w:tcPr>
          <w:p w14:paraId="4958A0A9" w14:textId="77777777" w:rsidR="00F101E7" w:rsidRPr="00D033A5" w:rsidRDefault="00EF6934" w:rsidP="00F71CBD">
            <w:pPr>
              <w:pStyle w:val="BodyText"/>
              <w:spacing w:line="480" w:lineRule="auto"/>
              <w:rPr>
                <w:b w:val="0"/>
                <w:sz w:val="22"/>
                <w:szCs w:val="22"/>
              </w:rPr>
            </w:pPr>
            <w:r>
              <w:rPr>
                <w:b w:val="0"/>
                <w:sz w:val="22"/>
                <w:szCs w:val="22"/>
              </w:rPr>
              <w:t>+ 0.94 (95.25)</w:t>
            </w:r>
          </w:p>
        </w:tc>
      </w:tr>
      <w:tr w:rsidR="007C0CE9" w:rsidRPr="00D033A5" w14:paraId="4CF65117" w14:textId="77777777" w:rsidTr="007C0CE9">
        <w:tc>
          <w:tcPr>
            <w:tcW w:w="677" w:type="pct"/>
            <w:shd w:val="clear" w:color="auto" w:fill="auto"/>
          </w:tcPr>
          <w:p w14:paraId="09ADAD93" w14:textId="77777777" w:rsidR="00F101E7" w:rsidRPr="00D033A5" w:rsidRDefault="007F3394" w:rsidP="00F71CBD">
            <w:pPr>
              <w:pStyle w:val="BodyText"/>
              <w:spacing w:line="480" w:lineRule="auto"/>
              <w:rPr>
                <w:b w:val="0"/>
                <w:sz w:val="22"/>
                <w:szCs w:val="22"/>
              </w:rPr>
            </w:pPr>
            <w:r w:rsidRPr="00D033A5">
              <w:rPr>
                <w:b w:val="0"/>
                <w:sz w:val="22"/>
                <w:szCs w:val="22"/>
              </w:rPr>
              <w:t>Total</w:t>
            </w:r>
          </w:p>
        </w:tc>
        <w:tc>
          <w:tcPr>
            <w:tcW w:w="476" w:type="pct"/>
            <w:shd w:val="clear" w:color="auto" w:fill="auto"/>
          </w:tcPr>
          <w:p w14:paraId="66E8863D" w14:textId="77777777" w:rsidR="00F101E7" w:rsidRPr="00D033A5" w:rsidRDefault="005E17C9" w:rsidP="00F71CBD">
            <w:pPr>
              <w:pStyle w:val="BodyText"/>
              <w:spacing w:line="480" w:lineRule="auto"/>
              <w:rPr>
                <w:b w:val="0"/>
                <w:sz w:val="22"/>
                <w:szCs w:val="22"/>
              </w:rPr>
            </w:pPr>
            <w:r w:rsidRPr="00D033A5">
              <w:rPr>
                <w:b w:val="0"/>
                <w:sz w:val="22"/>
                <w:szCs w:val="22"/>
              </w:rPr>
              <w:t>836.91 (141.83)</w:t>
            </w:r>
          </w:p>
        </w:tc>
        <w:tc>
          <w:tcPr>
            <w:tcW w:w="476" w:type="pct"/>
            <w:shd w:val="clear" w:color="auto" w:fill="auto"/>
          </w:tcPr>
          <w:p w14:paraId="0172C7F4" w14:textId="77777777" w:rsidR="00F101E7" w:rsidRPr="00D033A5" w:rsidRDefault="00D033A5" w:rsidP="00F71CBD">
            <w:pPr>
              <w:pStyle w:val="BodyText"/>
              <w:spacing w:line="480" w:lineRule="auto"/>
              <w:rPr>
                <w:b w:val="0"/>
                <w:sz w:val="22"/>
                <w:szCs w:val="22"/>
              </w:rPr>
            </w:pPr>
            <w:r w:rsidRPr="00D033A5">
              <w:rPr>
                <w:b w:val="0"/>
                <w:sz w:val="22"/>
                <w:szCs w:val="22"/>
              </w:rPr>
              <w:t>825.11 (134.01)</w:t>
            </w:r>
          </w:p>
        </w:tc>
        <w:tc>
          <w:tcPr>
            <w:tcW w:w="422" w:type="pct"/>
            <w:shd w:val="clear" w:color="auto" w:fill="auto"/>
          </w:tcPr>
          <w:p w14:paraId="2B6D7D6F" w14:textId="72697EE6" w:rsidR="00F101E7" w:rsidRPr="00D033A5" w:rsidRDefault="00EF6934" w:rsidP="00F71CBD">
            <w:pPr>
              <w:pStyle w:val="BodyText"/>
              <w:spacing w:line="480" w:lineRule="auto"/>
              <w:rPr>
                <w:b w:val="0"/>
                <w:sz w:val="22"/>
                <w:szCs w:val="22"/>
              </w:rPr>
            </w:pPr>
            <w:r>
              <w:rPr>
                <w:b w:val="0"/>
                <w:sz w:val="22"/>
                <w:szCs w:val="22"/>
              </w:rPr>
              <w:t>+ 11.8</w:t>
            </w:r>
            <w:r w:rsidR="00265809">
              <w:rPr>
                <w:b w:val="0"/>
                <w:sz w:val="22"/>
                <w:szCs w:val="22"/>
              </w:rPr>
              <w:t xml:space="preserve"> </w:t>
            </w:r>
            <w:r>
              <w:rPr>
                <w:b w:val="0"/>
                <w:sz w:val="22"/>
                <w:szCs w:val="22"/>
              </w:rPr>
              <w:t>(93.22</w:t>
            </w:r>
            <w:r w:rsidR="00265809">
              <w:rPr>
                <w:b w:val="0"/>
                <w:sz w:val="22"/>
                <w:szCs w:val="22"/>
              </w:rPr>
              <w:t>)</w:t>
            </w:r>
          </w:p>
        </w:tc>
        <w:tc>
          <w:tcPr>
            <w:tcW w:w="476" w:type="pct"/>
            <w:shd w:val="clear" w:color="auto" w:fill="auto"/>
          </w:tcPr>
          <w:p w14:paraId="2271E218" w14:textId="77777777" w:rsidR="00F101E7" w:rsidRPr="00D033A5" w:rsidRDefault="00D033A5" w:rsidP="00F71CBD">
            <w:pPr>
              <w:pStyle w:val="BodyText"/>
              <w:spacing w:line="480" w:lineRule="auto"/>
              <w:rPr>
                <w:b w:val="0"/>
                <w:sz w:val="22"/>
                <w:szCs w:val="22"/>
              </w:rPr>
            </w:pPr>
            <w:r>
              <w:rPr>
                <w:b w:val="0"/>
                <w:sz w:val="22"/>
                <w:szCs w:val="22"/>
              </w:rPr>
              <w:t>819.72 (128.39)</w:t>
            </w:r>
          </w:p>
        </w:tc>
        <w:tc>
          <w:tcPr>
            <w:tcW w:w="476" w:type="pct"/>
            <w:shd w:val="clear" w:color="auto" w:fill="auto"/>
          </w:tcPr>
          <w:p w14:paraId="05FB7EBD" w14:textId="77777777" w:rsidR="00F101E7" w:rsidRPr="00D033A5" w:rsidRDefault="00D033A5" w:rsidP="00F71CBD">
            <w:pPr>
              <w:pStyle w:val="BodyText"/>
              <w:spacing w:line="480" w:lineRule="auto"/>
              <w:rPr>
                <w:b w:val="0"/>
                <w:sz w:val="22"/>
                <w:szCs w:val="22"/>
              </w:rPr>
            </w:pPr>
            <w:r>
              <w:rPr>
                <w:b w:val="0"/>
                <w:sz w:val="22"/>
                <w:szCs w:val="22"/>
              </w:rPr>
              <w:t>822.13 (124.93)</w:t>
            </w:r>
          </w:p>
        </w:tc>
        <w:tc>
          <w:tcPr>
            <w:tcW w:w="508" w:type="pct"/>
            <w:shd w:val="clear" w:color="auto" w:fill="auto"/>
          </w:tcPr>
          <w:p w14:paraId="1C39C37C" w14:textId="77777777" w:rsidR="00F101E7" w:rsidRPr="00D033A5" w:rsidRDefault="00EF6934" w:rsidP="00F71CBD">
            <w:pPr>
              <w:pStyle w:val="BodyText"/>
              <w:spacing w:line="480" w:lineRule="auto"/>
              <w:rPr>
                <w:b w:val="0"/>
                <w:sz w:val="22"/>
                <w:szCs w:val="22"/>
              </w:rPr>
            </w:pPr>
            <w:r>
              <w:rPr>
                <w:b w:val="0"/>
                <w:sz w:val="22"/>
                <w:szCs w:val="22"/>
              </w:rPr>
              <w:t>- 2.41 (125.03)</w:t>
            </w:r>
          </w:p>
        </w:tc>
        <w:tc>
          <w:tcPr>
            <w:tcW w:w="497" w:type="pct"/>
            <w:shd w:val="clear" w:color="auto" w:fill="auto"/>
          </w:tcPr>
          <w:p w14:paraId="6F0D2B52" w14:textId="77777777" w:rsidR="00F101E7" w:rsidRPr="00D033A5" w:rsidRDefault="005E17C9" w:rsidP="00F71CBD">
            <w:pPr>
              <w:pStyle w:val="BodyText"/>
              <w:spacing w:line="480" w:lineRule="auto"/>
              <w:rPr>
                <w:b w:val="0"/>
                <w:sz w:val="22"/>
                <w:szCs w:val="22"/>
              </w:rPr>
            </w:pPr>
            <w:r w:rsidRPr="00D033A5">
              <w:rPr>
                <w:b w:val="0"/>
                <w:sz w:val="22"/>
                <w:szCs w:val="22"/>
              </w:rPr>
              <w:t>834.32 (123.62)</w:t>
            </w:r>
          </w:p>
        </w:tc>
        <w:tc>
          <w:tcPr>
            <w:tcW w:w="476" w:type="pct"/>
            <w:shd w:val="clear" w:color="auto" w:fill="auto"/>
          </w:tcPr>
          <w:p w14:paraId="6743E4FB" w14:textId="77777777" w:rsidR="00F101E7" w:rsidRPr="00D033A5" w:rsidRDefault="005E17C9" w:rsidP="00F71CBD">
            <w:pPr>
              <w:pStyle w:val="BodyText"/>
              <w:spacing w:line="480" w:lineRule="auto"/>
              <w:rPr>
                <w:b w:val="0"/>
                <w:sz w:val="22"/>
                <w:szCs w:val="22"/>
              </w:rPr>
            </w:pPr>
            <w:r w:rsidRPr="00D033A5">
              <w:rPr>
                <w:b w:val="0"/>
                <w:sz w:val="22"/>
                <w:szCs w:val="22"/>
              </w:rPr>
              <w:t>803.92 (130.40</w:t>
            </w:r>
          </w:p>
        </w:tc>
        <w:tc>
          <w:tcPr>
            <w:tcW w:w="517" w:type="pct"/>
            <w:shd w:val="clear" w:color="auto" w:fill="auto"/>
          </w:tcPr>
          <w:p w14:paraId="32B460E7" w14:textId="68888F7E" w:rsidR="00F101E7" w:rsidRPr="00D033A5" w:rsidRDefault="00EF6934" w:rsidP="00F71CBD">
            <w:pPr>
              <w:pStyle w:val="BodyText"/>
              <w:spacing w:line="480" w:lineRule="auto"/>
              <w:rPr>
                <w:b w:val="0"/>
                <w:sz w:val="22"/>
                <w:szCs w:val="22"/>
              </w:rPr>
            </w:pPr>
            <w:r>
              <w:rPr>
                <w:b w:val="0"/>
                <w:sz w:val="22"/>
                <w:szCs w:val="22"/>
              </w:rPr>
              <w:t xml:space="preserve">+ </w:t>
            </w:r>
            <w:r w:rsidR="007C0CE9">
              <w:rPr>
                <w:b w:val="0"/>
                <w:sz w:val="22"/>
                <w:szCs w:val="22"/>
              </w:rPr>
              <w:t>30</w:t>
            </w:r>
            <w:r>
              <w:rPr>
                <w:b w:val="0"/>
                <w:sz w:val="22"/>
                <w:szCs w:val="22"/>
              </w:rPr>
              <w:t>.</w:t>
            </w:r>
            <w:r w:rsidR="007C0CE9">
              <w:rPr>
                <w:b w:val="0"/>
                <w:sz w:val="22"/>
                <w:szCs w:val="22"/>
              </w:rPr>
              <w:t>4</w:t>
            </w:r>
            <w:r>
              <w:rPr>
                <w:b w:val="0"/>
                <w:sz w:val="22"/>
                <w:szCs w:val="22"/>
              </w:rPr>
              <w:t xml:space="preserve"> (93.22)</w:t>
            </w:r>
          </w:p>
        </w:tc>
      </w:tr>
    </w:tbl>
    <w:p w14:paraId="2091AAA9" w14:textId="066BE54F" w:rsidR="007B5FAB" w:rsidRDefault="007B5FAB">
      <w:pPr>
        <w:pStyle w:val="BodyText"/>
        <w:spacing w:line="480" w:lineRule="auto"/>
        <w:rPr>
          <w:b w:val="0"/>
        </w:rPr>
      </w:pPr>
      <w:r>
        <w:rPr>
          <w:b w:val="0"/>
        </w:rPr>
        <w:t xml:space="preserve">Note: </w:t>
      </w:r>
      <w:r w:rsidR="003C23D2">
        <w:rPr>
          <w:b w:val="0"/>
        </w:rPr>
        <w:t>NPSUs</w:t>
      </w:r>
      <w:r>
        <w:rPr>
          <w:b w:val="0"/>
        </w:rPr>
        <w:t xml:space="preserve"> = </w:t>
      </w:r>
      <w:r w:rsidR="00F841FA">
        <w:rPr>
          <w:b w:val="0"/>
        </w:rPr>
        <w:t>novel psychoactive substance</w:t>
      </w:r>
      <w:r>
        <w:rPr>
          <w:b w:val="0"/>
        </w:rPr>
        <w:t xml:space="preserve"> user; </w:t>
      </w:r>
      <w:proofErr w:type="spellStart"/>
      <w:r>
        <w:rPr>
          <w:b w:val="0"/>
        </w:rPr>
        <w:t>n</w:t>
      </w:r>
      <w:r w:rsidR="003C23D2">
        <w:rPr>
          <w:b w:val="0"/>
        </w:rPr>
        <w:t>NPSUs</w:t>
      </w:r>
      <w:proofErr w:type="spellEnd"/>
      <w:r>
        <w:rPr>
          <w:b w:val="0"/>
        </w:rPr>
        <w:t xml:space="preserve"> = </w:t>
      </w:r>
      <w:proofErr w:type="gramStart"/>
      <w:r>
        <w:rPr>
          <w:b w:val="0"/>
        </w:rPr>
        <w:t xml:space="preserve">non </w:t>
      </w:r>
      <w:r w:rsidR="00F841FA">
        <w:rPr>
          <w:b w:val="0"/>
        </w:rPr>
        <w:t>novel</w:t>
      </w:r>
      <w:proofErr w:type="gramEnd"/>
      <w:r w:rsidR="00F841FA">
        <w:rPr>
          <w:b w:val="0"/>
        </w:rPr>
        <w:t xml:space="preserve"> psychoactive substance user</w:t>
      </w:r>
    </w:p>
    <w:p w14:paraId="0F4CDDEE" w14:textId="77777777" w:rsidR="009F5FD5" w:rsidRDefault="009F5FD5">
      <w:pPr>
        <w:pStyle w:val="BodyText"/>
        <w:spacing w:line="480" w:lineRule="auto"/>
      </w:pPr>
    </w:p>
    <w:p w14:paraId="12EAA059" w14:textId="77777777" w:rsidR="009F5FD5" w:rsidRDefault="009F5FD5">
      <w:pPr>
        <w:pStyle w:val="BodyText"/>
        <w:spacing w:line="480" w:lineRule="auto"/>
      </w:pPr>
    </w:p>
    <w:p w14:paraId="4E16223D" w14:textId="77777777" w:rsidR="009F5FD5" w:rsidRDefault="009F5FD5">
      <w:pPr>
        <w:pStyle w:val="BodyText"/>
        <w:spacing w:line="480" w:lineRule="auto"/>
      </w:pPr>
    </w:p>
    <w:p w14:paraId="422C68EF" w14:textId="77777777" w:rsidR="009F5FD5" w:rsidRDefault="009F5FD5">
      <w:pPr>
        <w:pStyle w:val="BodyText"/>
        <w:spacing w:line="480" w:lineRule="auto"/>
      </w:pPr>
    </w:p>
    <w:p w14:paraId="3CC26C72" w14:textId="77777777" w:rsidR="00F71CBD" w:rsidRDefault="00F71CBD">
      <w:pPr>
        <w:pStyle w:val="BodyText"/>
        <w:spacing w:line="480" w:lineRule="auto"/>
      </w:pPr>
    </w:p>
    <w:p w14:paraId="09C7202B" w14:textId="77777777" w:rsidR="002A62D7" w:rsidRDefault="002A62D7">
      <w:pPr>
        <w:pStyle w:val="BodyText"/>
        <w:rPr>
          <w:b w:val="0"/>
        </w:rPr>
      </w:pPr>
    </w:p>
    <w:p w14:paraId="3729C16D" w14:textId="77777777" w:rsidR="00F71CBD" w:rsidRDefault="007B5FAB" w:rsidP="003C23D2">
      <w:pPr>
        <w:pStyle w:val="BodyText"/>
        <w:outlineLvl w:val="0"/>
        <w:rPr>
          <w:b w:val="0"/>
        </w:rPr>
      </w:pPr>
      <w:r>
        <w:rPr>
          <w:b w:val="0"/>
        </w:rPr>
        <w:br w:type="page"/>
      </w:r>
      <w:r w:rsidR="00C37C77">
        <w:rPr>
          <w:b w:val="0"/>
        </w:rPr>
        <w:lastRenderedPageBreak/>
        <w:t>Appendix</w:t>
      </w:r>
    </w:p>
    <w:p w14:paraId="57EE4817" w14:textId="77777777" w:rsidR="00C37C77" w:rsidRDefault="00C37C77">
      <w:pPr>
        <w:pStyle w:val="BodyText"/>
        <w:rPr>
          <w:b w:val="0"/>
        </w:rPr>
      </w:pPr>
    </w:p>
    <w:p w14:paraId="6B507DDC" w14:textId="77777777" w:rsidR="00C37C77" w:rsidRDefault="00C37C77" w:rsidP="003C23D2">
      <w:pPr>
        <w:pStyle w:val="BodyText"/>
        <w:outlineLvl w:val="0"/>
        <w:rPr>
          <w:b w:val="0"/>
        </w:rPr>
      </w:pPr>
      <w:r>
        <w:rPr>
          <w:b w:val="0"/>
          <w:i/>
        </w:rPr>
        <w:t>Words used in each of experimental categories</w:t>
      </w:r>
    </w:p>
    <w:p w14:paraId="09F94328" w14:textId="77777777" w:rsidR="00C37C77" w:rsidRDefault="00C37C77">
      <w:pPr>
        <w:pStyle w:val="BodyText"/>
        <w:rPr>
          <w:b w:val="0"/>
        </w:rPr>
      </w:pPr>
    </w:p>
    <w:p w14:paraId="3A920E1A" w14:textId="2F708D9A" w:rsidR="00C37C77" w:rsidRPr="00C37C77" w:rsidRDefault="007B6A45">
      <w:pPr>
        <w:pStyle w:val="BodyText"/>
        <w:rPr>
          <w:b w:val="0"/>
          <w:i/>
        </w:rPr>
      </w:pPr>
      <w:r>
        <w:rPr>
          <w:b w:val="0"/>
          <w:i/>
        </w:rPr>
        <w:t>NPS</w:t>
      </w:r>
      <w:r>
        <w:rPr>
          <w:b w:val="0"/>
          <w:i/>
        </w:rPr>
        <w:tab/>
      </w:r>
      <w:r w:rsidR="00C37C77">
        <w:rPr>
          <w:b w:val="0"/>
          <w:i/>
        </w:rPr>
        <w:tab/>
        <w:t xml:space="preserve">Matched </w:t>
      </w:r>
      <w:r w:rsidR="00C37C77">
        <w:rPr>
          <w:b w:val="0"/>
          <w:i/>
        </w:rPr>
        <w:tab/>
      </w:r>
      <w:r>
        <w:rPr>
          <w:b w:val="0"/>
          <w:i/>
        </w:rPr>
        <w:t>NPS</w:t>
      </w:r>
      <w:r w:rsidR="00A2653B">
        <w:rPr>
          <w:b w:val="0"/>
          <w:i/>
        </w:rPr>
        <w:t>+</w:t>
      </w:r>
      <w:r w:rsidR="00A2653B">
        <w:rPr>
          <w:b w:val="0"/>
          <w:i/>
        </w:rPr>
        <w:tab/>
      </w:r>
      <w:r>
        <w:rPr>
          <w:b w:val="0"/>
          <w:i/>
        </w:rPr>
        <w:tab/>
      </w:r>
      <w:r w:rsidR="00A2653B">
        <w:rPr>
          <w:b w:val="0"/>
          <w:i/>
        </w:rPr>
        <w:t>Matched</w:t>
      </w:r>
      <w:r w:rsidR="00A2653B">
        <w:rPr>
          <w:b w:val="0"/>
          <w:i/>
        </w:rPr>
        <w:tab/>
      </w:r>
      <w:r>
        <w:rPr>
          <w:b w:val="0"/>
          <w:i/>
        </w:rPr>
        <w:t>NPS</w:t>
      </w:r>
      <w:r w:rsidR="00A2653B">
        <w:rPr>
          <w:b w:val="0"/>
          <w:i/>
        </w:rPr>
        <w:t>-</w:t>
      </w:r>
      <w:r w:rsidR="00A2653B">
        <w:rPr>
          <w:b w:val="0"/>
          <w:i/>
        </w:rPr>
        <w:tab/>
      </w:r>
      <w:r>
        <w:rPr>
          <w:b w:val="0"/>
          <w:i/>
        </w:rPr>
        <w:tab/>
      </w:r>
      <w:r w:rsidR="00A2653B">
        <w:rPr>
          <w:b w:val="0"/>
          <w:i/>
        </w:rPr>
        <w:t>Matched</w:t>
      </w:r>
    </w:p>
    <w:p w14:paraId="1033DA9C" w14:textId="77777777" w:rsidR="00C37C77" w:rsidRDefault="00C37C77">
      <w:pPr>
        <w:pStyle w:val="BodyText"/>
        <w:rPr>
          <w:b w:val="0"/>
          <w:i/>
        </w:rPr>
      </w:pPr>
      <w:r>
        <w:rPr>
          <w:b w:val="0"/>
          <w:i/>
        </w:rPr>
        <w:t>Words</w:t>
      </w:r>
      <w:r>
        <w:rPr>
          <w:b w:val="0"/>
          <w:i/>
        </w:rPr>
        <w:tab/>
      </w:r>
      <w:r>
        <w:rPr>
          <w:b w:val="0"/>
          <w:i/>
        </w:rPr>
        <w:tab/>
        <w:t>Neutral</w:t>
      </w:r>
      <w:r w:rsidRPr="00C37C77">
        <w:rPr>
          <w:b w:val="0"/>
          <w:i/>
        </w:rPr>
        <w:tab/>
      </w:r>
      <w:r w:rsidR="00A2653B" w:rsidRPr="00C37C77">
        <w:rPr>
          <w:b w:val="0"/>
          <w:i/>
        </w:rPr>
        <w:t>Expectancy</w:t>
      </w:r>
      <w:r w:rsidRPr="00C37C77">
        <w:rPr>
          <w:b w:val="0"/>
          <w:i/>
        </w:rPr>
        <w:tab/>
      </w:r>
      <w:r w:rsidR="00A2653B">
        <w:rPr>
          <w:b w:val="0"/>
          <w:i/>
        </w:rPr>
        <w:t>Neutral</w:t>
      </w:r>
      <w:r w:rsidRPr="00C37C77">
        <w:rPr>
          <w:b w:val="0"/>
          <w:i/>
        </w:rPr>
        <w:tab/>
        <w:t>Expectancy</w:t>
      </w:r>
      <w:r w:rsidRPr="00C37C77">
        <w:rPr>
          <w:b w:val="0"/>
          <w:i/>
        </w:rPr>
        <w:tab/>
      </w:r>
      <w:r w:rsidR="00A2653B">
        <w:rPr>
          <w:b w:val="0"/>
          <w:i/>
        </w:rPr>
        <w:t>Neutral</w:t>
      </w:r>
    </w:p>
    <w:p w14:paraId="30563A03" w14:textId="77777777" w:rsidR="00A2653B" w:rsidRPr="00A2653B" w:rsidRDefault="00A2653B">
      <w:pPr>
        <w:pStyle w:val="BodyText"/>
        <w:rPr>
          <w:b w:val="0"/>
          <w:i/>
        </w:rPr>
      </w:pPr>
    </w:p>
    <w:p w14:paraId="76FC466D" w14:textId="77777777" w:rsidR="00C37C77" w:rsidRPr="00A2653B" w:rsidRDefault="00872D53">
      <w:pPr>
        <w:pStyle w:val="BodyText"/>
        <w:rPr>
          <w:b w:val="0"/>
          <w:sz w:val="22"/>
          <w:szCs w:val="22"/>
        </w:rPr>
      </w:pPr>
      <w:r>
        <w:rPr>
          <w:b w:val="0"/>
          <w:sz w:val="22"/>
          <w:szCs w:val="22"/>
        </w:rPr>
        <w:t>D</w:t>
      </w:r>
      <w:r w:rsidR="00C37C77" w:rsidRPr="00A2653B">
        <w:rPr>
          <w:b w:val="0"/>
          <w:sz w:val="22"/>
          <w:szCs w:val="22"/>
        </w:rPr>
        <w:t>ose</w:t>
      </w:r>
      <w:r w:rsidR="00693B22">
        <w:rPr>
          <w:b w:val="0"/>
          <w:sz w:val="22"/>
          <w:szCs w:val="22"/>
        </w:rPr>
        <w:tab/>
      </w:r>
      <w:r w:rsidR="00693B22">
        <w:rPr>
          <w:b w:val="0"/>
          <w:sz w:val="22"/>
          <w:szCs w:val="22"/>
        </w:rPr>
        <w:tab/>
        <w:t>f</w:t>
      </w:r>
      <w:r>
        <w:rPr>
          <w:b w:val="0"/>
          <w:sz w:val="22"/>
          <w:szCs w:val="22"/>
        </w:rPr>
        <w:t>erry</w:t>
      </w:r>
      <w:r>
        <w:rPr>
          <w:b w:val="0"/>
          <w:sz w:val="22"/>
          <w:szCs w:val="22"/>
        </w:rPr>
        <w:tab/>
      </w:r>
      <w:r>
        <w:rPr>
          <w:b w:val="0"/>
          <w:sz w:val="22"/>
          <w:szCs w:val="22"/>
        </w:rPr>
        <w:tab/>
        <w:t>euphoria</w:t>
      </w:r>
      <w:r>
        <w:rPr>
          <w:b w:val="0"/>
          <w:sz w:val="22"/>
          <w:szCs w:val="22"/>
        </w:rPr>
        <w:tab/>
        <w:t>raincoats</w:t>
      </w:r>
      <w:r>
        <w:rPr>
          <w:b w:val="0"/>
          <w:sz w:val="22"/>
          <w:szCs w:val="22"/>
        </w:rPr>
        <w:tab/>
        <w:t>p</w:t>
      </w:r>
      <w:r w:rsidR="00A2653B" w:rsidRPr="00A2653B">
        <w:rPr>
          <w:b w:val="0"/>
          <w:sz w:val="22"/>
          <w:szCs w:val="22"/>
        </w:rPr>
        <w:t>aranoid</w:t>
      </w:r>
      <w:r w:rsidR="00A2653B" w:rsidRPr="00A2653B">
        <w:rPr>
          <w:b w:val="0"/>
          <w:sz w:val="22"/>
          <w:szCs w:val="22"/>
        </w:rPr>
        <w:tab/>
      </w:r>
      <w:r>
        <w:rPr>
          <w:b w:val="0"/>
          <w:sz w:val="22"/>
          <w:szCs w:val="22"/>
        </w:rPr>
        <w:t>s</w:t>
      </w:r>
      <w:r w:rsidR="00A2653B">
        <w:rPr>
          <w:b w:val="0"/>
          <w:sz w:val="22"/>
          <w:szCs w:val="22"/>
        </w:rPr>
        <w:t>tairways</w:t>
      </w:r>
    </w:p>
    <w:p w14:paraId="4726AC6C" w14:textId="77777777" w:rsidR="00C37C77" w:rsidRPr="00A2653B" w:rsidRDefault="00C37C77">
      <w:pPr>
        <w:pStyle w:val="BodyText"/>
        <w:rPr>
          <w:b w:val="0"/>
          <w:sz w:val="22"/>
          <w:szCs w:val="22"/>
        </w:rPr>
      </w:pPr>
      <w:r w:rsidRPr="00A2653B">
        <w:rPr>
          <w:b w:val="0"/>
          <w:sz w:val="22"/>
          <w:szCs w:val="22"/>
        </w:rPr>
        <w:t>Spice</w:t>
      </w:r>
      <w:r w:rsidR="00872D53">
        <w:rPr>
          <w:b w:val="0"/>
          <w:sz w:val="22"/>
          <w:szCs w:val="22"/>
        </w:rPr>
        <w:tab/>
      </w:r>
      <w:r w:rsidR="00872D53">
        <w:rPr>
          <w:b w:val="0"/>
          <w:sz w:val="22"/>
          <w:szCs w:val="22"/>
        </w:rPr>
        <w:tab/>
        <w:t>aces</w:t>
      </w:r>
      <w:r w:rsidR="00872D53">
        <w:rPr>
          <w:b w:val="0"/>
          <w:sz w:val="22"/>
          <w:szCs w:val="22"/>
        </w:rPr>
        <w:tab/>
      </w:r>
      <w:r w:rsidR="00872D53">
        <w:rPr>
          <w:b w:val="0"/>
          <w:sz w:val="22"/>
          <w:szCs w:val="22"/>
        </w:rPr>
        <w:tab/>
        <w:t>e</w:t>
      </w:r>
      <w:r w:rsidR="00A2653B" w:rsidRPr="00A2653B">
        <w:rPr>
          <w:b w:val="0"/>
          <w:sz w:val="22"/>
          <w:szCs w:val="22"/>
        </w:rPr>
        <w:t>xcited</w:t>
      </w:r>
      <w:r w:rsidR="00A2653B" w:rsidRPr="00A2653B">
        <w:rPr>
          <w:b w:val="0"/>
          <w:sz w:val="22"/>
          <w:szCs w:val="22"/>
        </w:rPr>
        <w:tab/>
      </w:r>
      <w:r w:rsidR="00A2653B">
        <w:rPr>
          <w:b w:val="0"/>
          <w:sz w:val="22"/>
          <w:szCs w:val="22"/>
        </w:rPr>
        <w:tab/>
      </w:r>
      <w:r w:rsidR="00872D53">
        <w:rPr>
          <w:b w:val="0"/>
          <w:sz w:val="22"/>
          <w:szCs w:val="22"/>
        </w:rPr>
        <w:t>d</w:t>
      </w:r>
      <w:r w:rsidR="00A2653B" w:rsidRPr="00A2653B">
        <w:rPr>
          <w:b w:val="0"/>
          <w:sz w:val="22"/>
          <w:szCs w:val="22"/>
        </w:rPr>
        <w:t>egrees</w:t>
      </w:r>
      <w:r w:rsidR="00A2653B" w:rsidRPr="00A2653B">
        <w:rPr>
          <w:b w:val="0"/>
          <w:sz w:val="22"/>
          <w:szCs w:val="22"/>
        </w:rPr>
        <w:tab/>
      </w:r>
      <w:r w:rsidR="00872D53">
        <w:rPr>
          <w:b w:val="0"/>
          <w:sz w:val="22"/>
          <w:szCs w:val="22"/>
        </w:rPr>
        <w:tab/>
        <w:t>h</w:t>
      </w:r>
      <w:r w:rsidR="00A2653B" w:rsidRPr="00A2653B">
        <w:rPr>
          <w:b w:val="0"/>
          <w:sz w:val="22"/>
          <w:szCs w:val="22"/>
        </w:rPr>
        <w:t>eadache</w:t>
      </w:r>
      <w:r w:rsidR="00A2653B">
        <w:rPr>
          <w:b w:val="0"/>
          <w:sz w:val="22"/>
          <w:szCs w:val="22"/>
        </w:rPr>
        <w:tab/>
      </w:r>
      <w:r w:rsidR="00872D53">
        <w:rPr>
          <w:b w:val="0"/>
          <w:sz w:val="22"/>
          <w:szCs w:val="22"/>
        </w:rPr>
        <w:t>b</w:t>
      </w:r>
      <w:r w:rsidR="00A2653B" w:rsidRPr="00A2653B">
        <w:rPr>
          <w:b w:val="0"/>
          <w:sz w:val="22"/>
          <w:szCs w:val="22"/>
        </w:rPr>
        <w:t>earings</w:t>
      </w:r>
    </w:p>
    <w:p w14:paraId="31B18992" w14:textId="77777777" w:rsidR="00C37C77" w:rsidRPr="00A2653B" w:rsidRDefault="00C37C77">
      <w:pPr>
        <w:pStyle w:val="BodyText"/>
        <w:rPr>
          <w:b w:val="0"/>
          <w:sz w:val="22"/>
          <w:szCs w:val="22"/>
        </w:rPr>
      </w:pPr>
      <w:r w:rsidRPr="00A2653B">
        <w:rPr>
          <w:b w:val="0"/>
          <w:sz w:val="22"/>
          <w:szCs w:val="22"/>
        </w:rPr>
        <w:t>Poison</w:t>
      </w:r>
      <w:r w:rsidR="00872D53">
        <w:rPr>
          <w:b w:val="0"/>
          <w:sz w:val="22"/>
          <w:szCs w:val="22"/>
        </w:rPr>
        <w:tab/>
      </w:r>
      <w:r w:rsidR="00872D53">
        <w:rPr>
          <w:b w:val="0"/>
          <w:sz w:val="22"/>
          <w:szCs w:val="22"/>
        </w:rPr>
        <w:tab/>
        <w:t>s</w:t>
      </w:r>
      <w:r w:rsidR="00A2653B" w:rsidRPr="00A2653B">
        <w:rPr>
          <w:b w:val="0"/>
          <w:sz w:val="22"/>
          <w:szCs w:val="22"/>
        </w:rPr>
        <w:t>ewing</w:t>
      </w:r>
      <w:r w:rsidR="00A2653B" w:rsidRPr="00A2653B">
        <w:rPr>
          <w:b w:val="0"/>
          <w:sz w:val="22"/>
          <w:szCs w:val="22"/>
        </w:rPr>
        <w:tab/>
      </w:r>
      <w:r w:rsidR="00A2653B">
        <w:rPr>
          <w:b w:val="0"/>
          <w:sz w:val="22"/>
          <w:szCs w:val="22"/>
        </w:rPr>
        <w:tab/>
      </w:r>
      <w:r w:rsidR="00872D53">
        <w:rPr>
          <w:b w:val="0"/>
          <w:sz w:val="22"/>
          <w:szCs w:val="22"/>
        </w:rPr>
        <w:t>r</w:t>
      </w:r>
      <w:r w:rsidR="00A2653B" w:rsidRPr="00A2653B">
        <w:rPr>
          <w:b w:val="0"/>
          <w:sz w:val="22"/>
          <w:szCs w:val="22"/>
        </w:rPr>
        <w:t>elaxed</w:t>
      </w:r>
      <w:r w:rsidR="00A2653B" w:rsidRPr="00A2653B">
        <w:rPr>
          <w:b w:val="0"/>
          <w:sz w:val="22"/>
          <w:szCs w:val="22"/>
        </w:rPr>
        <w:tab/>
      </w:r>
      <w:r w:rsidR="00872D53">
        <w:rPr>
          <w:b w:val="0"/>
          <w:sz w:val="22"/>
          <w:szCs w:val="22"/>
        </w:rPr>
        <w:tab/>
        <w:t>s</w:t>
      </w:r>
      <w:r w:rsidR="00A2653B" w:rsidRPr="00A2653B">
        <w:rPr>
          <w:b w:val="0"/>
          <w:sz w:val="22"/>
          <w:szCs w:val="22"/>
        </w:rPr>
        <w:t>weater</w:t>
      </w:r>
      <w:r w:rsidR="00A2653B" w:rsidRPr="00A2653B">
        <w:rPr>
          <w:b w:val="0"/>
          <w:sz w:val="22"/>
          <w:szCs w:val="22"/>
        </w:rPr>
        <w:tab/>
      </w:r>
      <w:r w:rsidR="00A2653B">
        <w:rPr>
          <w:b w:val="0"/>
          <w:sz w:val="22"/>
          <w:szCs w:val="22"/>
        </w:rPr>
        <w:tab/>
      </w:r>
      <w:r w:rsidR="00872D53">
        <w:rPr>
          <w:b w:val="0"/>
          <w:sz w:val="22"/>
          <w:szCs w:val="22"/>
        </w:rPr>
        <w:t>w</w:t>
      </w:r>
      <w:r w:rsidR="00A2653B" w:rsidRPr="00A2653B">
        <w:rPr>
          <w:b w:val="0"/>
          <w:sz w:val="22"/>
          <w:szCs w:val="22"/>
        </w:rPr>
        <w:t>ithdraw</w:t>
      </w:r>
      <w:r w:rsidR="00872D53">
        <w:rPr>
          <w:b w:val="0"/>
          <w:sz w:val="22"/>
          <w:szCs w:val="22"/>
        </w:rPr>
        <w:tab/>
        <w:t>t</w:t>
      </w:r>
      <w:r w:rsidR="00A2653B">
        <w:rPr>
          <w:b w:val="0"/>
          <w:sz w:val="22"/>
          <w:szCs w:val="22"/>
        </w:rPr>
        <w:t>hermostat</w:t>
      </w:r>
    </w:p>
    <w:p w14:paraId="02F773D2" w14:textId="77777777" w:rsidR="00C37C77" w:rsidRPr="00A2653B" w:rsidRDefault="00C37C77">
      <w:pPr>
        <w:pStyle w:val="BodyText"/>
        <w:rPr>
          <w:b w:val="0"/>
          <w:sz w:val="22"/>
          <w:szCs w:val="22"/>
        </w:rPr>
      </w:pPr>
      <w:r w:rsidRPr="00A2653B">
        <w:rPr>
          <w:b w:val="0"/>
          <w:sz w:val="22"/>
          <w:szCs w:val="22"/>
        </w:rPr>
        <w:t>Bliss</w:t>
      </w:r>
      <w:r w:rsidR="00872D53">
        <w:rPr>
          <w:b w:val="0"/>
          <w:sz w:val="22"/>
          <w:szCs w:val="22"/>
        </w:rPr>
        <w:tab/>
      </w:r>
      <w:r w:rsidR="00872D53">
        <w:rPr>
          <w:b w:val="0"/>
          <w:sz w:val="22"/>
          <w:szCs w:val="22"/>
        </w:rPr>
        <w:tab/>
        <w:t>scalp</w:t>
      </w:r>
      <w:r w:rsidR="00872D53">
        <w:rPr>
          <w:b w:val="0"/>
          <w:sz w:val="22"/>
          <w:szCs w:val="22"/>
        </w:rPr>
        <w:tab/>
      </w:r>
      <w:r w:rsidR="00872D53">
        <w:rPr>
          <w:b w:val="0"/>
          <w:sz w:val="22"/>
          <w:szCs w:val="22"/>
        </w:rPr>
        <w:tab/>
        <w:t>e</w:t>
      </w:r>
      <w:r w:rsidR="00A2653B" w:rsidRPr="00A2653B">
        <w:rPr>
          <w:b w:val="0"/>
          <w:sz w:val="22"/>
          <w:szCs w:val="22"/>
        </w:rPr>
        <w:t>latio</w:t>
      </w:r>
      <w:r w:rsidR="00872D53">
        <w:rPr>
          <w:b w:val="0"/>
          <w:sz w:val="22"/>
          <w:szCs w:val="22"/>
        </w:rPr>
        <w:t>n</w:t>
      </w:r>
      <w:r w:rsidR="00872D53">
        <w:rPr>
          <w:b w:val="0"/>
          <w:sz w:val="22"/>
          <w:szCs w:val="22"/>
        </w:rPr>
        <w:tab/>
      </w:r>
      <w:r w:rsidR="00872D53">
        <w:rPr>
          <w:b w:val="0"/>
          <w:sz w:val="22"/>
          <w:szCs w:val="22"/>
        </w:rPr>
        <w:tab/>
        <w:t>m</w:t>
      </w:r>
      <w:r w:rsidR="00A2653B" w:rsidRPr="00A2653B">
        <w:rPr>
          <w:b w:val="0"/>
          <w:sz w:val="22"/>
          <w:szCs w:val="22"/>
        </w:rPr>
        <w:t>ittens</w:t>
      </w:r>
      <w:r w:rsidR="00A2653B" w:rsidRPr="00A2653B">
        <w:rPr>
          <w:b w:val="0"/>
          <w:sz w:val="22"/>
          <w:szCs w:val="22"/>
        </w:rPr>
        <w:tab/>
      </w:r>
      <w:r w:rsidR="00A2653B">
        <w:rPr>
          <w:b w:val="0"/>
          <w:sz w:val="22"/>
          <w:szCs w:val="22"/>
        </w:rPr>
        <w:tab/>
      </w:r>
      <w:r w:rsidR="00872D53">
        <w:rPr>
          <w:b w:val="0"/>
          <w:sz w:val="22"/>
          <w:szCs w:val="22"/>
        </w:rPr>
        <w:t>d</w:t>
      </w:r>
      <w:r w:rsidR="00A2653B" w:rsidRPr="00A2653B">
        <w:rPr>
          <w:b w:val="0"/>
          <w:sz w:val="22"/>
          <w:szCs w:val="22"/>
        </w:rPr>
        <w:t>epressed</w:t>
      </w:r>
      <w:r w:rsidR="00872D53">
        <w:rPr>
          <w:b w:val="0"/>
          <w:sz w:val="22"/>
          <w:szCs w:val="22"/>
        </w:rPr>
        <w:tab/>
        <w:t>n</w:t>
      </w:r>
      <w:r w:rsidR="00A2653B">
        <w:rPr>
          <w:b w:val="0"/>
          <w:sz w:val="22"/>
          <w:szCs w:val="22"/>
        </w:rPr>
        <w:t>arrator</w:t>
      </w:r>
    </w:p>
    <w:p w14:paraId="6A22E13B" w14:textId="77777777" w:rsidR="00C37C77" w:rsidRPr="00A2653B" w:rsidRDefault="00C37C77">
      <w:pPr>
        <w:pStyle w:val="BodyText"/>
        <w:rPr>
          <w:b w:val="0"/>
          <w:sz w:val="22"/>
          <w:szCs w:val="22"/>
        </w:rPr>
      </w:pPr>
      <w:r w:rsidRPr="00A2653B">
        <w:rPr>
          <w:b w:val="0"/>
          <w:sz w:val="22"/>
          <w:szCs w:val="22"/>
        </w:rPr>
        <w:t>Ching</w:t>
      </w:r>
      <w:r w:rsidR="00872D53">
        <w:rPr>
          <w:b w:val="0"/>
          <w:sz w:val="22"/>
          <w:szCs w:val="22"/>
        </w:rPr>
        <w:tab/>
      </w:r>
      <w:r w:rsidR="00872D53">
        <w:rPr>
          <w:b w:val="0"/>
          <w:sz w:val="22"/>
          <w:szCs w:val="22"/>
        </w:rPr>
        <w:tab/>
        <w:t>scoop</w:t>
      </w:r>
      <w:r w:rsidR="00872D53">
        <w:rPr>
          <w:b w:val="0"/>
          <w:sz w:val="22"/>
          <w:szCs w:val="22"/>
        </w:rPr>
        <w:tab/>
      </w:r>
      <w:r w:rsidR="00872D53">
        <w:rPr>
          <w:b w:val="0"/>
          <w:sz w:val="22"/>
          <w:szCs w:val="22"/>
        </w:rPr>
        <w:tab/>
        <w:t>pleasure</w:t>
      </w:r>
      <w:r w:rsidR="00872D53">
        <w:rPr>
          <w:b w:val="0"/>
          <w:sz w:val="22"/>
          <w:szCs w:val="22"/>
        </w:rPr>
        <w:tab/>
        <w:t>library</w:t>
      </w:r>
      <w:r w:rsidR="00872D53">
        <w:rPr>
          <w:b w:val="0"/>
          <w:sz w:val="22"/>
          <w:szCs w:val="22"/>
        </w:rPr>
        <w:tab/>
      </w:r>
      <w:r w:rsidR="00872D53">
        <w:rPr>
          <w:b w:val="0"/>
          <w:sz w:val="22"/>
          <w:szCs w:val="22"/>
        </w:rPr>
        <w:tab/>
        <w:t>s</w:t>
      </w:r>
      <w:r w:rsidR="00A2653B" w:rsidRPr="00A2653B">
        <w:rPr>
          <w:b w:val="0"/>
          <w:sz w:val="22"/>
          <w:szCs w:val="22"/>
        </w:rPr>
        <w:t>eizures</w:t>
      </w:r>
      <w:r w:rsidR="00872D53">
        <w:rPr>
          <w:b w:val="0"/>
          <w:sz w:val="22"/>
          <w:szCs w:val="22"/>
        </w:rPr>
        <w:tab/>
      </w:r>
      <w:r w:rsidR="00872D53">
        <w:rPr>
          <w:b w:val="0"/>
          <w:sz w:val="22"/>
          <w:szCs w:val="22"/>
        </w:rPr>
        <w:tab/>
        <w:t>f</w:t>
      </w:r>
      <w:r w:rsidR="00A2653B">
        <w:rPr>
          <w:b w:val="0"/>
          <w:sz w:val="22"/>
          <w:szCs w:val="22"/>
        </w:rPr>
        <w:t>eather</w:t>
      </w:r>
    </w:p>
    <w:p w14:paraId="57277923" w14:textId="77777777" w:rsidR="00C37C77" w:rsidRDefault="00C37C77">
      <w:pPr>
        <w:pStyle w:val="BodyText"/>
        <w:rPr>
          <w:b w:val="0"/>
          <w:sz w:val="22"/>
          <w:szCs w:val="22"/>
        </w:rPr>
      </w:pPr>
      <w:r w:rsidRPr="00A2653B">
        <w:rPr>
          <w:b w:val="0"/>
          <w:sz w:val="22"/>
          <w:szCs w:val="22"/>
        </w:rPr>
        <w:t>Rush</w:t>
      </w:r>
      <w:r w:rsidR="00872D53">
        <w:rPr>
          <w:b w:val="0"/>
          <w:sz w:val="22"/>
          <w:szCs w:val="22"/>
        </w:rPr>
        <w:tab/>
      </w:r>
      <w:r w:rsidR="00872D53">
        <w:rPr>
          <w:b w:val="0"/>
          <w:sz w:val="22"/>
          <w:szCs w:val="22"/>
        </w:rPr>
        <w:tab/>
        <w:t>grip</w:t>
      </w:r>
      <w:r w:rsidR="00872D53">
        <w:rPr>
          <w:b w:val="0"/>
          <w:sz w:val="22"/>
          <w:szCs w:val="22"/>
        </w:rPr>
        <w:tab/>
      </w:r>
      <w:r w:rsidR="00872D53">
        <w:rPr>
          <w:b w:val="0"/>
          <w:sz w:val="22"/>
          <w:szCs w:val="22"/>
        </w:rPr>
        <w:tab/>
        <w:t>energetic</w:t>
      </w:r>
      <w:r w:rsidR="00872D53">
        <w:rPr>
          <w:b w:val="0"/>
          <w:sz w:val="22"/>
          <w:szCs w:val="22"/>
        </w:rPr>
        <w:tab/>
        <w:t>acrylic</w:t>
      </w:r>
      <w:r w:rsidR="00872D53">
        <w:rPr>
          <w:b w:val="0"/>
          <w:sz w:val="22"/>
          <w:szCs w:val="22"/>
        </w:rPr>
        <w:tab/>
      </w:r>
      <w:r w:rsidR="00872D53">
        <w:rPr>
          <w:b w:val="0"/>
          <w:sz w:val="22"/>
          <w:szCs w:val="22"/>
        </w:rPr>
        <w:tab/>
        <w:t>s</w:t>
      </w:r>
      <w:r w:rsidR="00A2653B" w:rsidRPr="00A2653B">
        <w:rPr>
          <w:b w:val="0"/>
          <w:sz w:val="22"/>
          <w:szCs w:val="22"/>
        </w:rPr>
        <w:t>weating</w:t>
      </w:r>
      <w:r w:rsidR="00A2653B">
        <w:rPr>
          <w:b w:val="0"/>
          <w:sz w:val="22"/>
          <w:szCs w:val="22"/>
        </w:rPr>
        <w:tab/>
      </w:r>
      <w:r w:rsidR="00872D53">
        <w:rPr>
          <w:b w:val="0"/>
          <w:sz w:val="22"/>
          <w:szCs w:val="22"/>
        </w:rPr>
        <w:t>t</w:t>
      </w:r>
      <w:r w:rsidR="00A2653B" w:rsidRPr="00A2653B">
        <w:rPr>
          <w:b w:val="0"/>
          <w:sz w:val="22"/>
          <w:szCs w:val="22"/>
        </w:rPr>
        <w:t>imetable</w:t>
      </w:r>
    </w:p>
    <w:p w14:paraId="205F295B" w14:textId="77777777" w:rsidR="002A62D7" w:rsidRDefault="002A62D7">
      <w:pPr>
        <w:pStyle w:val="BodyText"/>
        <w:rPr>
          <w:b w:val="0"/>
          <w:sz w:val="22"/>
          <w:szCs w:val="22"/>
        </w:rPr>
      </w:pPr>
    </w:p>
    <w:p w14:paraId="7DC24246" w14:textId="77777777" w:rsidR="00355977" w:rsidRPr="00355977" w:rsidRDefault="00355977" w:rsidP="005E17C9">
      <w:pPr>
        <w:rPr>
          <w:szCs w:val="24"/>
          <w:lang w:val="en-US" w:eastAsia="en-US"/>
        </w:rPr>
      </w:pPr>
    </w:p>
    <w:p w14:paraId="20757CCE" w14:textId="77777777" w:rsidR="002A62D7" w:rsidRPr="00A2653B" w:rsidRDefault="002A62D7">
      <w:pPr>
        <w:pStyle w:val="BodyText"/>
        <w:rPr>
          <w:b w:val="0"/>
          <w:sz w:val="22"/>
          <w:szCs w:val="22"/>
        </w:rPr>
      </w:pPr>
    </w:p>
    <w:sectPr w:rsidR="002A62D7" w:rsidRPr="00A2653B" w:rsidSect="005D5955">
      <w:pgSz w:w="11909" w:h="16834" w:code="9"/>
      <w:pgMar w:top="1872" w:right="1872" w:bottom="1872" w:left="1872" w:header="108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4C435" w14:textId="77777777" w:rsidR="00D906B6" w:rsidRDefault="00D906B6">
      <w:r>
        <w:separator/>
      </w:r>
    </w:p>
  </w:endnote>
  <w:endnote w:type="continuationSeparator" w:id="0">
    <w:p w14:paraId="0BFF7927" w14:textId="77777777" w:rsidR="00D906B6" w:rsidRDefault="00D9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atang">
    <w:panose1 w:val="02030600000101010101"/>
    <w:charset w:val="81"/>
    <w:family w:val="auto"/>
    <w:pitch w:val="variable"/>
    <w:sig w:usb0="B00002AF" w:usb1="69D77CFB" w:usb2="00000030" w:usb3="00000000" w:csb0="0008009F" w:csb1="00000000"/>
  </w:font>
  <w:font w:name="Bookman Old Style">
    <w:panose1 w:val="02050604050505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D1AA9" w14:textId="77777777" w:rsidR="00D72108" w:rsidRDefault="00D721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D849A5D" w14:textId="77777777" w:rsidR="00D72108" w:rsidRDefault="00D7210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7FC18" w14:textId="77777777" w:rsidR="00D72108" w:rsidRDefault="00D721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35CB">
      <w:rPr>
        <w:rStyle w:val="PageNumber"/>
        <w:noProof/>
      </w:rPr>
      <w:t>2</w:t>
    </w:r>
    <w:r>
      <w:rPr>
        <w:rStyle w:val="PageNumber"/>
      </w:rPr>
      <w:fldChar w:fldCharType="end"/>
    </w:r>
  </w:p>
  <w:p w14:paraId="7E3EDA97" w14:textId="77777777" w:rsidR="00D72108" w:rsidRDefault="00D721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010E0" w14:textId="77777777" w:rsidR="00D906B6" w:rsidRDefault="00D906B6">
      <w:r>
        <w:separator/>
      </w:r>
    </w:p>
  </w:footnote>
  <w:footnote w:type="continuationSeparator" w:id="0">
    <w:p w14:paraId="3122A7FB" w14:textId="77777777" w:rsidR="00D906B6" w:rsidRDefault="00D906B6">
      <w:r>
        <w:continuationSeparator/>
      </w:r>
    </w:p>
  </w:footnote>
  <w:footnote w:id="1">
    <w:p w14:paraId="59144ACE" w14:textId="77777777" w:rsidR="00D72108" w:rsidRPr="00D76C64" w:rsidRDefault="00D72108">
      <w:pPr>
        <w:pStyle w:val="FootnoteText"/>
        <w:rPr>
          <w:lang w:val="en-US"/>
        </w:rPr>
      </w:pPr>
      <w:r>
        <w:rPr>
          <w:rStyle w:val="FootnoteReference"/>
        </w:rPr>
        <w:t>1</w:t>
      </w:r>
      <w:r>
        <w:t xml:space="preserve"> Error rates for all word group categories were less than 2 per cent.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136C0" w14:textId="77777777" w:rsidR="00D72108" w:rsidRDefault="00D721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2E4982" w14:textId="77777777" w:rsidR="00D72108" w:rsidRDefault="00D7210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5E7CA" w14:textId="77777777" w:rsidR="00D72108" w:rsidRDefault="00D721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35CB">
      <w:rPr>
        <w:rStyle w:val="PageNumber"/>
        <w:noProof/>
      </w:rPr>
      <w:t>2</w:t>
    </w:r>
    <w:r>
      <w:rPr>
        <w:rStyle w:val="PageNumber"/>
      </w:rPr>
      <w:fldChar w:fldCharType="end"/>
    </w:r>
  </w:p>
  <w:p w14:paraId="789A0B91" w14:textId="336FACAD" w:rsidR="00D72108" w:rsidRDefault="00D72108">
    <w:pPr>
      <w:pStyle w:val="Header"/>
      <w:ind w:right="360"/>
      <w:jc w:val="right"/>
    </w:pPr>
    <w:r>
      <w:t xml:space="preserve">Novel psychoactive substance use and attentional bias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1762E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hideGrammaticalErrors/>
  <w:proofState w:spelling="clean" w:grammar="clean"/>
  <w:revisionView w:comments="0" w:formatting="0" w:inkAnnotations="0"/>
  <w:doNotTrackMoves/>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9B4"/>
    <w:rsid w:val="00021E93"/>
    <w:rsid w:val="00022ED0"/>
    <w:rsid w:val="0002572B"/>
    <w:rsid w:val="0002673C"/>
    <w:rsid w:val="00033FF8"/>
    <w:rsid w:val="00041153"/>
    <w:rsid w:val="0004304F"/>
    <w:rsid w:val="00044B70"/>
    <w:rsid w:val="00065082"/>
    <w:rsid w:val="0007785D"/>
    <w:rsid w:val="00080CC0"/>
    <w:rsid w:val="000930FD"/>
    <w:rsid w:val="000A4072"/>
    <w:rsid w:val="000A6790"/>
    <w:rsid w:val="000B0DC7"/>
    <w:rsid w:val="000B76CD"/>
    <w:rsid w:val="000C188C"/>
    <w:rsid w:val="000C4546"/>
    <w:rsid w:val="000D20AA"/>
    <w:rsid w:val="000E153A"/>
    <w:rsid w:val="000E1602"/>
    <w:rsid w:val="000F3EB3"/>
    <w:rsid w:val="00100748"/>
    <w:rsid w:val="0010441D"/>
    <w:rsid w:val="00105B73"/>
    <w:rsid w:val="001135A4"/>
    <w:rsid w:val="00120644"/>
    <w:rsid w:val="0012202B"/>
    <w:rsid w:val="00126111"/>
    <w:rsid w:val="00144019"/>
    <w:rsid w:val="00167225"/>
    <w:rsid w:val="00173B4E"/>
    <w:rsid w:val="001769B6"/>
    <w:rsid w:val="00177061"/>
    <w:rsid w:val="00177B16"/>
    <w:rsid w:val="00185352"/>
    <w:rsid w:val="001A1E8F"/>
    <w:rsid w:val="001A5C3C"/>
    <w:rsid w:val="001A7668"/>
    <w:rsid w:val="001B6BB2"/>
    <w:rsid w:val="001C329F"/>
    <w:rsid w:val="001C4D37"/>
    <w:rsid w:val="001D0E20"/>
    <w:rsid w:val="001D16DC"/>
    <w:rsid w:val="001D5F50"/>
    <w:rsid w:val="001E3AB1"/>
    <w:rsid w:val="001E6AF2"/>
    <w:rsid w:val="001E77D3"/>
    <w:rsid w:val="001F6B48"/>
    <w:rsid w:val="00202325"/>
    <w:rsid w:val="00203053"/>
    <w:rsid w:val="0021209F"/>
    <w:rsid w:val="0021534E"/>
    <w:rsid w:val="0021546A"/>
    <w:rsid w:val="0022027B"/>
    <w:rsid w:val="0022472B"/>
    <w:rsid w:val="0023778A"/>
    <w:rsid w:val="00242EC9"/>
    <w:rsid w:val="00246ACF"/>
    <w:rsid w:val="00261761"/>
    <w:rsid w:val="00265809"/>
    <w:rsid w:val="0027119B"/>
    <w:rsid w:val="00283AAD"/>
    <w:rsid w:val="00283D56"/>
    <w:rsid w:val="002845F1"/>
    <w:rsid w:val="00290323"/>
    <w:rsid w:val="00293A15"/>
    <w:rsid w:val="00295F0E"/>
    <w:rsid w:val="00297732"/>
    <w:rsid w:val="002A0477"/>
    <w:rsid w:val="002A3133"/>
    <w:rsid w:val="002A62D7"/>
    <w:rsid w:val="002C0713"/>
    <w:rsid w:val="002C388F"/>
    <w:rsid w:val="002C7F09"/>
    <w:rsid w:val="002E1665"/>
    <w:rsid w:val="003001E2"/>
    <w:rsid w:val="00302410"/>
    <w:rsid w:val="00305992"/>
    <w:rsid w:val="00305FB8"/>
    <w:rsid w:val="00306165"/>
    <w:rsid w:val="0030698F"/>
    <w:rsid w:val="00311980"/>
    <w:rsid w:val="00311F8D"/>
    <w:rsid w:val="00313FA4"/>
    <w:rsid w:val="003204DB"/>
    <w:rsid w:val="00321CD4"/>
    <w:rsid w:val="00324C33"/>
    <w:rsid w:val="0032581E"/>
    <w:rsid w:val="003330C8"/>
    <w:rsid w:val="00336EDE"/>
    <w:rsid w:val="00337A8F"/>
    <w:rsid w:val="003409B6"/>
    <w:rsid w:val="00341425"/>
    <w:rsid w:val="003422E2"/>
    <w:rsid w:val="00342AAF"/>
    <w:rsid w:val="00350A37"/>
    <w:rsid w:val="00354496"/>
    <w:rsid w:val="00355977"/>
    <w:rsid w:val="00361F95"/>
    <w:rsid w:val="00375136"/>
    <w:rsid w:val="003772FB"/>
    <w:rsid w:val="00397B71"/>
    <w:rsid w:val="003A3F85"/>
    <w:rsid w:val="003B42E8"/>
    <w:rsid w:val="003C0DE9"/>
    <w:rsid w:val="003C23D2"/>
    <w:rsid w:val="003C333E"/>
    <w:rsid w:val="003D1585"/>
    <w:rsid w:val="003D6D0F"/>
    <w:rsid w:val="003E766A"/>
    <w:rsid w:val="003F6AC9"/>
    <w:rsid w:val="003F6B13"/>
    <w:rsid w:val="004005C6"/>
    <w:rsid w:val="0040084F"/>
    <w:rsid w:val="00401D19"/>
    <w:rsid w:val="00413381"/>
    <w:rsid w:val="004149B4"/>
    <w:rsid w:val="0042211F"/>
    <w:rsid w:val="00422135"/>
    <w:rsid w:val="00427E45"/>
    <w:rsid w:val="00431CE9"/>
    <w:rsid w:val="004331C5"/>
    <w:rsid w:val="0043634E"/>
    <w:rsid w:val="00437577"/>
    <w:rsid w:val="00437EA5"/>
    <w:rsid w:val="00444FDC"/>
    <w:rsid w:val="00445D57"/>
    <w:rsid w:val="00450C9B"/>
    <w:rsid w:val="0045113E"/>
    <w:rsid w:val="00455F41"/>
    <w:rsid w:val="00462D08"/>
    <w:rsid w:val="00473925"/>
    <w:rsid w:val="00475F37"/>
    <w:rsid w:val="00480499"/>
    <w:rsid w:val="00484EFA"/>
    <w:rsid w:val="00487C4B"/>
    <w:rsid w:val="00491044"/>
    <w:rsid w:val="00491FD3"/>
    <w:rsid w:val="0049352A"/>
    <w:rsid w:val="004A5048"/>
    <w:rsid w:val="004A610C"/>
    <w:rsid w:val="004A77B5"/>
    <w:rsid w:val="004B0DD9"/>
    <w:rsid w:val="004B7E98"/>
    <w:rsid w:val="004C6EA1"/>
    <w:rsid w:val="004D206C"/>
    <w:rsid w:val="004D5143"/>
    <w:rsid w:val="004E46CB"/>
    <w:rsid w:val="004E67EE"/>
    <w:rsid w:val="004F556D"/>
    <w:rsid w:val="005033F5"/>
    <w:rsid w:val="005035D4"/>
    <w:rsid w:val="00505C98"/>
    <w:rsid w:val="00512508"/>
    <w:rsid w:val="00513C26"/>
    <w:rsid w:val="00521D0B"/>
    <w:rsid w:val="005278D3"/>
    <w:rsid w:val="00536ADE"/>
    <w:rsid w:val="00544386"/>
    <w:rsid w:val="00552EDA"/>
    <w:rsid w:val="00560ACF"/>
    <w:rsid w:val="00562EFA"/>
    <w:rsid w:val="00567A1D"/>
    <w:rsid w:val="0057038B"/>
    <w:rsid w:val="00572894"/>
    <w:rsid w:val="005743C8"/>
    <w:rsid w:val="00576EF4"/>
    <w:rsid w:val="0058152E"/>
    <w:rsid w:val="00582C3B"/>
    <w:rsid w:val="00582D0A"/>
    <w:rsid w:val="00583262"/>
    <w:rsid w:val="005841A7"/>
    <w:rsid w:val="005A6401"/>
    <w:rsid w:val="005A7A4B"/>
    <w:rsid w:val="005B094C"/>
    <w:rsid w:val="005B1AB0"/>
    <w:rsid w:val="005C3DB0"/>
    <w:rsid w:val="005C4504"/>
    <w:rsid w:val="005C6AE2"/>
    <w:rsid w:val="005C7837"/>
    <w:rsid w:val="005D1216"/>
    <w:rsid w:val="005D2DDD"/>
    <w:rsid w:val="005D31E2"/>
    <w:rsid w:val="005D5429"/>
    <w:rsid w:val="005D5955"/>
    <w:rsid w:val="005D660B"/>
    <w:rsid w:val="005D68D5"/>
    <w:rsid w:val="005D7269"/>
    <w:rsid w:val="005E04C8"/>
    <w:rsid w:val="005E17C9"/>
    <w:rsid w:val="005E1AF5"/>
    <w:rsid w:val="005E32B3"/>
    <w:rsid w:val="005F0D2C"/>
    <w:rsid w:val="005F10D9"/>
    <w:rsid w:val="005F164C"/>
    <w:rsid w:val="005F4E5F"/>
    <w:rsid w:val="005F6DEB"/>
    <w:rsid w:val="00600591"/>
    <w:rsid w:val="00600781"/>
    <w:rsid w:val="006026DA"/>
    <w:rsid w:val="006050A2"/>
    <w:rsid w:val="006050EC"/>
    <w:rsid w:val="0060610E"/>
    <w:rsid w:val="00606751"/>
    <w:rsid w:val="0060771C"/>
    <w:rsid w:val="00621E17"/>
    <w:rsid w:val="00624096"/>
    <w:rsid w:val="00625417"/>
    <w:rsid w:val="0063010C"/>
    <w:rsid w:val="00631F50"/>
    <w:rsid w:val="00647DB6"/>
    <w:rsid w:val="00650129"/>
    <w:rsid w:val="006617C3"/>
    <w:rsid w:val="00663733"/>
    <w:rsid w:val="00677EED"/>
    <w:rsid w:val="00680426"/>
    <w:rsid w:val="00681584"/>
    <w:rsid w:val="00681773"/>
    <w:rsid w:val="0068519D"/>
    <w:rsid w:val="00687E28"/>
    <w:rsid w:val="00693B22"/>
    <w:rsid w:val="00695EB5"/>
    <w:rsid w:val="00696C7F"/>
    <w:rsid w:val="006B2683"/>
    <w:rsid w:val="006B6ADD"/>
    <w:rsid w:val="006B7C64"/>
    <w:rsid w:val="006D6436"/>
    <w:rsid w:val="006E27CC"/>
    <w:rsid w:val="006E4A7D"/>
    <w:rsid w:val="006E5472"/>
    <w:rsid w:val="006F07E4"/>
    <w:rsid w:val="006F2C29"/>
    <w:rsid w:val="006F3734"/>
    <w:rsid w:val="006F41B4"/>
    <w:rsid w:val="006F49EC"/>
    <w:rsid w:val="006F4D64"/>
    <w:rsid w:val="006F7261"/>
    <w:rsid w:val="00716BD4"/>
    <w:rsid w:val="007178D1"/>
    <w:rsid w:val="00723946"/>
    <w:rsid w:val="00723E7A"/>
    <w:rsid w:val="0073252E"/>
    <w:rsid w:val="00742C7E"/>
    <w:rsid w:val="00750E61"/>
    <w:rsid w:val="00761F33"/>
    <w:rsid w:val="00764C38"/>
    <w:rsid w:val="00765FF3"/>
    <w:rsid w:val="0077336E"/>
    <w:rsid w:val="00773906"/>
    <w:rsid w:val="00791AD2"/>
    <w:rsid w:val="00792521"/>
    <w:rsid w:val="00795A2B"/>
    <w:rsid w:val="007A6A3F"/>
    <w:rsid w:val="007B2283"/>
    <w:rsid w:val="007B272D"/>
    <w:rsid w:val="007B5FAB"/>
    <w:rsid w:val="007B65D9"/>
    <w:rsid w:val="007B6A45"/>
    <w:rsid w:val="007C0CE9"/>
    <w:rsid w:val="007C2673"/>
    <w:rsid w:val="007C2E90"/>
    <w:rsid w:val="007D4851"/>
    <w:rsid w:val="007D51C2"/>
    <w:rsid w:val="007D764C"/>
    <w:rsid w:val="007E271D"/>
    <w:rsid w:val="007E275C"/>
    <w:rsid w:val="007F2839"/>
    <w:rsid w:val="007F3394"/>
    <w:rsid w:val="007F620D"/>
    <w:rsid w:val="00803F60"/>
    <w:rsid w:val="00804050"/>
    <w:rsid w:val="00810FA0"/>
    <w:rsid w:val="008113D2"/>
    <w:rsid w:val="008204E9"/>
    <w:rsid w:val="00821354"/>
    <w:rsid w:val="00825140"/>
    <w:rsid w:val="00825C95"/>
    <w:rsid w:val="0084162D"/>
    <w:rsid w:val="00841A85"/>
    <w:rsid w:val="00845991"/>
    <w:rsid w:val="008526AF"/>
    <w:rsid w:val="00860128"/>
    <w:rsid w:val="00861A43"/>
    <w:rsid w:val="0086303A"/>
    <w:rsid w:val="00872D53"/>
    <w:rsid w:val="008737BE"/>
    <w:rsid w:val="008758C2"/>
    <w:rsid w:val="00875CD7"/>
    <w:rsid w:val="0088228B"/>
    <w:rsid w:val="008848E3"/>
    <w:rsid w:val="00885DA8"/>
    <w:rsid w:val="008861A7"/>
    <w:rsid w:val="00886B6F"/>
    <w:rsid w:val="008941CA"/>
    <w:rsid w:val="00895ADD"/>
    <w:rsid w:val="008976D5"/>
    <w:rsid w:val="00897FFE"/>
    <w:rsid w:val="008B4680"/>
    <w:rsid w:val="008B55A6"/>
    <w:rsid w:val="008C15C5"/>
    <w:rsid w:val="008D0983"/>
    <w:rsid w:val="008D0D8B"/>
    <w:rsid w:val="008D6049"/>
    <w:rsid w:val="008E6314"/>
    <w:rsid w:val="008F7995"/>
    <w:rsid w:val="00910E29"/>
    <w:rsid w:val="00911B46"/>
    <w:rsid w:val="00913F53"/>
    <w:rsid w:val="00915C5B"/>
    <w:rsid w:val="00916105"/>
    <w:rsid w:val="009178D2"/>
    <w:rsid w:val="00917FD9"/>
    <w:rsid w:val="009218B2"/>
    <w:rsid w:val="0092449E"/>
    <w:rsid w:val="00933AEA"/>
    <w:rsid w:val="00935367"/>
    <w:rsid w:val="00936105"/>
    <w:rsid w:val="00940484"/>
    <w:rsid w:val="00951906"/>
    <w:rsid w:val="0096038D"/>
    <w:rsid w:val="00964BDC"/>
    <w:rsid w:val="0097217D"/>
    <w:rsid w:val="009721F7"/>
    <w:rsid w:val="0097562E"/>
    <w:rsid w:val="0097563D"/>
    <w:rsid w:val="00985F11"/>
    <w:rsid w:val="009927A1"/>
    <w:rsid w:val="00994A30"/>
    <w:rsid w:val="00997872"/>
    <w:rsid w:val="009A2E44"/>
    <w:rsid w:val="009A2E7D"/>
    <w:rsid w:val="009A41BD"/>
    <w:rsid w:val="009B116B"/>
    <w:rsid w:val="009B4000"/>
    <w:rsid w:val="009B62AE"/>
    <w:rsid w:val="009C4042"/>
    <w:rsid w:val="009D0426"/>
    <w:rsid w:val="009D3C89"/>
    <w:rsid w:val="009D5907"/>
    <w:rsid w:val="009D642E"/>
    <w:rsid w:val="009D68D4"/>
    <w:rsid w:val="009D6BF6"/>
    <w:rsid w:val="009E00D2"/>
    <w:rsid w:val="009F2641"/>
    <w:rsid w:val="009F316A"/>
    <w:rsid w:val="009F5015"/>
    <w:rsid w:val="009F5FD5"/>
    <w:rsid w:val="00A01625"/>
    <w:rsid w:val="00A02ABB"/>
    <w:rsid w:val="00A02D79"/>
    <w:rsid w:val="00A0771D"/>
    <w:rsid w:val="00A11DA5"/>
    <w:rsid w:val="00A13346"/>
    <w:rsid w:val="00A17C02"/>
    <w:rsid w:val="00A21BDA"/>
    <w:rsid w:val="00A22AE7"/>
    <w:rsid w:val="00A23A3F"/>
    <w:rsid w:val="00A24265"/>
    <w:rsid w:val="00A25DE9"/>
    <w:rsid w:val="00A2653B"/>
    <w:rsid w:val="00A32C9A"/>
    <w:rsid w:val="00A36E2C"/>
    <w:rsid w:val="00A413A1"/>
    <w:rsid w:val="00A431BD"/>
    <w:rsid w:val="00A43E13"/>
    <w:rsid w:val="00A46119"/>
    <w:rsid w:val="00A46696"/>
    <w:rsid w:val="00A5040B"/>
    <w:rsid w:val="00A50840"/>
    <w:rsid w:val="00A63D2D"/>
    <w:rsid w:val="00A76A23"/>
    <w:rsid w:val="00A83FC9"/>
    <w:rsid w:val="00A90657"/>
    <w:rsid w:val="00AA0332"/>
    <w:rsid w:val="00AA2BF9"/>
    <w:rsid w:val="00AB0AEC"/>
    <w:rsid w:val="00AC21DE"/>
    <w:rsid w:val="00AC23DF"/>
    <w:rsid w:val="00AC4603"/>
    <w:rsid w:val="00AF06ED"/>
    <w:rsid w:val="00AF2730"/>
    <w:rsid w:val="00AF4BB3"/>
    <w:rsid w:val="00B0408B"/>
    <w:rsid w:val="00B10ADD"/>
    <w:rsid w:val="00B23D07"/>
    <w:rsid w:val="00B25928"/>
    <w:rsid w:val="00B26A43"/>
    <w:rsid w:val="00B26BB7"/>
    <w:rsid w:val="00B27DBB"/>
    <w:rsid w:val="00B340D8"/>
    <w:rsid w:val="00B34B96"/>
    <w:rsid w:val="00B35270"/>
    <w:rsid w:val="00B35374"/>
    <w:rsid w:val="00B4012D"/>
    <w:rsid w:val="00B45F3F"/>
    <w:rsid w:val="00B51E7F"/>
    <w:rsid w:val="00B63B84"/>
    <w:rsid w:val="00B66C72"/>
    <w:rsid w:val="00B673CC"/>
    <w:rsid w:val="00B90A8A"/>
    <w:rsid w:val="00B9497B"/>
    <w:rsid w:val="00B97473"/>
    <w:rsid w:val="00BB7C4C"/>
    <w:rsid w:val="00BC7D5B"/>
    <w:rsid w:val="00BD3F32"/>
    <w:rsid w:val="00BD44E4"/>
    <w:rsid w:val="00BD59F2"/>
    <w:rsid w:val="00BE2D2C"/>
    <w:rsid w:val="00BE65F1"/>
    <w:rsid w:val="00BF41BA"/>
    <w:rsid w:val="00C00188"/>
    <w:rsid w:val="00C02E9B"/>
    <w:rsid w:val="00C31EAA"/>
    <w:rsid w:val="00C34D53"/>
    <w:rsid w:val="00C37C77"/>
    <w:rsid w:val="00C42907"/>
    <w:rsid w:val="00C433C7"/>
    <w:rsid w:val="00C501DF"/>
    <w:rsid w:val="00C5102B"/>
    <w:rsid w:val="00C51684"/>
    <w:rsid w:val="00C53BD9"/>
    <w:rsid w:val="00C73126"/>
    <w:rsid w:val="00C742FD"/>
    <w:rsid w:val="00C87F7E"/>
    <w:rsid w:val="00CA314F"/>
    <w:rsid w:val="00CA3ED2"/>
    <w:rsid w:val="00CA4843"/>
    <w:rsid w:val="00CA5F73"/>
    <w:rsid w:val="00CA6CC3"/>
    <w:rsid w:val="00CB0B3F"/>
    <w:rsid w:val="00CB3807"/>
    <w:rsid w:val="00CD0E6B"/>
    <w:rsid w:val="00CE0AAD"/>
    <w:rsid w:val="00CE2E0F"/>
    <w:rsid w:val="00CE317A"/>
    <w:rsid w:val="00CE43CB"/>
    <w:rsid w:val="00CF1436"/>
    <w:rsid w:val="00CF51EA"/>
    <w:rsid w:val="00D00E22"/>
    <w:rsid w:val="00D033A5"/>
    <w:rsid w:val="00D06094"/>
    <w:rsid w:val="00D06107"/>
    <w:rsid w:val="00D07460"/>
    <w:rsid w:val="00D246EE"/>
    <w:rsid w:val="00D4034B"/>
    <w:rsid w:val="00D40CA3"/>
    <w:rsid w:val="00D44D6B"/>
    <w:rsid w:val="00D5098F"/>
    <w:rsid w:val="00D54511"/>
    <w:rsid w:val="00D54EEC"/>
    <w:rsid w:val="00D56A3B"/>
    <w:rsid w:val="00D63B26"/>
    <w:rsid w:val="00D72108"/>
    <w:rsid w:val="00D730CB"/>
    <w:rsid w:val="00D76C64"/>
    <w:rsid w:val="00D80D24"/>
    <w:rsid w:val="00D900D4"/>
    <w:rsid w:val="00D906B6"/>
    <w:rsid w:val="00D91C09"/>
    <w:rsid w:val="00D92C28"/>
    <w:rsid w:val="00DA02D1"/>
    <w:rsid w:val="00DA3ADC"/>
    <w:rsid w:val="00DB06CE"/>
    <w:rsid w:val="00DB24C1"/>
    <w:rsid w:val="00DC33F6"/>
    <w:rsid w:val="00DC561C"/>
    <w:rsid w:val="00DC7C7C"/>
    <w:rsid w:val="00DD51CF"/>
    <w:rsid w:val="00DE78C9"/>
    <w:rsid w:val="00DF168A"/>
    <w:rsid w:val="00DF2252"/>
    <w:rsid w:val="00E07C7B"/>
    <w:rsid w:val="00E15403"/>
    <w:rsid w:val="00E2572F"/>
    <w:rsid w:val="00E26E50"/>
    <w:rsid w:val="00E31287"/>
    <w:rsid w:val="00E335CB"/>
    <w:rsid w:val="00E33D1F"/>
    <w:rsid w:val="00E533F0"/>
    <w:rsid w:val="00E53DF5"/>
    <w:rsid w:val="00E56060"/>
    <w:rsid w:val="00E613B5"/>
    <w:rsid w:val="00E61406"/>
    <w:rsid w:val="00E64FD4"/>
    <w:rsid w:val="00E66679"/>
    <w:rsid w:val="00E66E25"/>
    <w:rsid w:val="00E7429A"/>
    <w:rsid w:val="00E76245"/>
    <w:rsid w:val="00E771DE"/>
    <w:rsid w:val="00E77632"/>
    <w:rsid w:val="00E82E44"/>
    <w:rsid w:val="00E844D4"/>
    <w:rsid w:val="00E94BB9"/>
    <w:rsid w:val="00EA14F6"/>
    <w:rsid w:val="00EB51D6"/>
    <w:rsid w:val="00EB6F32"/>
    <w:rsid w:val="00EC02C4"/>
    <w:rsid w:val="00EE0A81"/>
    <w:rsid w:val="00EE5BCD"/>
    <w:rsid w:val="00EF6934"/>
    <w:rsid w:val="00F005BC"/>
    <w:rsid w:val="00F02059"/>
    <w:rsid w:val="00F04AE9"/>
    <w:rsid w:val="00F101E7"/>
    <w:rsid w:val="00F10260"/>
    <w:rsid w:val="00F1044C"/>
    <w:rsid w:val="00F1781C"/>
    <w:rsid w:val="00F17E30"/>
    <w:rsid w:val="00F219B2"/>
    <w:rsid w:val="00F23382"/>
    <w:rsid w:val="00F25804"/>
    <w:rsid w:val="00F31049"/>
    <w:rsid w:val="00F316C9"/>
    <w:rsid w:val="00F5040A"/>
    <w:rsid w:val="00F51E0E"/>
    <w:rsid w:val="00F5300C"/>
    <w:rsid w:val="00F53220"/>
    <w:rsid w:val="00F556C3"/>
    <w:rsid w:val="00F55784"/>
    <w:rsid w:val="00F64E0F"/>
    <w:rsid w:val="00F6526D"/>
    <w:rsid w:val="00F65DE0"/>
    <w:rsid w:val="00F71CBD"/>
    <w:rsid w:val="00F81EF6"/>
    <w:rsid w:val="00F83DFD"/>
    <w:rsid w:val="00F841FA"/>
    <w:rsid w:val="00F856EA"/>
    <w:rsid w:val="00F864FE"/>
    <w:rsid w:val="00F906D9"/>
    <w:rsid w:val="00F9199F"/>
    <w:rsid w:val="00FA2A26"/>
    <w:rsid w:val="00FA6D18"/>
    <w:rsid w:val="00FB2DB9"/>
    <w:rsid w:val="00FB52A2"/>
    <w:rsid w:val="00FB71C2"/>
    <w:rsid w:val="00FC161E"/>
    <w:rsid w:val="00FD59BB"/>
    <w:rsid w:val="00FE051B"/>
    <w:rsid w:val="00FF265F"/>
    <w:rsid w:val="00FF28D0"/>
    <w:rsid w:val="00FF64AF"/>
  </w:rsids>
  <m:mathPr>
    <m:mathFont m:val="Cambria Math"/>
    <m:brkBin m:val="before"/>
    <m:brkBinSub m:val="--"/>
    <m:smallFrac/>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FF4C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5955"/>
    <w:rPr>
      <w:sz w:val="24"/>
      <w:lang w:eastAsia="en-GB"/>
    </w:rPr>
  </w:style>
  <w:style w:type="paragraph" w:styleId="Heading1">
    <w:name w:val="heading 1"/>
    <w:basedOn w:val="Normal"/>
    <w:next w:val="Normal"/>
    <w:qFormat/>
    <w:rsid w:val="005D5955"/>
    <w:pPr>
      <w:keepNext/>
      <w:outlineLvl w:val="0"/>
    </w:pPr>
    <w:rPr>
      <w:b/>
    </w:rPr>
  </w:style>
  <w:style w:type="paragraph" w:styleId="Heading2">
    <w:name w:val="heading 2"/>
    <w:basedOn w:val="Normal"/>
    <w:next w:val="Normal"/>
    <w:qFormat/>
    <w:rsid w:val="005D5955"/>
    <w:pPr>
      <w:keepNext/>
      <w:tabs>
        <w:tab w:val="left" w:pos="-720"/>
      </w:tabs>
      <w:suppressAutoHyphens/>
      <w:spacing w:line="480" w:lineRule="auto"/>
      <w:jc w:val="both"/>
      <w:outlineLvl w:val="1"/>
    </w:pPr>
    <w:rPr>
      <w:spacing w:val="-3"/>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D5955"/>
    <w:rPr>
      <w:b/>
    </w:rPr>
  </w:style>
  <w:style w:type="character" w:styleId="Hyperlink">
    <w:name w:val="Hyperlink"/>
    <w:semiHidden/>
    <w:rsid w:val="005D5955"/>
    <w:rPr>
      <w:color w:val="0000FF"/>
      <w:u w:val="single"/>
    </w:rPr>
  </w:style>
  <w:style w:type="paragraph" w:styleId="Footer">
    <w:name w:val="footer"/>
    <w:basedOn w:val="Normal"/>
    <w:semiHidden/>
    <w:rsid w:val="005D5955"/>
    <w:pPr>
      <w:tabs>
        <w:tab w:val="center" w:pos="4320"/>
        <w:tab w:val="right" w:pos="8640"/>
      </w:tabs>
    </w:pPr>
  </w:style>
  <w:style w:type="character" w:styleId="PageNumber">
    <w:name w:val="page number"/>
    <w:basedOn w:val="DefaultParagraphFont"/>
    <w:semiHidden/>
    <w:rsid w:val="005D5955"/>
  </w:style>
  <w:style w:type="paragraph" w:styleId="Header">
    <w:name w:val="header"/>
    <w:basedOn w:val="Normal"/>
    <w:semiHidden/>
    <w:rsid w:val="005D5955"/>
    <w:pPr>
      <w:tabs>
        <w:tab w:val="center" w:pos="4320"/>
        <w:tab w:val="right" w:pos="8640"/>
      </w:tabs>
    </w:pPr>
  </w:style>
  <w:style w:type="paragraph" w:styleId="BodyTextIndent">
    <w:name w:val="Body Text Indent"/>
    <w:basedOn w:val="Normal"/>
    <w:semiHidden/>
    <w:rsid w:val="005D5955"/>
    <w:pPr>
      <w:spacing w:line="480" w:lineRule="auto"/>
      <w:ind w:firstLine="720"/>
    </w:pPr>
  </w:style>
  <w:style w:type="table" w:styleId="TableGrid">
    <w:name w:val="Table Grid"/>
    <w:basedOn w:val="TableNormal"/>
    <w:uiPriority w:val="59"/>
    <w:rsid w:val="00F101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ttribute0">
    <w:name w:val="CharAttribute0"/>
    <w:rsid w:val="00044B70"/>
    <w:rPr>
      <w:rFonts w:ascii="Arial" w:eastAsia="Arial" w:hAnsi="Arial"/>
      <w:sz w:val="22"/>
    </w:rPr>
  </w:style>
  <w:style w:type="paragraph" w:styleId="FootnoteText">
    <w:name w:val="footnote text"/>
    <w:basedOn w:val="Normal"/>
    <w:link w:val="FootnoteTextChar"/>
    <w:uiPriority w:val="99"/>
    <w:unhideWhenUsed/>
    <w:rsid w:val="00D76C64"/>
    <w:rPr>
      <w:szCs w:val="24"/>
    </w:rPr>
  </w:style>
  <w:style w:type="character" w:customStyle="1" w:styleId="FootnoteTextChar">
    <w:name w:val="Footnote Text Char"/>
    <w:link w:val="FootnoteText"/>
    <w:uiPriority w:val="99"/>
    <w:rsid w:val="00D76C64"/>
    <w:rPr>
      <w:sz w:val="24"/>
      <w:szCs w:val="24"/>
      <w:lang w:val="en-GB" w:eastAsia="en-GB"/>
    </w:rPr>
  </w:style>
  <w:style w:type="character" w:styleId="FootnoteReference">
    <w:name w:val="footnote reference"/>
    <w:uiPriority w:val="99"/>
    <w:unhideWhenUsed/>
    <w:rsid w:val="00D76C64"/>
    <w:rPr>
      <w:vertAlign w:val="superscript"/>
    </w:rPr>
  </w:style>
  <w:style w:type="paragraph" w:styleId="BalloonText">
    <w:name w:val="Balloon Text"/>
    <w:basedOn w:val="Normal"/>
    <w:link w:val="BalloonTextChar"/>
    <w:uiPriority w:val="99"/>
    <w:semiHidden/>
    <w:unhideWhenUsed/>
    <w:rsid w:val="00EC02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02C4"/>
    <w:rPr>
      <w:rFonts w:ascii="Lucida Grande" w:hAnsi="Lucida Grande" w:cs="Lucida Grande"/>
      <w:sz w:val="18"/>
      <w:szCs w:val="18"/>
      <w:lang w:eastAsia="en-GB"/>
    </w:rPr>
  </w:style>
  <w:style w:type="character" w:styleId="CommentReference">
    <w:name w:val="annotation reference"/>
    <w:basedOn w:val="DefaultParagraphFont"/>
    <w:uiPriority w:val="99"/>
    <w:semiHidden/>
    <w:unhideWhenUsed/>
    <w:rsid w:val="00BD44E4"/>
    <w:rPr>
      <w:sz w:val="18"/>
      <w:szCs w:val="18"/>
    </w:rPr>
  </w:style>
  <w:style w:type="paragraph" w:styleId="CommentText">
    <w:name w:val="annotation text"/>
    <w:basedOn w:val="Normal"/>
    <w:link w:val="CommentTextChar"/>
    <w:uiPriority w:val="99"/>
    <w:semiHidden/>
    <w:unhideWhenUsed/>
    <w:rsid w:val="00BD44E4"/>
    <w:rPr>
      <w:szCs w:val="24"/>
    </w:rPr>
  </w:style>
  <w:style w:type="character" w:customStyle="1" w:styleId="CommentTextChar">
    <w:name w:val="Comment Text Char"/>
    <w:basedOn w:val="DefaultParagraphFont"/>
    <w:link w:val="CommentText"/>
    <w:uiPriority w:val="99"/>
    <w:semiHidden/>
    <w:rsid w:val="00BD44E4"/>
    <w:rPr>
      <w:sz w:val="24"/>
      <w:szCs w:val="24"/>
      <w:lang w:eastAsia="en-GB"/>
    </w:rPr>
  </w:style>
  <w:style w:type="paragraph" w:styleId="CommentSubject">
    <w:name w:val="annotation subject"/>
    <w:basedOn w:val="CommentText"/>
    <w:next w:val="CommentText"/>
    <w:link w:val="CommentSubjectChar"/>
    <w:uiPriority w:val="99"/>
    <w:semiHidden/>
    <w:unhideWhenUsed/>
    <w:rsid w:val="00BD44E4"/>
    <w:rPr>
      <w:b/>
      <w:bCs/>
      <w:sz w:val="20"/>
      <w:szCs w:val="20"/>
    </w:rPr>
  </w:style>
  <w:style w:type="character" w:customStyle="1" w:styleId="CommentSubjectChar">
    <w:name w:val="Comment Subject Char"/>
    <w:basedOn w:val="CommentTextChar"/>
    <w:link w:val="CommentSubject"/>
    <w:uiPriority w:val="99"/>
    <w:semiHidden/>
    <w:rsid w:val="00BD44E4"/>
    <w:rPr>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9053">
      <w:bodyDiv w:val="1"/>
      <w:marLeft w:val="0"/>
      <w:marRight w:val="0"/>
      <w:marTop w:val="0"/>
      <w:marBottom w:val="0"/>
      <w:divBdr>
        <w:top w:val="none" w:sz="0" w:space="0" w:color="auto"/>
        <w:left w:val="none" w:sz="0" w:space="0" w:color="auto"/>
        <w:bottom w:val="none" w:sz="0" w:space="0" w:color="auto"/>
        <w:right w:val="none" w:sz="0" w:space="0" w:color="auto"/>
      </w:divBdr>
    </w:div>
    <w:div w:id="40902748">
      <w:bodyDiv w:val="1"/>
      <w:marLeft w:val="0"/>
      <w:marRight w:val="0"/>
      <w:marTop w:val="0"/>
      <w:marBottom w:val="0"/>
      <w:divBdr>
        <w:top w:val="none" w:sz="0" w:space="0" w:color="auto"/>
        <w:left w:val="none" w:sz="0" w:space="0" w:color="auto"/>
        <w:bottom w:val="none" w:sz="0" w:space="0" w:color="auto"/>
        <w:right w:val="none" w:sz="0" w:space="0" w:color="auto"/>
      </w:divBdr>
    </w:div>
    <w:div w:id="111902404">
      <w:bodyDiv w:val="1"/>
      <w:marLeft w:val="0"/>
      <w:marRight w:val="0"/>
      <w:marTop w:val="0"/>
      <w:marBottom w:val="0"/>
      <w:divBdr>
        <w:top w:val="none" w:sz="0" w:space="0" w:color="auto"/>
        <w:left w:val="none" w:sz="0" w:space="0" w:color="auto"/>
        <w:bottom w:val="none" w:sz="0" w:space="0" w:color="auto"/>
        <w:right w:val="none" w:sz="0" w:space="0" w:color="auto"/>
      </w:divBdr>
    </w:div>
    <w:div w:id="164516547">
      <w:bodyDiv w:val="1"/>
      <w:marLeft w:val="0"/>
      <w:marRight w:val="0"/>
      <w:marTop w:val="0"/>
      <w:marBottom w:val="0"/>
      <w:divBdr>
        <w:top w:val="none" w:sz="0" w:space="0" w:color="auto"/>
        <w:left w:val="none" w:sz="0" w:space="0" w:color="auto"/>
        <w:bottom w:val="none" w:sz="0" w:space="0" w:color="auto"/>
        <w:right w:val="none" w:sz="0" w:space="0" w:color="auto"/>
      </w:divBdr>
    </w:div>
    <w:div w:id="274211982">
      <w:bodyDiv w:val="1"/>
      <w:marLeft w:val="0"/>
      <w:marRight w:val="0"/>
      <w:marTop w:val="0"/>
      <w:marBottom w:val="0"/>
      <w:divBdr>
        <w:top w:val="none" w:sz="0" w:space="0" w:color="auto"/>
        <w:left w:val="none" w:sz="0" w:space="0" w:color="auto"/>
        <w:bottom w:val="none" w:sz="0" w:space="0" w:color="auto"/>
        <w:right w:val="none" w:sz="0" w:space="0" w:color="auto"/>
      </w:divBdr>
    </w:div>
    <w:div w:id="294916781">
      <w:bodyDiv w:val="1"/>
      <w:marLeft w:val="0"/>
      <w:marRight w:val="0"/>
      <w:marTop w:val="0"/>
      <w:marBottom w:val="0"/>
      <w:divBdr>
        <w:top w:val="none" w:sz="0" w:space="0" w:color="auto"/>
        <w:left w:val="none" w:sz="0" w:space="0" w:color="auto"/>
        <w:bottom w:val="none" w:sz="0" w:space="0" w:color="auto"/>
        <w:right w:val="none" w:sz="0" w:space="0" w:color="auto"/>
      </w:divBdr>
    </w:div>
    <w:div w:id="372653009">
      <w:bodyDiv w:val="1"/>
      <w:marLeft w:val="0"/>
      <w:marRight w:val="0"/>
      <w:marTop w:val="0"/>
      <w:marBottom w:val="0"/>
      <w:divBdr>
        <w:top w:val="none" w:sz="0" w:space="0" w:color="auto"/>
        <w:left w:val="none" w:sz="0" w:space="0" w:color="auto"/>
        <w:bottom w:val="none" w:sz="0" w:space="0" w:color="auto"/>
        <w:right w:val="none" w:sz="0" w:space="0" w:color="auto"/>
      </w:divBdr>
    </w:div>
    <w:div w:id="377584481">
      <w:bodyDiv w:val="1"/>
      <w:marLeft w:val="0"/>
      <w:marRight w:val="0"/>
      <w:marTop w:val="0"/>
      <w:marBottom w:val="0"/>
      <w:divBdr>
        <w:top w:val="none" w:sz="0" w:space="0" w:color="auto"/>
        <w:left w:val="none" w:sz="0" w:space="0" w:color="auto"/>
        <w:bottom w:val="none" w:sz="0" w:space="0" w:color="auto"/>
        <w:right w:val="none" w:sz="0" w:space="0" w:color="auto"/>
      </w:divBdr>
    </w:div>
    <w:div w:id="421608053">
      <w:bodyDiv w:val="1"/>
      <w:marLeft w:val="0"/>
      <w:marRight w:val="0"/>
      <w:marTop w:val="0"/>
      <w:marBottom w:val="0"/>
      <w:divBdr>
        <w:top w:val="none" w:sz="0" w:space="0" w:color="auto"/>
        <w:left w:val="none" w:sz="0" w:space="0" w:color="auto"/>
        <w:bottom w:val="none" w:sz="0" w:space="0" w:color="auto"/>
        <w:right w:val="none" w:sz="0" w:space="0" w:color="auto"/>
      </w:divBdr>
    </w:div>
    <w:div w:id="441539022">
      <w:bodyDiv w:val="1"/>
      <w:marLeft w:val="0"/>
      <w:marRight w:val="0"/>
      <w:marTop w:val="0"/>
      <w:marBottom w:val="0"/>
      <w:divBdr>
        <w:top w:val="none" w:sz="0" w:space="0" w:color="auto"/>
        <w:left w:val="none" w:sz="0" w:space="0" w:color="auto"/>
        <w:bottom w:val="none" w:sz="0" w:space="0" w:color="auto"/>
        <w:right w:val="none" w:sz="0" w:space="0" w:color="auto"/>
      </w:divBdr>
    </w:div>
    <w:div w:id="501048132">
      <w:bodyDiv w:val="1"/>
      <w:marLeft w:val="0"/>
      <w:marRight w:val="0"/>
      <w:marTop w:val="0"/>
      <w:marBottom w:val="0"/>
      <w:divBdr>
        <w:top w:val="none" w:sz="0" w:space="0" w:color="auto"/>
        <w:left w:val="none" w:sz="0" w:space="0" w:color="auto"/>
        <w:bottom w:val="none" w:sz="0" w:space="0" w:color="auto"/>
        <w:right w:val="none" w:sz="0" w:space="0" w:color="auto"/>
      </w:divBdr>
    </w:div>
    <w:div w:id="518546446">
      <w:bodyDiv w:val="1"/>
      <w:marLeft w:val="0"/>
      <w:marRight w:val="0"/>
      <w:marTop w:val="0"/>
      <w:marBottom w:val="0"/>
      <w:divBdr>
        <w:top w:val="none" w:sz="0" w:space="0" w:color="auto"/>
        <w:left w:val="none" w:sz="0" w:space="0" w:color="auto"/>
        <w:bottom w:val="none" w:sz="0" w:space="0" w:color="auto"/>
        <w:right w:val="none" w:sz="0" w:space="0" w:color="auto"/>
      </w:divBdr>
    </w:div>
    <w:div w:id="612175363">
      <w:bodyDiv w:val="1"/>
      <w:marLeft w:val="0"/>
      <w:marRight w:val="0"/>
      <w:marTop w:val="0"/>
      <w:marBottom w:val="0"/>
      <w:divBdr>
        <w:top w:val="none" w:sz="0" w:space="0" w:color="auto"/>
        <w:left w:val="none" w:sz="0" w:space="0" w:color="auto"/>
        <w:bottom w:val="none" w:sz="0" w:space="0" w:color="auto"/>
        <w:right w:val="none" w:sz="0" w:space="0" w:color="auto"/>
      </w:divBdr>
    </w:div>
    <w:div w:id="748577980">
      <w:bodyDiv w:val="1"/>
      <w:marLeft w:val="0"/>
      <w:marRight w:val="0"/>
      <w:marTop w:val="0"/>
      <w:marBottom w:val="0"/>
      <w:divBdr>
        <w:top w:val="none" w:sz="0" w:space="0" w:color="auto"/>
        <w:left w:val="none" w:sz="0" w:space="0" w:color="auto"/>
        <w:bottom w:val="none" w:sz="0" w:space="0" w:color="auto"/>
        <w:right w:val="none" w:sz="0" w:space="0" w:color="auto"/>
      </w:divBdr>
    </w:div>
    <w:div w:id="773283666">
      <w:bodyDiv w:val="1"/>
      <w:marLeft w:val="0"/>
      <w:marRight w:val="0"/>
      <w:marTop w:val="0"/>
      <w:marBottom w:val="0"/>
      <w:divBdr>
        <w:top w:val="none" w:sz="0" w:space="0" w:color="auto"/>
        <w:left w:val="none" w:sz="0" w:space="0" w:color="auto"/>
        <w:bottom w:val="none" w:sz="0" w:space="0" w:color="auto"/>
        <w:right w:val="none" w:sz="0" w:space="0" w:color="auto"/>
      </w:divBdr>
    </w:div>
    <w:div w:id="778330763">
      <w:bodyDiv w:val="1"/>
      <w:marLeft w:val="0"/>
      <w:marRight w:val="0"/>
      <w:marTop w:val="0"/>
      <w:marBottom w:val="0"/>
      <w:divBdr>
        <w:top w:val="none" w:sz="0" w:space="0" w:color="auto"/>
        <w:left w:val="none" w:sz="0" w:space="0" w:color="auto"/>
        <w:bottom w:val="none" w:sz="0" w:space="0" w:color="auto"/>
        <w:right w:val="none" w:sz="0" w:space="0" w:color="auto"/>
      </w:divBdr>
    </w:div>
    <w:div w:id="781386972">
      <w:bodyDiv w:val="1"/>
      <w:marLeft w:val="0"/>
      <w:marRight w:val="0"/>
      <w:marTop w:val="0"/>
      <w:marBottom w:val="0"/>
      <w:divBdr>
        <w:top w:val="none" w:sz="0" w:space="0" w:color="auto"/>
        <w:left w:val="none" w:sz="0" w:space="0" w:color="auto"/>
        <w:bottom w:val="none" w:sz="0" w:space="0" w:color="auto"/>
        <w:right w:val="none" w:sz="0" w:space="0" w:color="auto"/>
      </w:divBdr>
    </w:div>
    <w:div w:id="788430144">
      <w:bodyDiv w:val="1"/>
      <w:marLeft w:val="0"/>
      <w:marRight w:val="0"/>
      <w:marTop w:val="0"/>
      <w:marBottom w:val="0"/>
      <w:divBdr>
        <w:top w:val="none" w:sz="0" w:space="0" w:color="auto"/>
        <w:left w:val="none" w:sz="0" w:space="0" w:color="auto"/>
        <w:bottom w:val="none" w:sz="0" w:space="0" w:color="auto"/>
        <w:right w:val="none" w:sz="0" w:space="0" w:color="auto"/>
      </w:divBdr>
    </w:div>
    <w:div w:id="866990765">
      <w:bodyDiv w:val="1"/>
      <w:marLeft w:val="0"/>
      <w:marRight w:val="0"/>
      <w:marTop w:val="0"/>
      <w:marBottom w:val="0"/>
      <w:divBdr>
        <w:top w:val="none" w:sz="0" w:space="0" w:color="auto"/>
        <w:left w:val="none" w:sz="0" w:space="0" w:color="auto"/>
        <w:bottom w:val="none" w:sz="0" w:space="0" w:color="auto"/>
        <w:right w:val="none" w:sz="0" w:space="0" w:color="auto"/>
      </w:divBdr>
    </w:div>
    <w:div w:id="898322183">
      <w:bodyDiv w:val="1"/>
      <w:marLeft w:val="0"/>
      <w:marRight w:val="0"/>
      <w:marTop w:val="0"/>
      <w:marBottom w:val="0"/>
      <w:divBdr>
        <w:top w:val="none" w:sz="0" w:space="0" w:color="auto"/>
        <w:left w:val="none" w:sz="0" w:space="0" w:color="auto"/>
        <w:bottom w:val="none" w:sz="0" w:space="0" w:color="auto"/>
        <w:right w:val="none" w:sz="0" w:space="0" w:color="auto"/>
      </w:divBdr>
    </w:div>
    <w:div w:id="1039476292">
      <w:bodyDiv w:val="1"/>
      <w:marLeft w:val="0"/>
      <w:marRight w:val="0"/>
      <w:marTop w:val="0"/>
      <w:marBottom w:val="0"/>
      <w:divBdr>
        <w:top w:val="none" w:sz="0" w:space="0" w:color="auto"/>
        <w:left w:val="none" w:sz="0" w:space="0" w:color="auto"/>
        <w:bottom w:val="none" w:sz="0" w:space="0" w:color="auto"/>
        <w:right w:val="none" w:sz="0" w:space="0" w:color="auto"/>
      </w:divBdr>
    </w:div>
    <w:div w:id="1120804135">
      <w:bodyDiv w:val="1"/>
      <w:marLeft w:val="0"/>
      <w:marRight w:val="0"/>
      <w:marTop w:val="0"/>
      <w:marBottom w:val="0"/>
      <w:divBdr>
        <w:top w:val="none" w:sz="0" w:space="0" w:color="auto"/>
        <w:left w:val="none" w:sz="0" w:space="0" w:color="auto"/>
        <w:bottom w:val="none" w:sz="0" w:space="0" w:color="auto"/>
        <w:right w:val="none" w:sz="0" w:space="0" w:color="auto"/>
      </w:divBdr>
    </w:div>
    <w:div w:id="1268851561">
      <w:bodyDiv w:val="1"/>
      <w:marLeft w:val="0"/>
      <w:marRight w:val="0"/>
      <w:marTop w:val="0"/>
      <w:marBottom w:val="0"/>
      <w:divBdr>
        <w:top w:val="none" w:sz="0" w:space="0" w:color="auto"/>
        <w:left w:val="none" w:sz="0" w:space="0" w:color="auto"/>
        <w:bottom w:val="none" w:sz="0" w:space="0" w:color="auto"/>
        <w:right w:val="none" w:sz="0" w:space="0" w:color="auto"/>
      </w:divBdr>
    </w:div>
    <w:div w:id="1298415146">
      <w:bodyDiv w:val="1"/>
      <w:marLeft w:val="0"/>
      <w:marRight w:val="0"/>
      <w:marTop w:val="0"/>
      <w:marBottom w:val="0"/>
      <w:divBdr>
        <w:top w:val="none" w:sz="0" w:space="0" w:color="auto"/>
        <w:left w:val="none" w:sz="0" w:space="0" w:color="auto"/>
        <w:bottom w:val="none" w:sz="0" w:space="0" w:color="auto"/>
        <w:right w:val="none" w:sz="0" w:space="0" w:color="auto"/>
      </w:divBdr>
    </w:div>
    <w:div w:id="1388918989">
      <w:bodyDiv w:val="1"/>
      <w:marLeft w:val="0"/>
      <w:marRight w:val="0"/>
      <w:marTop w:val="0"/>
      <w:marBottom w:val="0"/>
      <w:divBdr>
        <w:top w:val="none" w:sz="0" w:space="0" w:color="auto"/>
        <w:left w:val="none" w:sz="0" w:space="0" w:color="auto"/>
        <w:bottom w:val="none" w:sz="0" w:space="0" w:color="auto"/>
        <w:right w:val="none" w:sz="0" w:space="0" w:color="auto"/>
      </w:divBdr>
    </w:div>
    <w:div w:id="1455901689">
      <w:bodyDiv w:val="1"/>
      <w:marLeft w:val="0"/>
      <w:marRight w:val="0"/>
      <w:marTop w:val="0"/>
      <w:marBottom w:val="0"/>
      <w:divBdr>
        <w:top w:val="none" w:sz="0" w:space="0" w:color="auto"/>
        <w:left w:val="none" w:sz="0" w:space="0" w:color="auto"/>
        <w:bottom w:val="none" w:sz="0" w:space="0" w:color="auto"/>
        <w:right w:val="none" w:sz="0" w:space="0" w:color="auto"/>
      </w:divBdr>
    </w:div>
    <w:div w:id="1472946749">
      <w:bodyDiv w:val="1"/>
      <w:marLeft w:val="0"/>
      <w:marRight w:val="0"/>
      <w:marTop w:val="0"/>
      <w:marBottom w:val="0"/>
      <w:divBdr>
        <w:top w:val="none" w:sz="0" w:space="0" w:color="auto"/>
        <w:left w:val="none" w:sz="0" w:space="0" w:color="auto"/>
        <w:bottom w:val="none" w:sz="0" w:space="0" w:color="auto"/>
        <w:right w:val="none" w:sz="0" w:space="0" w:color="auto"/>
      </w:divBdr>
    </w:div>
    <w:div w:id="1565289688">
      <w:bodyDiv w:val="1"/>
      <w:marLeft w:val="0"/>
      <w:marRight w:val="0"/>
      <w:marTop w:val="0"/>
      <w:marBottom w:val="0"/>
      <w:divBdr>
        <w:top w:val="none" w:sz="0" w:space="0" w:color="auto"/>
        <w:left w:val="none" w:sz="0" w:space="0" w:color="auto"/>
        <w:bottom w:val="none" w:sz="0" w:space="0" w:color="auto"/>
        <w:right w:val="none" w:sz="0" w:space="0" w:color="auto"/>
      </w:divBdr>
    </w:div>
    <w:div w:id="1592006668">
      <w:bodyDiv w:val="1"/>
      <w:marLeft w:val="0"/>
      <w:marRight w:val="0"/>
      <w:marTop w:val="0"/>
      <w:marBottom w:val="0"/>
      <w:divBdr>
        <w:top w:val="none" w:sz="0" w:space="0" w:color="auto"/>
        <w:left w:val="none" w:sz="0" w:space="0" w:color="auto"/>
        <w:bottom w:val="none" w:sz="0" w:space="0" w:color="auto"/>
        <w:right w:val="none" w:sz="0" w:space="0" w:color="auto"/>
      </w:divBdr>
    </w:div>
    <w:div w:id="1615939348">
      <w:bodyDiv w:val="1"/>
      <w:marLeft w:val="0"/>
      <w:marRight w:val="0"/>
      <w:marTop w:val="0"/>
      <w:marBottom w:val="0"/>
      <w:divBdr>
        <w:top w:val="none" w:sz="0" w:space="0" w:color="auto"/>
        <w:left w:val="none" w:sz="0" w:space="0" w:color="auto"/>
        <w:bottom w:val="none" w:sz="0" w:space="0" w:color="auto"/>
        <w:right w:val="none" w:sz="0" w:space="0" w:color="auto"/>
      </w:divBdr>
    </w:div>
    <w:div w:id="1619877225">
      <w:bodyDiv w:val="1"/>
      <w:marLeft w:val="0"/>
      <w:marRight w:val="0"/>
      <w:marTop w:val="0"/>
      <w:marBottom w:val="0"/>
      <w:divBdr>
        <w:top w:val="none" w:sz="0" w:space="0" w:color="auto"/>
        <w:left w:val="none" w:sz="0" w:space="0" w:color="auto"/>
        <w:bottom w:val="none" w:sz="0" w:space="0" w:color="auto"/>
        <w:right w:val="none" w:sz="0" w:space="0" w:color="auto"/>
      </w:divBdr>
    </w:div>
    <w:div w:id="1634680281">
      <w:bodyDiv w:val="1"/>
      <w:marLeft w:val="0"/>
      <w:marRight w:val="0"/>
      <w:marTop w:val="0"/>
      <w:marBottom w:val="0"/>
      <w:divBdr>
        <w:top w:val="none" w:sz="0" w:space="0" w:color="auto"/>
        <w:left w:val="none" w:sz="0" w:space="0" w:color="auto"/>
        <w:bottom w:val="none" w:sz="0" w:space="0" w:color="auto"/>
        <w:right w:val="none" w:sz="0" w:space="0" w:color="auto"/>
      </w:divBdr>
    </w:div>
    <w:div w:id="1643584784">
      <w:bodyDiv w:val="1"/>
      <w:marLeft w:val="0"/>
      <w:marRight w:val="0"/>
      <w:marTop w:val="0"/>
      <w:marBottom w:val="0"/>
      <w:divBdr>
        <w:top w:val="none" w:sz="0" w:space="0" w:color="auto"/>
        <w:left w:val="none" w:sz="0" w:space="0" w:color="auto"/>
        <w:bottom w:val="none" w:sz="0" w:space="0" w:color="auto"/>
        <w:right w:val="none" w:sz="0" w:space="0" w:color="auto"/>
      </w:divBdr>
    </w:div>
    <w:div w:id="1776635020">
      <w:bodyDiv w:val="1"/>
      <w:marLeft w:val="0"/>
      <w:marRight w:val="0"/>
      <w:marTop w:val="0"/>
      <w:marBottom w:val="0"/>
      <w:divBdr>
        <w:top w:val="none" w:sz="0" w:space="0" w:color="auto"/>
        <w:left w:val="none" w:sz="0" w:space="0" w:color="auto"/>
        <w:bottom w:val="none" w:sz="0" w:space="0" w:color="auto"/>
        <w:right w:val="none" w:sz="0" w:space="0" w:color="auto"/>
      </w:divBdr>
    </w:div>
    <w:div w:id="1797675767">
      <w:bodyDiv w:val="1"/>
      <w:marLeft w:val="0"/>
      <w:marRight w:val="0"/>
      <w:marTop w:val="0"/>
      <w:marBottom w:val="0"/>
      <w:divBdr>
        <w:top w:val="none" w:sz="0" w:space="0" w:color="auto"/>
        <w:left w:val="none" w:sz="0" w:space="0" w:color="auto"/>
        <w:bottom w:val="none" w:sz="0" w:space="0" w:color="auto"/>
        <w:right w:val="none" w:sz="0" w:space="0" w:color="auto"/>
      </w:divBdr>
    </w:div>
    <w:div w:id="1825000983">
      <w:bodyDiv w:val="1"/>
      <w:marLeft w:val="0"/>
      <w:marRight w:val="0"/>
      <w:marTop w:val="0"/>
      <w:marBottom w:val="0"/>
      <w:divBdr>
        <w:top w:val="none" w:sz="0" w:space="0" w:color="auto"/>
        <w:left w:val="none" w:sz="0" w:space="0" w:color="auto"/>
        <w:bottom w:val="none" w:sz="0" w:space="0" w:color="auto"/>
        <w:right w:val="none" w:sz="0" w:space="0" w:color="auto"/>
      </w:divBdr>
    </w:div>
    <w:div w:id="1832865131">
      <w:bodyDiv w:val="1"/>
      <w:marLeft w:val="0"/>
      <w:marRight w:val="0"/>
      <w:marTop w:val="0"/>
      <w:marBottom w:val="0"/>
      <w:divBdr>
        <w:top w:val="none" w:sz="0" w:space="0" w:color="auto"/>
        <w:left w:val="none" w:sz="0" w:space="0" w:color="auto"/>
        <w:bottom w:val="none" w:sz="0" w:space="0" w:color="auto"/>
        <w:right w:val="none" w:sz="0" w:space="0" w:color="auto"/>
      </w:divBdr>
    </w:div>
    <w:div w:id="1849519704">
      <w:bodyDiv w:val="1"/>
      <w:marLeft w:val="0"/>
      <w:marRight w:val="0"/>
      <w:marTop w:val="0"/>
      <w:marBottom w:val="0"/>
      <w:divBdr>
        <w:top w:val="none" w:sz="0" w:space="0" w:color="auto"/>
        <w:left w:val="none" w:sz="0" w:space="0" w:color="auto"/>
        <w:bottom w:val="none" w:sz="0" w:space="0" w:color="auto"/>
        <w:right w:val="none" w:sz="0" w:space="0" w:color="auto"/>
      </w:divBdr>
    </w:div>
    <w:div w:id="1920095240">
      <w:bodyDiv w:val="1"/>
      <w:marLeft w:val="0"/>
      <w:marRight w:val="0"/>
      <w:marTop w:val="0"/>
      <w:marBottom w:val="0"/>
      <w:divBdr>
        <w:top w:val="none" w:sz="0" w:space="0" w:color="auto"/>
        <w:left w:val="none" w:sz="0" w:space="0" w:color="auto"/>
        <w:bottom w:val="none" w:sz="0" w:space="0" w:color="auto"/>
        <w:right w:val="none" w:sz="0" w:space="0" w:color="auto"/>
      </w:divBdr>
    </w:div>
    <w:div w:id="1987738437">
      <w:bodyDiv w:val="1"/>
      <w:marLeft w:val="0"/>
      <w:marRight w:val="0"/>
      <w:marTop w:val="0"/>
      <w:marBottom w:val="0"/>
      <w:divBdr>
        <w:top w:val="none" w:sz="0" w:space="0" w:color="auto"/>
        <w:left w:val="none" w:sz="0" w:space="0" w:color="auto"/>
        <w:bottom w:val="none" w:sz="0" w:space="0" w:color="auto"/>
        <w:right w:val="none" w:sz="0" w:space="0" w:color="auto"/>
      </w:divBdr>
    </w:div>
    <w:div w:id="2050063998">
      <w:bodyDiv w:val="1"/>
      <w:marLeft w:val="0"/>
      <w:marRight w:val="0"/>
      <w:marTop w:val="0"/>
      <w:marBottom w:val="0"/>
      <w:divBdr>
        <w:top w:val="none" w:sz="0" w:space="0" w:color="auto"/>
        <w:left w:val="none" w:sz="0" w:space="0" w:color="auto"/>
        <w:bottom w:val="none" w:sz="0" w:space="0" w:color="auto"/>
        <w:right w:val="none" w:sz="0" w:space="0" w:color="auto"/>
      </w:divBdr>
    </w:div>
    <w:div w:id="21057637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lberyip@lsbu.ac.uk" TargetMode="External"/><Relationship Id="rId9" Type="http://schemas.openxmlformats.org/officeDocument/2006/relationships/hyperlink" Target="mailto:alberyip@lsbu.ac.uk"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6051AF-2FB8-B64B-8DC0-05E204953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5818</Words>
  <Characters>33166</Characters>
  <Application>Microsoft Macintosh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Explaining the alcohol stroop effect: frequency of exposure to alcohol-related stimuli</vt:lpstr>
    </vt:vector>
  </TitlesOfParts>
  <Company>South Bank University</Company>
  <LinksUpToDate>false</LinksUpToDate>
  <CharactersWithSpaces>38907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Explaining the alcohol stroop effect: frequency of exposure to alcohol-related stimuli</dc:title>
  <dc:subject/>
  <dc:creator>Antony Moss</dc:creator>
  <cp:keywords/>
  <cp:lastModifiedBy>Microsoft Office User</cp:lastModifiedBy>
  <cp:revision>2</cp:revision>
  <cp:lastPrinted>2016-08-24T10:46:00Z</cp:lastPrinted>
  <dcterms:created xsi:type="dcterms:W3CDTF">2018-01-18T20:49:00Z</dcterms:created>
  <dcterms:modified xsi:type="dcterms:W3CDTF">2018-01-18T20:49:00Z</dcterms:modified>
</cp:coreProperties>
</file>