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A31" w:rsidRDefault="00DD0A31">
      <w:pPr>
        <w:widowControl w:val="0"/>
        <w:spacing w:after="0"/>
      </w:pPr>
    </w:p>
    <w:p w:rsidR="00DD0A31" w:rsidRDefault="00DD0A31">
      <w:pPr>
        <w:widowControl w:val="0"/>
        <w:spacing w:after="0"/>
      </w:pPr>
    </w:p>
    <w:p w:rsidR="00DD0A31" w:rsidRDefault="00DD0A31">
      <w:pPr>
        <w:widowControl w:val="0"/>
        <w:spacing w:after="0"/>
      </w:pPr>
    </w:p>
    <w:p w:rsidR="00DD0A31" w:rsidRDefault="0093068C">
      <w:pPr>
        <w:rPr>
          <w:rFonts w:ascii="Arial" w:eastAsia="Arial" w:hAnsi="Arial" w:cs="Arial"/>
          <w:b/>
          <w:color w:val="FF0000"/>
          <w:sz w:val="32"/>
          <w:szCs w:val="32"/>
        </w:rPr>
      </w:pPr>
      <w:r>
        <w:rPr>
          <w:rFonts w:ascii="Arial" w:eastAsia="Arial" w:hAnsi="Arial" w:cs="Arial"/>
          <w:b/>
          <w:sz w:val="32"/>
          <w:szCs w:val="32"/>
        </w:rPr>
        <w:t>SINGING AND LOUDNESS: A SHORT STUDY WITH THE ROYAL OPERA HOUSE</w:t>
      </w:r>
    </w:p>
    <w:p w:rsidR="00DD0A31" w:rsidRDefault="0093068C">
      <w:pPr>
        <w:spacing w:after="0" w:line="240" w:lineRule="auto"/>
        <w:rPr>
          <w:rFonts w:ascii="Arial" w:eastAsia="Arial" w:hAnsi="Arial" w:cs="Arial"/>
          <w:sz w:val="20"/>
          <w:szCs w:val="20"/>
        </w:rPr>
      </w:pPr>
      <w:r>
        <w:rPr>
          <w:rFonts w:ascii="Arial" w:eastAsia="Arial" w:hAnsi="Arial" w:cs="Arial"/>
          <w:sz w:val="20"/>
          <w:szCs w:val="20"/>
        </w:rPr>
        <w:t xml:space="preserve">S. Dance </w:t>
      </w:r>
      <w:r>
        <w:rPr>
          <w:rFonts w:ascii="Arial" w:eastAsia="Arial" w:hAnsi="Arial" w:cs="Arial"/>
          <w:sz w:val="20"/>
          <w:szCs w:val="20"/>
        </w:rPr>
        <w:tab/>
        <w:t>School of the Built Environment and Architecture, London South Bank University</w:t>
      </w:r>
    </w:p>
    <w:p w:rsidR="00DD0A31" w:rsidRDefault="0093068C">
      <w:pPr>
        <w:spacing w:after="0" w:line="240" w:lineRule="auto"/>
        <w:rPr>
          <w:rFonts w:ascii="Arial" w:eastAsia="Arial" w:hAnsi="Arial" w:cs="Arial"/>
          <w:sz w:val="20"/>
          <w:szCs w:val="20"/>
        </w:rPr>
      </w:pPr>
      <w:r>
        <w:rPr>
          <w:rFonts w:ascii="Arial" w:eastAsia="Arial" w:hAnsi="Arial" w:cs="Arial"/>
          <w:sz w:val="20"/>
          <w:szCs w:val="20"/>
        </w:rPr>
        <w:t xml:space="preserve"> J. </w:t>
      </w:r>
      <w:proofErr w:type="spellStart"/>
      <w:r>
        <w:rPr>
          <w:rFonts w:ascii="Arial" w:eastAsia="Arial" w:hAnsi="Arial" w:cs="Arial"/>
          <w:sz w:val="20"/>
          <w:szCs w:val="20"/>
        </w:rPr>
        <w:t>Bernays</w:t>
      </w:r>
      <w:proofErr w:type="spellEnd"/>
      <w:r>
        <w:rPr>
          <w:rFonts w:ascii="Arial" w:eastAsia="Arial" w:hAnsi="Arial" w:cs="Arial"/>
          <w:sz w:val="20"/>
          <w:szCs w:val="20"/>
        </w:rPr>
        <w:tab/>
        <w:t>Royal Opera House, London</w:t>
      </w:r>
    </w:p>
    <w:p w:rsidR="00DD0A31" w:rsidRDefault="0093068C">
      <w:pPr>
        <w:spacing w:after="0" w:line="240" w:lineRule="auto"/>
        <w:rPr>
          <w:rFonts w:ascii="Arial" w:eastAsia="Arial" w:hAnsi="Arial" w:cs="Arial"/>
          <w:sz w:val="20"/>
          <w:szCs w:val="20"/>
        </w:rPr>
      </w:pPr>
      <w:r>
        <w:rPr>
          <w:rFonts w:ascii="Arial" w:eastAsia="Arial" w:hAnsi="Arial" w:cs="Arial"/>
          <w:sz w:val="20"/>
          <w:szCs w:val="20"/>
        </w:rPr>
        <w:t>S. Liu</w:t>
      </w:r>
      <w:r>
        <w:rPr>
          <w:rFonts w:ascii="Arial" w:eastAsia="Arial" w:hAnsi="Arial" w:cs="Arial"/>
          <w:sz w:val="20"/>
          <w:szCs w:val="20"/>
        </w:rPr>
        <w:tab/>
      </w:r>
      <w:r>
        <w:rPr>
          <w:rFonts w:ascii="Arial" w:eastAsia="Arial" w:hAnsi="Arial" w:cs="Arial"/>
          <w:sz w:val="20"/>
          <w:szCs w:val="20"/>
        </w:rPr>
        <w:tab/>
        <w:t>Applied Acoustic Design, London</w:t>
      </w:r>
    </w:p>
    <w:p w:rsidR="00DD0A31" w:rsidRDefault="00DD0A31">
      <w:pPr>
        <w:spacing w:after="0"/>
        <w:rPr>
          <w:rFonts w:ascii="Arial" w:eastAsia="Arial" w:hAnsi="Arial" w:cs="Arial"/>
          <w:sz w:val="20"/>
          <w:szCs w:val="20"/>
        </w:rPr>
      </w:pPr>
    </w:p>
    <w:p w:rsidR="00DD0A31" w:rsidRDefault="0093068C">
      <w:pPr>
        <w:numPr>
          <w:ilvl w:val="0"/>
          <w:numId w:val="2"/>
        </w:numPr>
        <w:spacing w:after="0"/>
        <w:ind w:hanging="720"/>
        <w:contextualSpacing/>
        <w:rPr>
          <w:rFonts w:ascii="Arial" w:eastAsia="Arial" w:hAnsi="Arial" w:cs="Arial"/>
          <w:b/>
          <w:sz w:val="28"/>
          <w:szCs w:val="28"/>
        </w:rPr>
      </w:pPr>
      <w:r>
        <w:rPr>
          <w:rFonts w:ascii="Arial" w:eastAsia="Arial" w:hAnsi="Arial" w:cs="Arial"/>
          <w:b/>
          <w:sz w:val="28"/>
          <w:szCs w:val="28"/>
        </w:rPr>
        <w:t>INTRODUCTION</w:t>
      </w:r>
    </w:p>
    <w:p w:rsidR="00DD0A31" w:rsidRDefault="00DD0A31">
      <w:pPr>
        <w:spacing w:after="0"/>
        <w:rPr>
          <w:rFonts w:ascii="Arial" w:eastAsia="Arial" w:hAnsi="Arial" w:cs="Arial"/>
          <w:sz w:val="20"/>
          <w:szCs w:val="20"/>
        </w:rPr>
      </w:pPr>
    </w:p>
    <w:p w:rsidR="00DD0A31" w:rsidRDefault="0093068C" w:rsidP="00C65FEA">
      <w:pPr>
        <w:spacing w:line="240" w:lineRule="auto"/>
        <w:jc w:val="both"/>
        <w:rPr>
          <w:rFonts w:ascii="Arial" w:eastAsia="Arial" w:hAnsi="Arial" w:cs="Arial"/>
          <w:sz w:val="20"/>
          <w:szCs w:val="20"/>
        </w:rPr>
      </w:pPr>
      <w:bookmarkStart w:id="0" w:name="_gjdgxs" w:colFirst="0" w:colLast="0"/>
      <w:bookmarkEnd w:id="0"/>
      <w:r>
        <w:rPr>
          <w:rFonts w:ascii="Arial" w:eastAsia="Arial" w:hAnsi="Arial" w:cs="Arial"/>
          <w:sz w:val="20"/>
          <w:szCs w:val="20"/>
        </w:rPr>
        <w:t xml:space="preserve">The Royal Opera House Sound Study Group has recently been involved in a collaborative project with the Royal Opera Chorus, looking to establish the most effective way of moderating individual sound exposure and maximising musical results in their Chorus Rehearsal Room.  An experiment was undertaken where the soprano, mezzo, tenor and bass sections of the Chorus were arranged into five different configurations, in which the Easter Hymn from </w:t>
      </w:r>
      <w:proofErr w:type="spellStart"/>
      <w:r>
        <w:rPr>
          <w:rFonts w:ascii="Arial" w:eastAsia="Arial" w:hAnsi="Arial" w:cs="Arial"/>
          <w:sz w:val="20"/>
          <w:szCs w:val="20"/>
        </w:rPr>
        <w:t>Cavelleria</w:t>
      </w:r>
      <w:proofErr w:type="spellEnd"/>
      <w:r w:rsidR="003654E4">
        <w:rPr>
          <w:rFonts w:ascii="Arial" w:eastAsia="Arial" w:hAnsi="Arial" w:cs="Arial"/>
          <w:sz w:val="20"/>
          <w:szCs w:val="20"/>
        </w:rPr>
        <w:t xml:space="preserve"> </w:t>
      </w:r>
      <w:proofErr w:type="spellStart"/>
      <w:r>
        <w:rPr>
          <w:rFonts w:ascii="Arial" w:eastAsia="Arial" w:hAnsi="Arial" w:cs="Arial"/>
          <w:sz w:val="20"/>
          <w:szCs w:val="20"/>
        </w:rPr>
        <w:t>Rusticana</w:t>
      </w:r>
      <w:proofErr w:type="spellEnd"/>
      <w:r>
        <w:rPr>
          <w:rFonts w:ascii="Arial" w:eastAsia="Arial" w:hAnsi="Arial" w:cs="Arial"/>
          <w:sz w:val="20"/>
          <w:szCs w:val="20"/>
        </w:rPr>
        <w:t xml:space="preserve"> was performed.  Proximity of one vocal group to another, the measured and perceived effect of increasing space between performers, and the effect of music stands were criteria informing the configurations.  A further version was performed in which all choristers were instructed to sing at ‘half volume’.  Individual exposure and overall sound levels were measured for each performance, producing some surprising data.  In addition, all 45 participating singers completed a written survey of their individual hearing and singing perceptions of the experiment.  </w:t>
      </w:r>
    </w:p>
    <w:p w:rsidR="00DD0A31" w:rsidRDefault="0093068C">
      <w:pPr>
        <w:numPr>
          <w:ilvl w:val="0"/>
          <w:numId w:val="2"/>
        </w:numPr>
        <w:spacing w:after="0"/>
        <w:ind w:hanging="720"/>
        <w:contextualSpacing/>
        <w:rPr>
          <w:rFonts w:ascii="Arial" w:eastAsia="Arial" w:hAnsi="Arial" w:cs="Arial"/>
          <w:b/>
          <w:sz w:val="28"/>
          <w:szCs w:val="28"/>
        </w:rPr>
      </w:pPr>
      <w:r>
        <w:rPr>
          <w:rFonts w:ascii="Arial" w:eastAsia="Arial" w:hAnsi="Arial" w:cs="Arial"/>
          <w:b/>
          <w:sz w:val="28"/>
          <w:szCs w:val="28"/>
        </w:rPr>
        <w:t>REHEARSAL ROOMS</w:t>
      </w:r>
    </w:p>
    <w:p w:rsidR="00C65FEA" w:rsidRDefault="00C65FEA" w:rsidP="00C65FEA">
      <w:pPr>
        <w:spacing w:after="0"/>
        <w:ind w:left="720"/>
        <w:contextualSpacing/>
        <w:rPr>
          <w:rFonts w:ascii="Arial" w:eastAsia="Arial" w:hAnsi="Arial" w:cs="Arial"/>
          <w:b/>
          <w:sz w:val="28"/>
          <w:szCs w:val="28"/>
        </w:rPr>
      </w:pPr>
    </w:p>
    <w:p w:rsidR="00DD0A31" w:rsidRDefault="0093068C" w:rsidP="00C65FEA">
      <w:pPr>
        <w:spacing w:after="0" w:line="240" w:lineRule="auto"/>
        <w:jc w:val="both"/>
        <w:rPr>
          <w:rFonts w:ascii="Arial" w:eastAsia="Arial" w:hAnsi="Arial" w:cs="Arial"/>
          <w:sz w:val="20"/>
          <w:szCs w:val="20"/>
        </w:rPr>
      </w:pPr>
      <w:r w:rsidRPr="003654E4">
        <w:rPr>
          <w:rFonts w:ascii="Arial" w:eastAsia="Arial" w:hAnsi="Arial" w:cs="Arial"/>
          <w:color w:val="auto"/>
          <w:sz w:val="20"/>
          <w:szCs w:val="20"/>
        </w:rPr>
        <w:t xml:space="preserve">The acoustics and layout of rehearsal rooms for professional opera choruses have not been investigated to the same degree as those of opera houses. In this section the Chorus Rehearsal Room (CRR) of the Royal Opera House, Covent </w:t>
      </w:r>
      <w:r w:rsidR="003654E4" w:rsidRPr="003654E4">
        <w:rPr>
          <w:rFonts w:ascii="Arial" w:eastAsia="Arial" w:hAnsi="Arial" w:cs="Arial"/>
          <w:color w:val="auto"/>
          <w:sz w:val="20"/>
          <w:szCs w:val="20"/>
        </w:rPr>
        <w:t>Garden</w:t>
      </w:r>
      <w:r w:rsidRPr="003654E4">
        <w:rPr>
          <w:rFonts w:ascii="Arial" w:eastAsia="Arial" w:hAnsi="Arial" w:cs="Arial"/>
          <w:color w:val="auto"/>
          <w:sz w:val="20"/>
          <w:szCs w:val="20"/>
        </w:rPr>
        <w:t xml:space="preserve"> is detailed, along with the preferred characteristics of rehearsal spaces and details of </w:t>
      </w:r>
      <w:r w:rsidR="003654E4" w:rsidRPr="003654E4">
        <w:rPr>
          <w:rFonts w:ascii="Arial" w:eastAsia="Arial" w:hAnsi="Arial" w:cs="Arial"/>
          <w:color w:val="auto"/>
          <w:sz w:val="20"/>
          <w:szCs w:val="20"/>
        </w:rPr>
        <w:t>the</w:t>
      </w:r>
      <w:r w:rsidR="003654E4">
        <w:rPr>
          <w:rFonts w:ascii="Arial" w:eastAsia="Arial" w:hAnsi="Arial" w:cs="Arial"/>
          <w:color w:val="FF0000"/>
          <w:sz w:val="20"/>
          <w:szCs w:val="20"/>
        </w:rPr>
        <w:t xml:space="preserve"> </w:t>
      </w:r>
      <w:r w:rsidR="003654E4">
        <w:rPr>
          <w:rFonts w:ascii="Arial" w:eastAsia="Arial" w:hAnsi="Arial" w:cs="Arial"/>
          <w:sz w:val="20"/>
          <w:szCs w:val="20"/>
        </w:rPr>
        <w:t>room</w:t>
      </w:r>
      <w:r>
        <w:rPr>
          <w:rFonts w:ascii="Arial" w:eastAsia="Arial" w:hAnsi="Arial" w:cs="Arial"/>
          <w:sz w:val="20"/>
          <w:szCs w:val="20"/>
        </w:rPr>
        <w:t xml:space="preserve"> acoustic measurements.</w:t>
      </w:r>
    </w:p>
    <w:p w:rsidR="00DD0A31" w:rsidRDefault="0093068C">
      <w:pPr>
        <w:spacing w:after="0" w:line="240" w:lineRule="auto"/>
        <w:rPr>
          <w:rFonts w:ascii="Arial" w:eastAsia="Arial" w:hAnsi="Arial" w:cs="Arial"/>
          <w:sz w:val="20"/>
          <w:szCs w:val="20"/>
        </w:rPr>
      </w:pPr>
      <w:r>
        <w:rPr>
          <w:rFonts w:ascii="Arial" w:eastAsia="Arial" w:hAnsi="Arial" w:cs="Arial"/>
          <w:sz w:val="20"/>
          <w:szCs w:val="20"/>
        </w:rPr>
        <w:t xml:space="preserve"> </w:t>
      </w:r>
    </w:p>
    <w:p w:rsidR="00DD0A31" w:rsidRDefault="0093068C">
      <w:pPr>
        <w:numPr>
          <w:ilvl w:val="1"/>
          <w:numId w:val="2"/>
        </w:numPr>
        <w:spacing w:after="0" w:line="240" w:lineRule="auto"/>
        <w:ind w:hanging="720"/>
        <w:rPr>
          <w:rFonts w:ascii="Arial" w:eastAsia="Arial" w:hAnsi="Arial" w:cs="Arial"/>
          <w:b/>
          <w:sz w:val="24"/>
          <w:szCs w:val="24"/>
        </w:rPr>
      </w:pPr>
      <w:r>
        <w:rPr>
          <w:rFonts w:ascii="Arial" w:eastAsia="Arial" w:hAnsi="Arial" w:cs="Arial"/>
          <w:b/>
          <w:sz w:val="24"/>
          <w:szCs w:val="24"/>
        </w:rPr>
        <w:t>Description of the Royal Opera House Choral Rehearsal Room</w:t>
      </w:r>
    </w:p>
    <w:p w:rsidR="00DD0A31" w:rsidRDefault="00DD0A31">
      <w:pPr>
        <w:spacing w:after="0" w:line="240" w:lineRule="auto"/>
        <w:ind w:left="720"/>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The Royal Opera House Chorus is </w:t>
      </w:r>
      <w:r w:rsidRPr="003654E4">
        <w:rPr>
          <w:rFonts w:ascii="Arial" w:eastAsia="Arial" w:hAnsi="Arial" w:cs="Arial"/>
          <w:color w:val="auto"/>
          <w:sz w:val="20"/>
          <w:szCs w:val="20"/>
        </w:rPr>
        <w:t>made up of 48 full-time singers frequently supplemented by up to 62 freelance singers or ‘extra choristers’.  To this end, the CRR has</w:t>
      </w:r>
      <w:r>
        <w:rPr>
          <w:rFonts w:ascii="Arial" w:eastAsia="Arial" w:hAnsi="Arial" w:cs="Arial"/>
          <w:color w:val="FF0000"/>
          <w:sz w:val="20"/>
          <w:szCs w:val="20"/>
        </w:rPr>
        <w:t xml:space="preserve"> </w:t>
      </w:r>
      <w:r>
        <w:rPr>
          <w:rFonts w:ascii="Arial" w:eastAsia="Arial" w:hAnsi="Arial" w:cs="Arial"/>
          <w:sz w:val="20"/>
          <w:szCs w:val="20"/>
        </w:rPr>
        <w:t>a maximum capacity of 110 people.  The fan-shaped room has a volume of approximately 1252 m</w:t>
      </w:r>
      <w:r>
        <w:rPr>
          <w:rFonts w:ascii="Arial" w:eastAsia="Arial" w:hAnsi="Arial" w:cs="Arial"/>
          <w:sz w:val="20"/>
          <w:szCs w:val="20"/>
          <w:vertAlign w:val="superscript"/>
        </w:rPr>
        <w:t>3</w:t>
      </w:r>
      <w:r>
        <w:rPr>
          <w:rFonts w:ascii="Arial" w:eastAsia="Arial" w:hAnsi="Arial" w:cs="Arial"/>
          <w:sz w:val="20"/>
          <w:szCs w:val="20"/>
        </w:rPr>
        <w:t xml:space="preserve"> with dimensions 14.8m wide by 12.5m deep, by 6.8m high. The room has a closed stair riser which is carpeted and covers two-thirds of the floor area, the remained being a flat wooden floor where the piano is positioned. On each of the six </w:t>
      </w:r>
      <w:proofErr w:type="gramStart"/>
      <w:r>
        <w:rPr>
          <w:rFonts w:ascii="Arial" w:eastAsia="Arial" w:hAnsi="Arial" w:cs="Arial"/>
          <w:sz w:val="20"/>
          <w:szCs w:val="20"/>
        </w:rPr>
        <w:t>risers</w:t>
      </w:r>
      <w:proofErr w:type="gramEnd"/>
      <w:r>
        <w:rPr>
          <w:rFonts w:ascii="Arial" w:eastAsia="Arial" w:hAnsi="Arial" w:cs="Arial"/>
          <w:sz w:val="20"/>
          <w:szCs w:val="20"/>
        </w:rPr>
        <w:t xml:space="preserve"> are18 fixed seats with music stands. The construction of the room is masonry, with the rear wall having a mixture of acoustic perforated panels, plaster and glass, the left hand wall curtains and windows, the right had wall plaster and perforated acoustics panels, and the front wall plaster and fabric covered acoustics panels, see Figure 1. The total area of perforated absorptive panels is 48m</w:t>
      </w:r>
      <w:r>
        <w:rPr>
          <w:rFonts w:ascii="Arial" w:eastAsia="Arial" w:hAnsi="Arial" w:cs="Arial"/>
          <w:sz w:val="20"/>
          <w:szCs w:val="20"/>
          <w:vertAlign w:val="superscript"/>
        </w:rPr>
        <w:t>2</w:t>
      </w:r>
      <w:r>
        <w:rPr>
          <w:rFonts w:ascii="Arial" w:eastAsia="Arial" w:hAnsi="Arial" w:cs="Arial"/>
          <w:sz w:val="20"/>
          <w:szCs w:val="20"/>
        </w:rPr>
        <w:t>. A multi-stepped angled suspended plasterboard ceiling covers the width of the room.</w:t>
      </w:r>
    </w:p>
    <w:p w:rsidR="00DD0A31" w:rsidRDefault="0093068C">
      <w:pPr>
        <w:spacing w:after="0" w:line="240" w:lineRule="auto"/>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extent cx="2289035" cy="2051677"/>
            <wp:effectExtent l="1905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cstate="print"/>
                    <a:srcRect/>
                    <a:stretch>
                      <a:fillRect/>
                    </a:stretch>
                  </pic:blipFill>
                  <pic:spPr>
                    <a:xfrm>
                      <a:off x="0" y="0"/>
                      <a:ext cx="2289035" cy="2051677"/>
                    </a:xfrm>
                    <a:prstGeom prst="rect">
                      <a:avLst/>
                    </a:prstGeom>
                    <a:ln/>
                  </pic:spPr>
                </pic:pic>
              </a:graphicData>
            </a:graphic>
          </wp:inline>
        </w:drawing>
      </w:r>
    </w:p>
    <w:p w:rsidR="00DD0A31" w:rsidRDefault="0093068C">
      <w:pPr>
        <w:spacing w:after="0" w:line="240" w:lineRule="auto"/>
        <w:jc w:val="center"/>
        <w:rPr>
          <w:rFonts w:ascii="Arial" w:eastAsia="Arial" w:hAnsi="Arial" w:cs="Arial"/>
          <w:sz w:val="20"/>
          <w:szCs w:val="20"/>
        </w:rPr>
      </w:pPr>
      <w:proofErr w:type="gramStart"/>
      <w:r>
        <w:rPr>
          <w:rFonts w:ascii="Arial" w:eastAsia="Arial" w:hAnsi="Arial" w:cs="Arial"/>
          <w:sz w:val="20"/>
          <w:szCs w:val="20"/>
        </w:rPr>
        <w:t>Figure 1.</w:t>
      </w:r>
      <w:proofErr w:type="gramEnd"/>
      <w:r>
        <w:rPr>
          <w:rFonts w:ascii="Arial" w:eastAsia="Arial" w:hAnsi="Arial" w:cs="Arial"/>
          <w:sz w:val="20"/>
          <w:szCs w:val="20"/>
        </w:rPr>
        <w:t xml:space="preserve"> Choral Rehearsal Room at the Royal Opera House with absorbers in green and dark blue</w:t>
      </w:r>
    </w:p>
    <w:p w:rsidR="003654E4" w:rsidRDefault="003654E4">
      <w:pPr>
        <w:spacing w:after="0" w:line="240" w:lineRule="auto"/>
        <w:jc w:val="center"/>
        <w:rPr>
          <w:rFonts w:ascii="Arial" w:eastAsia="Arial" w:hAnsi="Arial" w:cs="Arial"/>
          <w:sz w:val="20"/>
          <w:szCs w:val="20"/>
        </w:rPr>
      </w:pPr>
    </w:p>
    <w:p w:rsidR="00DD0A31" w:rsidRDefault="0093068C">
      <w:pPr>
        <w:numPr>
          <w:ilvl w:val="1"/>
          <w:numId w:val="2"/>
        </w:numPr>
        <w:spacing w:after="0" w:line="240" w:lineRule="auto"/>
        <w:ind w:hanging="720"/>
        <w:rPr>
          <w:rFonts w:ascii="Arial" w:eastAsia="Arial" w:hAnsi="Arial" w:cs="Arial"/>
          <w:b/>
          <w:sz w:val="24"/>
          <w:szCs w:val="24"/>
        </w:rPr>
      </w:pPr>
      <w:r>
        <w:rPr>
          <w:rFonts w:ascii="Arial" w:eastAsia="Arial" w:hAnsi="Arial" w:cs="Arial"/>
          <w:b/>
          <w:sz w:val="24"/>
          <w:szCs w:val="24"/>
        </w:rPr>
        <w:t>Literature on Rehearsal Room for Singing</w:t>
      </w:r>
    </w:p>
    <w:p w:rsidR="00DD0A31" w:rsidRDefault="00DD0A31">
      <w:pPr>
        <w:spacing w:after="0" w:line="240" w:lineRule="auto"/>
        <w:ind w:left="720"/>
        <w:rPr>
          <w:rFonts w:ascii="Arial" w:eastAsia="Arial" w:hAnsi="Arial" w:cs="Arial"/>
          <w:sz w:val="20"/>
          <w:szCs w:val="20"/>
        </w:rPr>
      </w:pPr>
    </w:p>
    <w:p w:rsidR="00DD0A31" w:rsidRDefault="0093068C" w:rsidP="00C65FEA">
      <w:pPr>
        <w:spacing w:after="0" w:line="240" w:lineRule="auto"/>
        <w:jc w:val="both"/>
        <w:rPr>
          <w:rFonts w:ascii="Arial" w:eastAsia="Arial" w:hAnsi="Arial" w:cs="Arial"/>
        </w:rPr>
      </w:pPr>
      <w:r>
        <w:rPr>
          <w:rFonts w:ascii="Arial" w:eastAsia="Arial" w:hAnsi="Arial" w:cs="Arial"/>
        </w:rPr>
        <w:t>There is a lack of literature on designing or acoustically treating rehearsal rooms for choral singing. There is a Norwegian Standard 8178-2014: Music Rehearsal Spaces [1]. It suggests that for large ensembles the ceiling height should be above 5 m (6.8 m), the volume greater than 700 m</w:t>
      </w:r>
      <w:r>
        <w:rPr>
          <w:rFonts w:ascii="Arial" w:eastAsia="Arial" w:hAnsi="Arial" w:cs="Arial"/>
          <w:vertAlign w:val="superscript"/>
        </w:rPr>
        <w:t>3</w:t>
      </w:r>
      <w:r>
        <w:rPr>
          <w:rFonts w:ascii="Arial" w:eastAsia="Arial" w:hAnsi="Arial" w:cs="Arial"/>
        </w:rPr>
        <w:t xml:space="preserve"> (1252 m</w:t>
      </w:r>
      <w:r>
        <w:rPr>
          <w:rFonts w:ascii="Arial" w:eastAsia="Arial" w:hAnsi="Arial" w:cs="Arial"/>
          <w:vertAlign w:val="superscript"/>
        </w:rPr>
        <w:t>3</w:t>
      </w:r>
      <w:r>
        <w:rPr>
          <w:rFonts w:ascii="Arial" w:eastAsia="Arial" w:hAnsi="Arial" w:cs="Arial"/>
        </w:rPr>
        <w:t>) and there should be 1.5 m</w:t>
      </w:r>
      <w:r>
        <w:rPr>
          <w:rFonts w:ascii="Arial" w:eastAsia="Arial" w:hAnsi="Arial" w:cs="Arial"/>
          <w:vertAlign w:val="superscript"/>
        </w:rPr>
        <w:t>2</w:t>
      </w:r>
      <w:r>
        <w:rPr>
          <w:rFonts w:ascii="Arial" w:eastAsia="Arial" w:hAnsi="Arial" w:cs="Arial"/>
        </w:rPr>
        <w:t xml:space="preserve"> per people of floor space (1.7 m</w:t>
      </w:r>
      <w:r>
        <w:rPr>
          <w:rFonts w:ascii="Arial" w:eastAsia="Arial" w:hAnsi="Arial" w:cs="Arial"/>
          <w:vertAlign w:val="superscript"/>
        </w:rPr>
        <w:t>2</w:t>
      </w:r>
      <w:r>
        <w:rPr>
          <w:rFonts w:ascii="Arial" w:eastAsia="Arial" w:hAnsi="Arial" w:cs="Arial"/>
        </w:rPr>
        <w:t>). As can be seen the CRR exceeds all of these minimum design criteria.</w:t>
      </w:r>
    </w:p>
    <w:p w:rsidR="00DD0A31" w:rsidRDefault="0093068C">
      <w:pPr>
        <w:spacing w:after="0" w:line="240" w:lineRule="auto"/>
        <w:rPr>
          <w:rFonts w:ascii="Arial" w:eastAsia="Arial" w:hAnsi="Arial" w:cs="Arial"/>
        </w:rPr>
      </w:pPr>
      <w:r>
        <w:rPr>
          <w:rFonts w:ascii="Arial" w:eastAsia="Arial" w:hAnsi="Arial" w:cs="Arial"/>
          <w:noProof/>
        </w:rPr>
        <w:drawing>
          <wp:inline distT="0" distB="0" distL="0" distR="0">
            <wp:extent cx="5615492" cy="4496696"/>
            <wp:effectExtent l="19050" t="0" r="4258" b="0"/>
            <wp:docPr id="4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cstate="print"/>
                    <a:srcRect/>
                    <a:stretch>
                      <a:fillRect/>
                    </a:stretch>
                  </pic:blipFill>
                  <pic:spPr>
                    <a:xfrm>
                      <a:off x="0" y="0"/>
                      <a:ext cx="5614391" cy="4495815"/>
                    </a:xfrm>
                    <a:prstGeom prst="rect">
                      <a:avLst/>
                    </a:prstGeom>
                    <a:ln/>
                  </pic:spPr>
                </pic:pic>
              </a:graphicData>
            </a:graphic>
          </wp:inline>
        </w:drawing>
      </w:r>
    </w:p>
    <w:p w:rsidR="00DD0A31" w:rsidRDefault="00DD0A31">
      <w:pPr>
        <w:spacing w:after="0" w:line="240" w:lineRule="auto"/>
        <w:rPr>
          <w:rFonts w:ascii="Arial" w:eastAsia="Arial" w:hAnsi="Arial" w:cs="Arial"/>
          <w:sz w:val="20"/>
          <w:szCs w:val="20"/>
        </w:rPr>
      </w:pPr>
    </w:p>
    <w:p w:rsidR="00DD0A31" w:rsidRDefault="0093068C">
      <w:pPr>
        <w:spacing w:after="0" w:line="240" w:lineRule="auto"/>
        <w:rPr>
          <w:rFonts w:ascii="Arial" w:eastAsia="Arial" w:hAnsi="Arial" w:cs="Arial"/>
          <w:sz w:val="20"/>
          <w:szCs w:val="20"/>
        </w:rPr>
      </w:pPr>
      <w:proofErr w:type="gramStart"/>
      <w:r>
        <w:rPr>
          <w:rFonts w:ascii="Arial" w:eastAsia="Arial" w:hAnsi="Arial" w:cs="Arial"/>
          <w:sz w:val="20"/>
          <w:szCs w:val="20"/>
        </w:rPr>
        <w:t>Figure 2.</w:t>
      </w:r>
      <w:proofErr w:type="gramEnd"/>
      <w:r>
        <w:rPr>
          <w:rFonts w:ascii="Arial" w:eastAsia="Arial" w:hAnsi="Arial" w:cs="Arial"/>
          <w:sz w:val="20"/>
          <w:szCs w:val="20"/>
        </w:rPr>
        <w:t xml:space="preserve"> Norwegian 8178 Music Rehearsal Space Preferred Reverberation Time </w:t>
      </w:r>
      <w:proofErr w:type="spellStart"/>
      <w:r>
        <w:rPr>
          <w:rFonts w:ascii="Arial" w:eastAsia="Arial" w:hAnsi="Arial" w:cs="Arial"/>
          <w:sz w:val="20"/>
          <w:szCs w:val="20"/>
        </w:rPr>
        <w:t>vs</w:t>
      </w:r>
      <w:proofErr w:type="spellEnd"/>
      <w:r>
        <w:rPr>
          <w:rFonts w:ascii="Arial" w:eastAsia="Arial" w:hAnsi="Arial" w:cs="Arial"/>
          <w:sz w:val="20"/>
          <w:szCs w:val="20"/>
        </w:rPr>
        <w:t xml:space="preserve"> Volume </w:t>
      </w:r>
    </w:p>
    <w:p w:rsidR="00DD0A31" w:rsidRDefault="0093068C" w:rsidP="00C65FEA">
      <w:pPr>
        <w:spacing w:after="0" w:line="240" w:lineRule="auto"/>
        <w:jc w:val="both"/>
        <w:rPr>
          <w:rFonts w:ascii="Arial" w:eastAsia="Arial" w:hAnsi="Arial" w:cs="Arial"/>
        </w:rPr>
      </w:pPr>
      <w:r>
        <w:rPr>
          <w:rFonts w:ascii="Arial" w:eastAsia="Arial" w:hAnsi="Arial" w:cs="Arial"/>
        </w:rPr>
        <w:lastRenderedPageBreak/>
        <w:t xml:space="preserve">The preferred reverberation time (500+1000Hz averaged) for the CRR was found to be </w:t>
      </w:r>
      <w:proofErr w:type="spellStart"/>
      <w:r>
        <w:rPr>
          <w:rFonts w:ascii="Arial" w:eastAsia="Arial" w:hAnsi="Arial" w:cs="Arial"/>
        </w:rPr>
        <w:t>T</w:t>
      </w:r>
      <w:r>
        <w:rPr>
          <w:rFonts w:ascii="Arial" w:eastAsia="Arial" w:hAnsi="Arial" w:cs="Arial"/>
          <w:vertAlign w:val="subscript"/>
        </w:rPr>
        <w:t>mf</w:t>
      </w:r>
      <w:proofErr w:type="spellEnd"/>
      <w:r>
        <w:rPr>
          <w:rFonts w:ascii="Arial" w:eastAsia="Arial" w:hAnsi="Arial" w:cs="Arial"/>
        </w:rPr>
        <w:t xml:space="preserve"> =1.2 seconds with a possible range of 1.0-1.4 seconds, see Figure 2. This is in broad agreement with </w:t>
      </w:r>
      <w:proofErr w:type="spellStart"/>
      <w:r>
        <w:rPr>
          <w:rFonts w:ascii="Arial" w:eastAsia="Arial" w:hAnsi="Arial" w:cs="Arial"/>
        </w:rPr>
        <w:t>Beranek’s</w:t>
      </w:r>
      <w:proofErr w:type="spellEnd"/>
      <w:r>
        <w:rPr>
          <w:rFonts w:ascii="Arial" w:eastAsia="Arial" w:hAnsi="Arial" w:cs="Arial"/>
        </w:rPr>
        <w:t xml:space="preserve"> book suggestion of 1.3-1.5 seconds [2] and </w:t>
      </w:r>
      <w:proofErr w:type="spellStart"/>
      <w:r>
        <w:rPr>
          <w:rFonts w:ascii="Arial" w:eastAsia="Arial" w:hAnsi="Arial" w:cs="Arial"/>
        </w:rPr>
        <w:t>Sinal</w:t>
      </w:r>
      <w:proofErr w:type="spellEnd"/>
      <w:r>
        <w:rPr>
          <w:rFonts w:ascii="Arial" w:eastAsia="Arial" w:hAnsi="Arial" w:cs="Arial"/>
        </w:rPr>
        <w:t xml:space="preserve"> and </w:t>
      </w:r>
      <w:proofErr w:type="spellStart"/>
      <w:r>
        <w:rPr>
          <w:rFonts w:ascii="Arial" w:eastAsia="Arial" w:hAnsi="Arial" w:cs="Arial"/>
        </w:rPr>
        <w:t>Yilmazer</w:t>
      </w:r>
      <w:proofErr w:type="spellEnd"/>
      <w:r>
        <w:rPr>
          <w:rFonts w:ascii="Arial" w:eastAsia="Arial" w:hAnsi="Arial" w:cs="Arial"/>
        </w:rPr>
        <w:t xml:space="preserve"> formula [3] which gave a value of 1.56 </w:t>
      </w:r>
      <w:proofErr w:type="gramStart"/>
      <w:r>
        <w:rPr>
          <w:rFonts w:ascii="Arial" w:eastAsia="Arial" w:hAnsi="Arial" w:cs="Arial"/>
        </w:rPr>
        <w:t>seconds,</w:t>
      </w:r>
      <w:proofErr w:type="gramEnd"/>
      <w:r>
        <w:rPr>
          <w:rFonts w:ascii="Arial" w:eastAsia="Arial" w:hAnsi="Arial" w:cs="Arial"/>
        </w:rPr>
        <w:t xml:space="preserve"> see </w:t>
      </w:r>
      <w:r w:rsidR="003654E4">
        <w:rPr>
          <w:rFonts w:ascii="Arial" w:eastAsia="Arial" w:hAnsi="Arial" w:cs="Arial"/>
        </w:rPr>
        <w:t>equation (1)</w:t>
      </w:r>
      <w:r>
        <w:rPr>
          <w:rFonts w:ascii="Arial" w:eastAsia="Arial" w:hAnsi="Arial" w:cs="Arial"/>
        </w:rPr>
        <w:t>.</w:t>
      </w:r>
    </w:p>
    <w:p w:rsidR="00DD0A31" w:rsidRDefault="00DD0A31">
      <w:pPr>
        <w:spacing w:after="0" w:line="240" w:lineRule="auto"/>
        <w:rPr>
          <w:rFonts w:ascii="Arial" w:eastAsia="Arial" w:hAnsi="Arial" w:cs="Arial"/>
        </w:rPr>
      </w:pPr>
    </w:p>
    <w:p w:rsidR="00DD0A31" w:rsidRDefault="0093068C">
      <w:pPr>
        <w:rPr>
          <w:rFonts w:ascii="Cambria Math" w:eastAsia="Cambria Math" w:hAnsi="Cambria Math" w:cs="Cambria Math"/>
        </w:rPr>
      </w:pPr>
      <m:oMath>
        <m:r>
          <w:rPr>
            <w:rFonts w:ascii="Cambria Math" w:eastAsia="Cambria Math" w:hAnsi="Cambria Math" w:cs="Cambria Math"/>
          </w:rPr>
          <m:t>RT=10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r>
          <w:rPr>
            <w:rFonts w:ascii="Arial" w:eastAsia="Arial" w:hAnsi="Arial" w:cs="Arial"/>
            <w:sz w:val="24"/>
            <w:szCs w:val="24"/>
          </w:rPr>
          <m:t>(</m:t>
        </m:r>
        <m:r>
          <w:rPr>
            <w:rFonts w:ascii="Cambria Math" w:eastAsia="Cambria Math" w:hAnsi="Cambria Math" w:cs="Cambria Math"/>
          </w:rPr>
          <m:t>0.55*Volume</m:t>
        </m:r>
        <m:r>
          <w:rPr>
            <w:rFonts w:ascii="Arial" w:eastAsia="Arial" w:hAnsi="Arial" w:cs="Arial"/>
            <w:sz w:val="24"/>
            <w:szCs w:val="24"/>
          </w:rPr>
          <m:t>)</m:t>
        </m:r>
        <m:r>
          <w:rPr>
            <w:rFonts w:ascii="Cambria Math" w:eastAsia="Cambria Math" w:hAnsi="Cambria Math" w:cs="Cambria Math"/>
          </w:rPr>
          <m:t>-0.14</m:t>
        </m:r>
      </m:oMath>
      <w:r w:rsidR="003654E4">
        <w:rPr>
          <w:rFonts w:ascii="Cambria Math" w:eastAsia="Cambria Math" w:hAnsi="Cambria Math" w:cs="Cambria Math"/>
        </w:rPr>
        <w:t xml:space="preserve"> </w:t>
      </w:r>
      <w:r w:rsidR="003654E4">
        <w:rPr>
          <w:rFonts w:ascii="Cambria Math" w:eastAsia="Cambria Math" w:hAnsi="Cambria Math" w:cs="Cambria Math"/>
        </w:rPr>
        <w:tab/>
      </w:r>
      <w:r w:rsidR="003654E4">
        <w:rPr>
          <w:rFonts w:ascii="Cambria Math" w:eastAsia="Cambria Math" w:hAnsi="Cambria Math" w:cs="Cambria Math"/>
        </w:rPr>
        <w:tab/>
      </w:r>
      <w:r w:rsidR="003654E4">
        <w:rPr>
          <w:rFonts w:ascii="Cambria Math" w:eastAsia="Cambria Math" w:hAnsi="Cambria Math" w:cs="Cambria Math"/>
        </w:rPr>
        <w:tab/>
      </w:r>
      <w:r w:rsidR="003654E4">
        <w:rPr>
          <w:rFonts w:ascii="Cambria Math" w:eastAsia="Cambria Math" w:hAnsi="Cambria Math" w:cs="Cambria Math"/>
        </w:rPr>
        <w:tab/>
      </w:r>
      <w:r w:rsidR="003654E4">
        <w:rPr>
          <w:rFonts w:ascii="Cambria Math" w:eastAsia="Cambria Math" w:hAnsi="Cambria Math" w:cs="Cambria Math"/>
        </w:rPr>
        <w:tab/>
      </w:r>
      <w:r w:rsidR="003654E4">
        <w:rPr>
          <w:rFonts w:ascii="Cambria Math" w:eastAsia="Cambria Math" w:hAnsi="Cambria Math" w:cs="Cambria Math"/>
        </w:rPr>
        <w:tab/>
      </w:r>
      <w:r w:rsidR="003654E4">
        <w:rPr>
          <w:rFonts w:ascii="Cambria Math" w:eastAsia="Cambria Math" w:hAnsi="Cambria Math" w:cs="Cambria Math"/>
        </w:rPr>
        <w:tab/>
        <w:t>(1)</w:t>
      </w:r>
    </w:p>
    <w:p w:rsidR="00DD0A31" w:rsidRDefault="0093068C">
      <w:pPr>
        <w:numPr>
          <w:ilvl w:val="1"/>
          <w:numId w:val="2"/>
        </w:numPr>
        <w:spacing w:after="0" w:line="240" w:lineRule="auto"/>
        <w:ind w:hanging="720"/>
        <w:rPr>
          <w:rFonts w:ascii="Arial" w:eastAsia="Arial" w:hAnsi="Arial" w:cs="Arial"/>
          <w:b/>
          <w:sz w:val="24"/>
          <w:szCs w:val="24"/>
        </w:rPr>
      </w:pPr>
      <w:r>
        <w:rPr>
          <w:rFonts w:ascii="Arial" w:eastAsia="Arial" w:hAnsi="Arial" w:cs="Arial"/>
          <w:b/>
          <w:sz w:val="24"/>
          <w:szCs w:val="24"/>
        </w:rPr>
        <w:t>Room Acoustic Measurements</w:t>
      </w:r>
    </w:p>
    <w:p w:rsidR="00DD0A31" w:rsidRDefault="00DD0A31">
      <w:pPr>
        <w:spacing w:after="0" w:line="240" w:lineRule="auto"/>
        <w:ind w:left="720"/>
        <w:rPr>
          <w:rFonts w:ascii="Arial" w:eastAsia="Arial" w:hAnsi="Arial" w:cs="Arial"/>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Measurements were taken in the unoccupied </w:t>
      </w:r>
      <w:r w:rsidRPr="003654E4">
        <w:rPr>
          <w:rFonts w:ascii="Arial" w:eastAsia="Arial" w:hAnsi="Arial" w:cs="Arial"/>
          <w:color w:val="auto"/>
          <w:sz w:val="20"/>
          <w:szCs w:val="20"/>
        </w:rPr>
        <w:t xml:space="preserve">CRR </w:t>
      </w:r>
      <w:r>
        <w:rPr>
          <w:rFonts w:ascii="Arial" w:eastAsia="Arial" w:hAnsi="Arial" w:cs="Arial"/>
          <w:sz w:val="20"/>
          <w:szCs w:val="20"/>
        </w:rPr>
        <w:t xml:space="preserve">using the </w:t>
      </w:r>
      <w:proofErr w:type="spellStart"/>
      <w:r>
        <w:rPr>
          <w:rFonts w:ascii="Arial" w:eastAsia="Arial" w:hAnsi="Arial" w:cs="Arial"/>
          <w:sz w:val="20"/>
          <w:szCs w:val="20"/>
        </w:rPr>
        <w:t>winMLS</w:t>
      </w:r>
      <w:proofErr w:type="spellEnd"/>
      <w:r>
        <w:rPr>
          <w:rFonts w:ascii="Arial" w:eastAsia="Arial" w:hAnsi="Arial" w:cs="Arial"/>
          <w:sz w:val="20"/>
          <w:szCs w:val="20"/>
        </w:rPr>
        <w:t xml:space="preserve"> computer based system using a Class 1 microphone, a Norsonic hemi-</w:t>
      </w:r>
      <w:proofErr w:type="spellStart"/>
      <w:r>
        <w:rPr>
          <w:rFonts w:ascii="Arial" w:eastAsia="Arial" w:hAnsi="Arial" w:cs="Arial"/>
          <w:sz w:val="20"/>
          <w:szCs w:val="20"/>
        </w:rPr>
        <w:t>dodec</w:t>
      </w:r>
      <w:proofErr w:type="spellEnd"/>
      <w:r>
        <w:rPr>
          <w:rFonts w:ascii="Arial" w:eastAsia="Arial" w:hAnsi="Arial" w:cs="Arial"/>
          <w:sz w:val="20"/>
          <w:szCs w:val="20"/>
        </w:rPr>
        <w:t xml:space="preserve"> loudspeaker connected to and Norsonic amplifier.  The room acoustic measurements themselves were taken in accordance to ISO 3382-1:2009 – Acoustics – Measurement of room acoustic parameters. Part 1: Performance spaces [4]. Measurements for two source positions and six microphone positions were taken and averaged. The averaged reverberation time results in 1/3 octave bands are show in figure 2. </w:t>
      </w:r>
    </w:p>
    <w:p w:rsidR="00DD0A31" w:rsidRDefault="0093068C">
      <w:pPr>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extent cx="5389582" cy="2441986"/>
            <wp:effectExtent l="0" t="0" r="0" b="0"/>
            <wp:docPr id="40"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0A31" w:rsidRDefault="0093068C">
      <w:pPr>
        <w:spacing w:after="0" w:line="240" w:lineRule="auto"/>
        <w:jc w:val="center"/>
        <w:rPr>
          <w:rFonts w:ascii="Arial" w:eastAsia="Arial" w:hAnsi="Arial" w:cs="Arial"/>
          <w:sz w:val="20"/>
          <w:szCs w:val="20"/>
        </w:rPr>
      </w:pPr>
      <w:proofErr w:type="gramStart"/>
      <w:r>
        <w:rPr>
          <w:rFonts w:ascii="Arial" w:eastAsia="Arial" w:hAnsi="Arial" w:cs="Arial"/>
          <w:sz w:val="20"/>
          <w:szCs w:val="20"/>
        </w:rPr>
        <w:t>Figure 3.</w:t>
      </w:r>
      <w:proofErr w:type="gramEnd"/>
      <w:r>
        <w:rPr>
          <w:rFonts w:ascii="Arial" w:eastAsia="Arial" w:hAnsi="Arial" w:cs="Arial"/>
          <w:sz w:val="20"/>
          <w:szCs w:val="20"/>
        </w:rPr>
        <w:t xml:space="preserve"> Averaged reverberation time measured in the Choral Rehearsal Room</w:t>
      </w:r>
    </w:p>
    <w:p w:rsidR="00DD0A31" w:rsidRDefault="00DD0A31">
      <w:pPr>
        <w:spacing w:after="0" w:line="240" w:lineRule="auto"/>
        <w:rPr>
          <w:rFonts w:ascii="Arial" w:eastAsia="Arial" w:hAnsi="Arial" w:cs="Arial"/>
          <w:sz w:val="20"/>
          <w:szCs w:val="20"/>
        </w:rPr>
      </w:pPr>
    </w:p>
    <w:p w:rsidR="00DD0A31" w:rsidRDefault="0093068C">
      <w:pPr>
        <w:numPr>
          <w:ilvl w:val="1"/>
          <w:numId w:val="2"/>
        </w:numPr>
        <w:spacing w:after="0" w:line="240" w:lineRule="auto"/>
        <w:ind w:hanging="720"/>
        <w:rPr>
          <w:rFonts w:ascii="Arial" w:eastAsia="Arial" w:hAnsi="Arial" w:cs="Arial"/>
          <w:b/>
          <w:sz w:val="24"/>
          <w:szCs w:val="24"/>
        </w:rPr>
      </w:pPr>
      <w:r>
        <w:rPr>
          <w:rFonts w:ascii="Arial" w:eastAsia="Arial" w:hAnsi="Arial" w:cs="Arial"/>
          <w:b/>
          <w:sz w:val="24"/>
          <w:szCs w:val="24"/>
        </w:rPr>
        <w:t>Analysis of the Room Acoustic Measurements</w:t>
      </w:r>
    </w:p>
    <w:p w:rsidR="00DD0A31" w:rsidRDefault="0093068C">
      <w:pPr>
        <w:spacing w:after="0" w:line="240" w:lineRule="auto"/>
        <w:ind w:left="720"/>
        <w:rPr>
          <w:rFonts w:ascii="Arial" w:eastAsia="Arial" w:hAnsi="Arial" w:cs="Arial"/>
          <w:sz w:val="20"/>
          <w:szCs w:val="20"/>
        </w:rPr>
      </w:pPr>
      <w:r>
        <w:rPr>
          <w:rFonts w:ascii="Arial" w:eastAsia="Arial" w:hAnsi="Arial" w:cs="Arial"/>
          <w:sz w:val="20"/>
          <w:szCs w:val="20"/>
        </w:rPr>
        <w:t xml:space="preserve">  </w:t>
      </w:r>
    </w:p>
    <w:p w:rsidR="003654E4"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Through analysis of the reverberation measurements the </w:t>
      </w:r>
      <w:proofErr w:type="spellStart"/>
      <w:r>
        <w:rPr>
          <w:rFonts w:ascii="Arial" w:eastAsia="Arial" w:hAnsi="Arial" w:cs="Arial"/>
          <w:sz w:val="20"/>
          <w:szCs w:val="20"/>
        </w:rPr>
        <w:t>T</w:t>
      </w:r>
      <w:r>
        <w:rPr>
          <w:rFonts w:ascii="Arial" w:eastAsia="Arial" w:hAnsi="Arial" w:cs="Arial"/>
          <w:sz w:val="20"/>
          <w:szCs w:val="20"/>
          <w:vertAlign w:val="subscript"/>
        </w:rPr>
        <w:t>mf</w:t>
      </w:r>
      <w:proofErr w:type="spellEnd"/>
      <w:r>
        <w:rPr>
          <w:rFonts w:ascii="Arial" w:eastAsia="Arial" w:hAnsi="Arial" w:cs="Arial"/>
          <w:sz w:val="20"/>
          <w:szCs w:val="20"/>
        </w:rPr>
        <w:t xml:space="preserve"> was found to be 0.83 seconds, with a bass ratio of 1.2. The </w:t>
      </w:r>
      <w:proofErr w:type="spellStart"/>
      <w:r>
        <w:rPr>
          <w:rFonts w:ascii="Arial" w:eastAsia="Arial" w:hAnsi="Arial" w:cs="Arial"/>
          <w:sz w:val="20"/>
          <w:szCs w:val="20"/>
        </w:rPr>
        <w:t>T</w:t>
      </w:r>
      <w:r>
        <w:rPr>
          <w:rFonts w:ascii="Arial" w:eastAsia="Arial" w:hAnsi="Arial" w:cs="Arial"/>
          <w:sz w:val="20"/>
          <w:szCs w:val="20"/>
          <w:vertAlign w:val="subscript"/>
        </w:rPr>
        <w:t>mf</w:t>
      </w:r>
      <w:proofErr w:type="spellEnd"/>
      <w:r>
        <w:rPr>
          <w:rFonts w:ascii="Arial" w:eastAsia="Arial" w:hAnsi="Arial" w:cs="Arial"/>
          <w:sz w:val="20"/>
          <w:szCs w:val="20"/>
        </w:rPr>
        <w:t xml:space="preserve"> is much lower than would be expected according to </w:t>
      </w:r>
      <w:proofErr w:type="spellStart"/>
      <w:r>
        <w:rPr>
          <w:rFonts w:ascii="Arial" w:eastAsia="Arial" w:hAnsi="Arial" w:cs="Arial"/>
          <w:sz w:val="20"/>
          <w:szCs w:val="20"/>
        </w:rPr>
        <w:t>Beranek</w:t>
      </w:r>
      <w:proofErr w:type="spellEnd"/>
      <w:r>
        <w:rPr>
          <w:rFonts w:ascii="Arial" w:eastAsia="Arial" w:hAnsi="Arial" w:cs="Arial"/>
          <w:sz w:val="20"/>
          <w:szCs w:val="20"/>
        </w:rPr>
        <w:t xml:space="preserve"> or the Norwegian Standard 8178 in absolute times, 0.83 s compared to 1.3 s and 1.2 s</w:t>
      </w:r>
      <w:r w:rsidR="003654E4">
        <w:rPr>
          <w:rFonts w:ascii="Arial" w:eastAsia="Arial" w:hAnsi="Arial" w:cs="Arial"/>
          <w:sz w:val="20"/>
          <w:szCs w:val="20"/>
        </w:rPr>
        <w:t>, respectively. T</w:t>
      </w:r>
      <w:r>
        <w:rPr>
          <w:rFonts w:ascii="Arial" w:eastAsia="Arial" w:hAnsi="Arial" w:cs="Arial"/>
          <w:sz w:val="20"/>
          <w:szCs w:val="20"/>
        </w:rPr>
        <w:t xml:space="preserve">he Norwegian Standard also provides the relative reverberation time to </w:t>
      </w:r>
      <w:proofErr w:type="spellStart"/>
      <w:r>
        <w:rPr>
          <w:rFonts w:ascii="Arial" w:eastAsia="Arial" w:hAnsi="Arial" w:cs="Arial"/>
          <w:sz w:val="20"/>
          <w:szCs w:val="20"/>
        </w:rPr>
        <w:t>T</w:t>
      </w:r>
      <w:r>
        <w:rPr>
          <w:rFonts w:ascii="Arial" w:eastAsia="Arial" w:hAnsi="Arial" w:cs="Arial"/>
          <w:sz w:val="20"/>
          <w:szCs w:val="20"/>
          <w:vertAlign w:val="subscript"/>
        </w:rPr>
        <w:t>mf</w:t>
      </w:r>
      <w:proofErr w:type="spellEnd"/>
      <w:r w:rsidR="003654E4">
        <w:rPr>
          <w:rFonts w:ascii="Arial" w:eastAsia="Arial" w:hAnsi="Arial" w:cs="Arial"/>
          <w:sz w:val="20"/>
          <w:szCs w:val="20"/>
        </w:rPr>
        <w:t xml:space="preserve"> for the </w:t>
      </w:r>
      <w:r>
        <w:rPr>
          <w:rFonts w:ascii="Arial" w:eastAsia="Arial" w:hAnsi="Arial" w:cs="Arial"/>
          <w:sz w:val="20"/>
          <w:szCs w:val="20"/>
        </w:rPr>
        <w:t>spectrum, se</w:t>
      </w:r>
      <w:r w:rsidR="003654E4">
        <w:rPr>
          <w:rFonts w:ascii="Arial" w:eastAsia="Arial" w:hAnsi="Arial" w:cs="Arial"/>
          <w:sz w:val="20"/>
          <w:szCs w:val="20"/>
        </w:rPr>
        <w:t>e Fig</w:t>
      </w:r>
      <w:r>
        <w:rPr>
          <w:rFonts w:ascii="Arial" w:eastAsia="Arial" w:hAnsi="Arial" w:cs="Arial"/>
          <w:sz w:val="20"/>
          <w:szCs w:val="20"/>
        </w:rPr>
        <w:t xml:space="preserve"> 3</w:t>
      </w:r>
      <w:r w:rsidR="003654E4">
        <w:rPr>
          <w:rFonts w:ascii="Arial" w:eastAsia="Arial" w:hAnsi="Arial" w:cs="Arial"/>
          <w:sz w:val="20"/>
          <w:szCs w:val="20"/>
        </w:rPr>
        <w:t>.</w:t>
      </w:r>
    </w:p>
    <w:p w:rsidR="003654E4" w:rsidRPr="003654E4" w:rsidRDefault="003654E4">
      <w:pPr>
        <w:spacing w:after="0" w:line="240" w:lineRule="auto"/>
        <w:rPr>
          <w:rFonts w:ascii="Arial" w:eastAsia="Arial" w:hAnsi="Arial" w:cs="Arial"/>
          <w:sz w:val="12"/>
          <w:szCs w:val="12"/>
        </w:rPr>
      </w:pPr>
    </w:p>
    <w:p w:rsidR="00DD0A31" w:rsidRDefault="0093068C" w:rsidP="003654E4">
      <w:pPr>
        <w:spacing w:after="0" w:line="240" w:lineRule="auto"/>
        <w:jc w:val="center"/>
        <w:rPr>
          <w:rFonts w:ascii="Arial" w:eastAsia="Arial" w:hAnsi="Arial" w:cs="Arial"/>
        </w:rPr>
      </w:pPr>
      <w:r>
        <w:rPr>
          <w:rFonts w:ascii="Arial" w:eastAsia="Arial" w:hAnsi="Arial" w:cs="Arial"/>
          <w:noProof/>
          <w:sz w:val="24"/>
          <w:szCs w:val="24"/>
        </w:rPr>
        <w:drawing>
          <wp:inline distT="0" distB="0" distL="0" distR="0">
            <wp:extent cx="3031191" cy="2054711"/>
            <wp:effectExtent l="19050" t="0" r="0" b="0"/>
            <wp:docPr id="42" name="image7.png" descr="C:\Users\Dell\AppData\Local\Microsoft\Windows\Temporary Internet Files\Content.Word\New Picture (1).bmp"/>
            <wp:cNvGraphicFramePr/>
            <a:graphic xmlns:a="http://schemas.openxmlformats.org/drawingml/2006/main">
              <a:graphicData uri="http://schemas.openxmlformats.org/drawingml/2006/picture">
                <pic:pic xmlns:pic="http://schemas.openxmlformats.org/drawingml/2006/picture">
                  <pic:nvPicPr>
                    <pic:cNvPr id="0" name="image7.png" descr="C:\Users\Dell\AppData\Local\Microsoft\Windows\Temporary Internet Files\Content.Word\New Picture (1).bmp"/>
                    <pic:cNvPicPr preferRelativeResize="0"/>
                  </pic:nvPicPr>
                  <pic:blipFill>
                    <a:blip r:embed="rId10" cstate="print"/>
                    <a:srcRect/>
                    <a:stretch>
                      <a:fillRect/>
                    </a:stretch>
                  </pic:blipFill>
                  <pic:spPr>
                    <a:xfrm>
                      <a:off x="0" y="0"/>
                      <a:ext cx="3029088" cy="2053285"/>
                    </a:xfrm>
                    <a:prstGeom prst="rect">
                      <a:avLst/>
                    </a:prstGeom>
                    <a:ln/>
                  </pic:spPr>
                </pic:pic>
              </a:graphicData>
            </a:graphic>
          </wp:inline>
        </w:drawing>
      </w:r>
    </w:p>
    <w:p w:rsidR="00DD0A31" w:rsidRDefault="0093068C">
      <w:pPr>
        <w:spacing w:after="0" w:line="240" w:lineRule="auto"/>
        <w:jc w:val="center"/>
        <w:rPr>
          <w:rFonts w:ascii="Arial" w:eastAsia="Arial" w:hAnsi="Arial" w:cs="Arial"/>
          <w:sz w:val="20"/>
          <w:szCs w:val="20"/>
        </w:rPr>
      </w:pPr>
      <w:proofErr w:type="gramStart"/>
      <w:r>
        <w:rPr>
          <w:rFonts w:ascii="Arial" w:eastAsia="Arial" w:hAnsi="Arial" w:cs="Arial"/>
          <w:sz w:val="20"/>
          <w:szCs w:val="20"/>
        </w:rPr>
        <w:t>Figure 4.</w:t>
      </w:r>
      <w:proofErr w:type="gramEnd"/>
      <w:r>
        <w:rPr>
          <w:rFonts w:ascii="Arial" w:eastAsia="Arial" w:hAnsi="Arial" w:cs="Arial"/>
          <w:sz w:val="20"/>
          <w:szCs w:val="20"/>
        </w:rPr>
        <w:t xml:space="preserve"> Measured Reverberation Time ratio to </w:t>
      </w:r>
      <w:proofErr w:type="spellStart"/>
      <w:r>
        <w:rPr>
          <w:rFonts w:ascii="Arial" w:eastAsia="Arial" w:hAnsi="Arial" w:cs="Arial"/>
          <w:sz w:val="20"/>
          <w:szCs w:val="20"/>
        </w:rPr>
        <w:t>T</w:t>
      </w:r>
      <w:r>
        <w:rPr>
          <w:rFonts w:ascii="Arial" w:eastAsia="Arial" w:hAnsi="Arial" w:cs="Arial"/>
          <w:sz w:val="20"/>
          <w:szCs w:val="20"/>
          <w:vertAlign w:val="subscript"/>
        </w:rPr>
        <w:t>mf</w:t>
      </w:r>
      <w:proofErr w:type="spellEnd"/>
      <w:r>
        <w:rPr>
          <w:rFonts w:ascii="Arial" w:eastAsia="Arial" w:hAnsi="Arial" w:cs="Arial"/>
          <w:sz w:val="20"/>
          <w:szCs w:val="20"/>
        </w:rPr>
        <w:t xml:space="preserve"> as given in Norwegian 8178 Standard</w:t>
      </w:r>
    </w:p>
    <w:p w:rsidR="00DD0A31" w:rsidRDefault="0093068C" w:rsidP="00C65FEA">
      <w:pPr>
        <w:spacing w:after="0" w:line="240" w:lineRule="auto"/>
        <w:jc w:val="both"/>
        <w:rPr>
          <w:rFonts w:ascii="Arial" w:eastAsia="Arial" w:hAnsi="Arial" w:cs="Arial"/>
        </w:rPr>
      </w:pPr>
      <w:r>
        <w:rPr>
          <w:rFonts w:ascii="Arial" w:eastAsia="Arial" w:hAnsi="Arial" w:cs="Arial"/>
        </w:rPr>
        <w:lastRenderedPageBreak/>
        <w:t xml:space="preserve">The Norwegian Standard 8178 suggests that music rehearsal rooms should have a flat frequency response. Upon analysis of Figure 3 the bass ratio should be between 1.0 and 1.07 whereas for the CRR it is 1.2 mainly due to too high a reverberation time at 250 Hz. In addition the measured RT curve is too low at mid and high frequencies and thus produces an unbalanced sound over boosting the low frequencies and over absorbing the </w:t>
      </w:r>
      <w:proofErr w:type="spellStart"/>
      <w:r>
        <w:rPr>
          <w:rFonts w:ascii="Arial" w:eastAsia="Arial" w:hAnsi="Arial" w:cs="Arial"/>
        </w:rPr>
        <w:t>mids</w:t>
      </w:r>
      <w:proofErr w:type="spellEnd"/>
      <w:r>
        <w:rPr>
          <w:rFonts w:ascii="Arial" w:eastAsia="Arial" w:hAnsi="Arial" w:cs="Arial"/>
        </w:rPr>
        <w:t xml:space="preserve"> and high frequencies.</w:t>
      </w:r>
    </w:p>
    <w:p w:rsidR="00DD0A31" w:rsidRDefault="00DD0A31">
      <w:pPr>
        <w:spacing w:after="0" w:line="240" w:lineRule="auto"/>
        <w:rPr>
          <w:rFonts w:ascii="Arial" w:eastAsia="Arial" w:hAnsi="Arial" w:cs="Arial"/>
        </w:rPr>
      </w:pPr>
    </w:p>
    <w:p w:rsidR="00DD0A31" w:rsidRDefault="0093068C">
      <w:pPr>
        <w:numPr>
          <w:ilvl w:val="0"/>
          <w:numId w:val="2"/>
        </w:numPr>
        <w:spacing w:after="0" w:line="240" w:lineRule="auto"/>
        <w:ind w:hanging="720"/>
        <w:rPr>
          <w:rFonts w:ascii="Arial" w:eastAsia="Arial" w:hAnsi="Arial" w:cs="Arial"/>
          <w:b/>
          <w:sz w:val="28"/>
          <w:szCs w:val="28"/>
        </w:rPr>
      </w:pPr>
      <w:r>
        <w:rPr>
          <w:rFonts w:ascii="Arial" w:eastAsia="Arial" w:hAnsi="Arial" w:cs="Arial"/>
          <w:b/>
          <w:sz w:val="28"/>
          <w:szCs w:val="28"/>
        </w:rPr>
        <w:t>THE SINGING EXPERIMENT</w:t>
      </w:r>
    </w:p>
    <w:p w:rsidR="00DD0A31" w:rsidRDefault="00DD0A31">
      <w:pPr>
        <w:spacing w:after="0" w:line="240" w:lineRule="auto"/>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singing experiment was initiated by the Royal Opera House after the Chor</w:t>
      </w:r>
      <w:r w:rsidRPr="00974ED3">
        <w:rPr>
          <w:rFonts w:ascii="Arial" w:eastAsia="Arial" w:hAnsi="Arial" w:cs="Arial"/>
          <w:color w:val="auto"/>
          <w:sz w:val="20"/>
          <w:szCs w:val="20"/>
        </w:rPr>
        <w:t>isters</w:t>
      </w:r>
      <w:r>
        <w:rPr>
          <w:rFonts w:ascii="Arial" w:eastAsia="Arial" w:hAnsi="Arial" w:cs="Arial"/>
          <w:color w:val="FF0000"/>
          <w:sz w:val="20"/>
          <w:szCs w:val="20"/>
        </w:rPr>
        <w:t xml:space="preserve"> </w:t>
      </w:r>
      <w:r>
        <w:rPr>
          <w:rFonts w:ascii="Arial" w:eastAsia="Arial" w:hAnsi="Arial" w:cs="Arial"/>
          <w:sz w:val="20"/>
          <w:szCs w:val="20"/>
        </w:rPr>
        <w:t>gave their feedback on their working environment. This section gives the background to the research including the singing experiment methodology, results, loudness analysis and sound exposure predictions.</w:t>
      </w: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 </w:t>
      </w:r>
    </w:p>
    <w:p w:rsidR="00DD0A31" w:rsidRDefault="0093068C">
      <w:pPr>
        <w:numPr>
          <w:ilvl w:val="1"/>
          <w:numId w:val="2"/>
        </w:numPr>
        <w:spacing w:after="0" w:line="240" w:lineRule="auto"/>
        <w:ind w:hanging="720"/>
        <w:rPr>
          <w:rFonts w:ascii="Arial" w:eastAsia="Arial" w:hAnsi="Arial" w:cs="Arial"/>
          <w:b/>
          <w:sz w:val="24"/>
          <w:szCs w:val="24"/>
        </w:rPr>
      </w:pPr>
      <w:r>
        <w:rPr>
          <w:rFonts w:ascii="Arial" w:eastAsia="Arial" w:hAnsi="Arial" w:cs="Arial"/>
          <w:b/>
          <w:sz w:val="24"/>
          <w:szCs w:val="24"/>
        </w:rPr>
        <w:t>Background to the Singing Experiment</w:t>
      </w:r>
    </w:p>
    <w:p w:rsidR="00DD0A31" w:rsidRDefault="00DD0A31">
      <w:pPr>
        <w:spacing w:after="0" w:line="240" w:lineRule="auto"/>
        <w:ind w:left="720"/>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The Royal Opera House had undertaken to measure the sound exposure of the Royal Opera Chorus during rehearsals.  The singers reported they felt the CRR had an unbalanced acoustic resulting in over-singing which led to increase sound exposure and vocal fatigue. The room was universally disliked for both choral and solo work. </w:t>
      </w:r>
    </w:p>
    <w:p w:rsidR="00DD0A31" w:rsidRDefault="00DD0A31" w:rsidP="00C65FEA">
      <w:pPr>
        <w:spacing w:after="0" w:line="240" w:lineRule="auto"/>
        <w:jc w:val="both"/>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As the CRR has fixed seating it forces the singers to twist to look towards the choral master, see Figure 1. In addition, the fixed seating offers little opportunity for increased separation and hence was removed for the experiments detailed below. </w:t>
      </w:r>
    </w:p>
    <w:p w:rsidR="00DD0A31" w:rsidRDefault="00DD0A31">
      <w:pPr>
        <w:spacing w:after="0" w:line="240" w:lineRule="auto"/>
        <w:rPr>
          <w:rFonts w:ascii="Arial" w:eastAsia="Arial" w:hAnsi="Arial" w:cs="Arial"/>
          <w:sz w:val="20"/>
          <w:szCs w:val="20"/>
        </w:rPr>
      </w:pPr>
    </w:p>
    <w:p w:rsidR="00DD0A31" w:rsidRDefault="0093068C">
      <w:pPr>
        <w:spacing w:after="0" w:line="240" w:lineRule="auto"/>
        <w:rPr>
          <w:rFonts w:ascii="Arial" w:eastAsia="Arial" w:hAnsi="Arial" w:cs="Arial"/>
          <w:b/>
          <w:sz w:val="24"/>
          <w:szCs w:val="24"/>
        </w:rPr>
      </w:pPr>
      <w:r>
        <w:rPr>
          <w:rFonts w:ascii="Arial" w:eastAsia="Arial" w:hAnsi="Arial" w:cs="Arial"/>
          <w:b/>
          <w:sz w:val="24"/>
          <w:szCs w:val="24"/>
        </w:rPr>
        <w:t xml:space="preserve">3.2 </w:t>
      </w:r>
      <w:r>
        <w:rPr>
          <w:rFonts w:ascii="Arial" w:eastAsia="Arial" w:hAnsi="Arial" w:cs="Arial"/>
          <w:b/>
          <w:sz w:val="24"/>
          <w:szCs w:val="24"/>
        </w:rPr>
        <w:tab/>
        <w:t>The Singing Experiment Methodology</w:t>
      </w:r>
    </w:p>
    <w:p w:rsidR="00DD0A31" w:rsidRDefault="00DD0A31">
      <w:pPr>
        <w:spacing w:after="0" w:line="240" w:lineRule="auto"/>
        <w:rPr>
          <w:rFonts w:ascii="Arial" w:eastAsia="Arial" w:hAnsi="Arial" w:cs="Arial"/>
          <w:sz w:val="20"/>
          <w:szCs w:val="20"/>
        </w:rPr>
      </w:pPr>
    </w:p>
    <w:p w:rsidR="00DD0A31" w:rsidRPr="00974ED3" w:rsidRDefault="0093068C" w:rsidP="00C65FEA">
      <w:pPr>
        <w:spacing w:after="0" w:line="240" w:lineRule="auto"/>
        <w:jc w:val="both"/>
        <w:rPr>
          <w:rFonts w:ascii="Arial" w:eastAsia="Arial" w:hAnsi="Arial" w:cs="Arial"/>
          <w:color w:val="auto"/>
          <w:sz w:val="20"/>
          <w:szCs w:val="20"/>
        </w:rPr>
      </w:pPr>
      <w:r>
        <w:rPr>
          <w:rFonts w:ascii="Arial" w:eastAsia="Arial" w:hAnsi="Arial" w:cs="Arial"/>
          <w:sz w:val="20"/>
          <w:szCs w:val="20"/>
        </w:rPr>
        <w:t xml:space="preserve">The Choral singers performed “The Easter </w:t>
      </w:r>
      <w:proofErr w:type="spellStart"/>
      <w:r>
        <w:rPr>
          <w:rFonts w:ascii="Arial" w:eastAsia="Arial" w:hAnsi="Arial" w:cs="Arial"/>
          <w:sz w:val="20"/>
          <w:szCs w:val="20"/>
        </w:rPr>
        <w:t>Hymm</w:t>
      </w:r>
      <w:proofErr w:type="spellEnd"/>
      <w:r>
        <w:rPr>
          <w:rFonts w:ascii="Arial" w:eastAsia="Arial" w:hAnsi="Arial" w:cs="Arial"/>
          <w:sz w:val="20"/>
          <w:szCs w:val="20"/>
        </w:rPr>
        <w:t xml:space="preserve">” seven times under </w:t>
      </w:r>
      <w:r w:rsidRPr="00974ED3">
        <w:rPr>
          <w:rFonts w:ascii="Arial" w:eastAsia="Arial" w:hAnsi="Arial" w:cs="Arial"/>
          <w:color w:val="auto"/>
          <w:sz w:val="20"/>
          <w:szCs w:val="20"/>
        </w:rPr>
        <w:t>the direction of the</w:t>
      </w:r>
      <w:r>
        <w:rPr>
          <w:rFonts w:ascii="Arial" w:eastAsia="Arial" w:hAnsi="Arial" w:cs="Arial"/>
          <w:color w:val="FF0000"/>
          <w:sz w:val="20"/>
          <w:szCs w:val="20"/>
        </w:rPr>
        <w:t xml:space="preserve"> </w:t>
      </w:r>
      <w:r>
        <w:rPr>
          <w:rFonts w:ascii="Arial" w:eastAsia="Arial" w:hAnsi="Arial" w:cs="Arial"/>
          <w:sz w:val="20"/>
          <w:szCs w:val="20"/>
        </w:rPr>
        <w:t xml:space="preserve">Assistant Choral Master in the CRR. The piece was selected as it is representative of the choral singers’ repertoire. The song provided two minutes and thirty-five seconds of piano accompanied music which </w:t>
      </w:r>
      <w:r w:rsidRPr="00974ED3">
        <w:rPr>
          <w:rFonts w:ascii="Arial" w:eastAsia="Arial" w:hAnsi="Arial" w:cs="Arial"/>
          <w:color w:val="auto"/>
          <w:sz w:val="20"/>
          <w:szCs w:val="20"/>
        </w:rPr>
        <w:t>demonstrated</w:t>
      </w:r>
      <w:r>
        <w:rPr>
          <w:rFonts w:ascii="Arial" w:eastAsia="Arial" w:hAnsi="Arial" w:cs="Arial"/>
          <w:color w:val="FF0000"/>
          <w:sz w:val="20"/>
          <w:szCs w:val="20"/>
        </w:rPr>
        <w:t xml:space="preserve"> </w:t>
      </w:r>
      <w:r>
        <w:rPr>
          <w:rFonts w:ascii="Arial" w:eastAsia="Arial" w:hAnsi="Arial" w:cs="Arial"/>
          <w:sz w:val="20"/>
          <w:szCs w:val="20"/>
        </w:rPr>
        <w:t xml:space="preserve">all four voice groups – Tenor, Bass, Soprano and Mezzo </w:t>
      </w:r>
      <w:r w:rsidR="00C65FEA">
        <w:rPr>
          <w:rFonts w:ascii="Arial" w:eastAsia="Arial" w:hAnsi="Arial" w:cs="Arial"/>
          <w:sz w:val="20"/>
          <w:szCs w:val="20"/>
        </w:rPr>
        <w:t>- equally</w:t>
      </w:r>
      <w:r>
        <w:rPr>
          <w:rFonts w:ascii="Arial" w:eastAsia="Arial" w:hAnsi="Arial" w:cs="Arial"/>
          <w:sz w:val="20"/>
          <w:szCs w:val="20"/>
        </w:rPr>
        <w:t xml:space="preserve">.  During the experiment 45 of the 48 full time Chorus were present. The hymn importantly also provided sufficient vocal and dynamic range.  All the singers were standing on the risers, see Figure 5. The sound levels were measured at three positions; the position reported is at the choral master location at the front of the room.  </w:t>
      </w:r>
      <w:r w:rsidRPr="00974ED3">
        <w:rPr>
          <w:rFonts w:ascii="Arial" w:eastAsia="Arial" w:hAnsi="Arial" w:cs="Arial"/>
          <w:color w:val="auto"/>
          <w:sz w:val="20"/>
          <w:szCs w:val="20"/>
        </w:rPr>
        <w:t>Ten choristers were wearing shoulder-mounted Cirrus sound-dose badges, and their individual sound doses were recorded.</w:t>
      </w:r>
    </w:p>
    <w:p w:rsidR="00DD0A31" w:rsidRDefault="00DD0A31">
      <w:pPr>
        <w:spacing w:after="0" w:line="240" w:lineRule="auto"/>
        <w:rPr>
          <w:rFonts w:ascii="Arial" w:eastAsia="Arial" w:hAnsi="Arial" w:cs="Arial"/>
          <w:sz w:val="20"/>
          <w:szCs w:val="20"/>
        </w:rPr>
      </w:pPr>
    </w:p>
    <w:p w:rsidR="00DD0A31" w:rsidRDefault="0093068C">
      <w:pPr>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extent cx="2753794" cy="2065498"/>
            <wp:effectExtent l="0" t="0" r="0" b="0"/>
            <wp:docPr id="4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cstate="print"/>
                    <a:srcRect/>
                    <a:stretch>
                      <a:fillRect/>
                    </a:stretch>
                  </pic:blipFill>
                  <pic:spPr>
                    <a:xfrm>
                      <a:off x="0" y="0"/>
                      <a:ext cx="2753794" cy="2065498"/>
                    </a:xfrm>
                    <a:prstGeom prst="rect">
                      <a:avLst/>
                    </a:prstGeom>
                    <a:ln/>
                  </pic:spPr>
                </pic:pic>
              </a:graphicData>
            </a:graphic>
          </wp:inline>
        </w:drawing>
      </w:r>
      <w:r>
        <w:rPr>
          <w:rFonts w:ascii="Arial" w:eastAsia="Arial" w:hAnsi="Arial" w:cs="Arial"/>
          <w:noProof/>
          <w:sz w:val="20"/>
          <w:szCs w:val="20"/>
        </w:rPr>
        <w:drawing>
          <wp:inline distT="0" distB="0" distL="0" distR="0">
            <wp:extent cx="2756675" cy="2057897"/>
            <wp:effectExtent l="0" t="0" r="0" b="0"/>
            <wp:docPr id="4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srcRect/>
                    <a:stretch>
                      <a:fillRect/>
                    </a:stretch>
                  </pic:blipFill>
                  <pic:spPr>
                    <a:xfrm>
                      <a:off x="0" y="0"/>
                      <a:ext cx="2756675" cy="2057897"/>
                    </a:xfrm>
                    <a:prstGeom prst="rect">
                      <a:avLst/>
                    </a:prstGeom>
                    <a:ln/>
                  </pic:spPr>
                </pic:pic>
              </a:graphicData>
            </a:graphic>
          </wp:inline>
        </w:drawing>
      </w:r>
    </w:p>
    <w:p w:rsidR="00DD0A31" w:rsidRDefault="0093068C">
      <w:pPr>
        <w:spacing w:after="0" w:line="240" w:lineRule="auto"/>
        <w:jc w:val="center"/>
        <w:rPr>
          <w:rFonts w:ascii="Arial" w:eastAsia="Arial" w:hAnsi="Arial" w:cs="Arial"/>
          <w:sz w:val="20"/>
          <w:szCs w:val="20"/>
        </w:rPr>
      </w:pPr>
      <w:proofErr w:type="gramStart"/>
      <w:r>
        <w:rPr>
          <w:rFonts w:ascii="Arial" w:eastAsia="Arial" w:hAnsi="Arial" w:cs="Arial"/>
          <w:sz w:val="20"/>
          <w:szCs w:val="20"/>
        </w:rPr>
        <w:t>Figure 5.</w:t>
      </w:r>
      <w:proofErr w:type="gramEnd"/>
      <w:r>
        <w:rPr>
          <w:rFonts w:ascii="Arial" w:eastAsia="Arial" w:hAnsi="Arial" w:cs="Arial"/>
          <w:sz w:val="20"/>
          <w:szCs w:val="20"/>
        </w:rPr>
        <w:t xml:space="preserve"> The choral singers in the chorus rehearsal room at the Royal Opera House</w:t>
      </w:r>
    </w:p>
    <w:p w:rsidR="00DD0A31" w:rsidRDefault="00DD0A31">
      <w:pPr>
        <w:spacing w:after="0" w:line="240" w:lineRule="auto"/>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experiment involved changing the choral layout in terms of the vocal groups giving seven different results, see Figure 6:</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Control using regular chorus layout </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lastRenderedPageBreak/>
        <w:t>Repeat experiment 1 for consistency</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Regular layout but with increase spacing, 1m instead of 0.6 m</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Tenor and Mezzo sections swap location using regular 0.6 m spacing</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 xml:space="preserve"> Soprano, Mezzo, Tenor and Bass block formation across the room</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Normal positions with vocal effort reduced by 50% whilst maintaining full dynamic</w:t>
      </w:r>
    </w:p>
    <w:p w:rsidR="00DD0A31" w:rsidRDefault="0093068C">
      <w:pPr>
        <w:numPr>
          <w:ilvl w:val="0"/>
          <w:numId w:val="1"/>
        </w:numPr>
        <w:spacing w:after="0" w:line="240" w:lineRule="auto"/>
        <w:rPr>
          <w:rFonts w:ascii="Arial" w:eastAsia="Arial" w:hAnsi="Arial" w:cs="Arial"/>
          <w:sz w:val="20"/>
          <w:szCs w:val="20"/>
        </w:rPr>
      </w:pPr>
      <w:r>
        <w:rPr>
          <w:rFonts w:ascii="Arial" w:eastAsia="Arial" w:hAnsi="Arial" w:cs="Arial"/>
          <w:sz w:val="20"/>
          <w:szCs w:val="20"/>
        </w:rPr>
        <w:t>Normal positions but with music stands open</w:t>
      </w:r>
    </w:p>
    <w:p w:rsidR="00DD0A31" w:rsidRDefault="00DD0A31">
      <w:pPr>
        <w:spacing w:after="0" w:line="240" w:lineRule="auto"/>
        <w:ind w:left="720"/>
        <w:rPr>
          <w:rFonts w:ascii="Arial" w:eastAsia="Arial" w:hAnsi="Arial" w:cs="Arial"/>
          <w:sz w:val="20"/>
          <w:szCs w:val="20"/>
        </w:rPr>
      </w:pPr>
    </w:p>
    <w:tbl>
      <w:tblPr>
        <w:tblStyle w:val="a3"/>
        <w:tblW w:w="822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013"/>
        <w:gridCol w:w="1956"/>
        <w:gridCol w:w="2126"/>
        <w:gridCol w:w="2127"/>
      </w:tblGrid>
      <w:tr w:rsidR="00DD0A31">
        <w:tc>
          <w:tcPr>
            <w:tcW w:w="2013" w:type="dxa"/>
          </w:tcPr>
          <w:p w:rsidR="00DD0A31" w:rsidRDefault="0093068C">
            <w:pPr>
              <w:jc w:val="center"/>
              <w:rPr>
                <w:rFonts w:ascii="Arial" w:eastAsia="Arial" w:hAnsi="Arial" w:cs="Arial"/>
                <w:sz w:val="20"/>
                <w:szCs w:val="20"/>
              </w:rPr>
            </w:pPr>
            <w:r>
              <w:rPr>
                <w:rFonts w:ascii="Arial" w:eastAsia="Arial" w:hAnsi="Arial" w:cs="Arial"/>
                <w:sz w:val="20"/>
                <w:szCs w:val="20"/>
              </w:rPr>
              <w:t>Tenor</w:t>
            </w:r>
          </w:p>
        </w:tc>
        <w:tc>
          <w:tcPr>
            <w:tcW w:w="1956" w:type="dxa"/>
          </w:tcPr>
          <w:p w:rsidR="00DD0A31" w:rsidRDefault="0093068C">
            <w:pPr>
              <w:jc w:val="center"/>
              <w:rPr>
                <w:rFonts w:ascii="Arial" w:eastAsia="Arial" w:hAnsi="Arial" w:cs="Arial"/>
                <w:sz w:val="20"/>
                <w:szCs w:val="20"/>
              </w:rPr>
            </w:pPr>
            <w:r>
              <w:rPr>
                <w:rFonts w:ascii="Arial" w:eastAsia="Arial" w:hAnsi="Arial" w:cs="Arial"/>
                <w:sz w:val="20"/>
                <w:szCs w:val="20"/>
              </w:rPr>
              <w:t>Soprano</w:t>
            </w:r>
          </w:p>
        </w:tc>
        <w:tc>
          <w:tcPr>
            <w:tcW w:w="2126" w:type="dxa"/>
          </w:tcPr>
          <w:p w:rsidR="00DD0A31" w:rsidRDefault="0093068C">
            <w:pPr>
              <w:jc w:val="center"/>
              <w:rPr>
                <w:rFonts w:ascii="Arial" w:eastAsia="Arial" w:hAnsi="Arial" w:cs="Arial"/>
                <w:sz w:val="20"/>
                <w:szCs w:val="20"/>
              </w:rPr>
            </w:pPr>
            <w:r>
              <w:rPr>
                <w:rFonts w:ascii="Arial" w:eastAsia="Arial" w:hAnsi="Arial" w:cs="Arial"/>
                <w:sz w:val="20"/>
                <w:szCs w:val="20"/>
              </w:rPr>
              <w:t>Bass</w:t>
            </w:r>
          </w:p>
        </w:tc>
        <w:tc>
          <w:tcPr>
            <w:tcW w:w="2127" w:type="dxa"/>
            <w:tcBorders>
              <w:bottom w:val="single" w:sz="4" w:space="0" w:color="000000"/>
            </w:tcBorders>
          </w:tcPr>
          <w:p w:rsidR="00DD0A31" w:rsidRDefault="0093068C">
            <w:pPr>
              <w:jc w:val="center"/>
              <w:rPr>
                <w:rFonts w:ascii="Arial" w:eastAsia="Arial" w:hAnsi="Arial" w:cs="Arial"/>
                <w:sz w:val="20"/>
                <w:szCs w:val="20"/>
              </w:rPr>
            </w:pPr>
            <w:r>
              <w:rPr>
                <w:rFonts w:ascii="Arial" w:eastAsia="Arial" w:hAnsi="Arial" w:cs="Arial"/>
                <w:sz w:val="20"/>
                <w:szCs w:val="20"/>
              </w:rPr>
              <w:t>Mezzo</w:t>
            </w:r>
          </w:p>
        </w:tc>
      </w:tr>
      <w:tr w:rsidR="00DD0A31">
        <w:tc>
          <w:tcPr>
            <w:tcW w:w="2013" w:type="dxa"/>
            <w:shd w:val="clear" w:color="auto" w:fill="FFFF00"/>
          </w:tcPr>
          <w:p w:rsidR="00DD0A31" w:rsidRDefault="0093068C">
            <w:pPr>
              <w:rPr>
                <w:rFonts w:ascii="Arial" w:eastAsia="Arial" w:hAnsi="Arial" w:cs="Arial"/>
                <w:color w:val="FFFF00"/>
                <w:sz w:val="20"/>
                <w:szCs w:val="20"/>
              </w:rPr>
            </w:pPr>
            <w:r>
              <w:rPr>
                <w:rFonts w:ascii="Arial" w:eastAsia="Arial" w:hAnsi="Arial" w:cs="Arial"/>
                <w:sz w:val="20"/>
                <w:szCs w:val="20"/>
              </w:rPr>
              <w:t xml:space="preserve">            </w:t>
            </w:r>
            <w:r>
              <w:rPr>
                <w:rFonts w:ascii="Arial" w:eastAsia="Arial" w:hAnsi="Arial" w:cs="Arial"/>
                <w:sz w:val="20"/>
                <w:szCs w:val="20"/>
                <w:highlight w:val="yellow"/>
              </w:rPr>
              <w:t xml:space="preserve">     </w:t>
            </w:r>
            <w:r>
              <w:rPr>
                <w:rFonts w:ascii="Arial" w:eastAsia="Arial" w:hAnsi="Arial" w:cs="Arial"/>
                <w:sz w:val="20"/>
                <w:szCs w:val="20"/>
                <w:highlight w:val="black"/>
              </w:rPr>
              <w:t xml:space="preserve"> </w:t>
            </w:r>
            <w:r>
              <w:rPr>
                <w:rFonts w:ascii="Arial" w:eastAsia="Arial" w:hAnsi="Arial" w:cs="Arial"/>
                <w:color w:val="FFFF00"/>
                <w:sz w:val="20"/>
                <w:szCs w:val="20"/>
                <w:highlight w:val="black"/>
              </w:rPr>
              <w:t xml:space="preserve">  </w:t>
            </w:r>
          </w:p>
        </w:tc>
        <w:tc>
          <w:tcPr>
            <w:tcW w:w="1956" w:type="dxa"/>
            <w:shd w:val="clear" w:color="auto" w:fill="92D05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126" w:type="dxa"/>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shd w:val="clear" w:color="auto" w:fill="00B0F0"/>
              </w:rPr>
              <w:t xml:space="preserve">    </w:t>
            </w:r>
          </w:p>
        </w:tc>
        <w:tc>
          <w:tcPr>
            <w:tcW w:w="2127" w:type="dxa"/>
            <w:shd w:val="clear" w:color="auto" w:fill="7030A0"/>
          </w:tcPr>
          <w:p w:rsidR="00DD0A31" w:rsidRDefault="0093068C">
            <w:pPr>
              <w:rPr>
                <w:rFonts w:ascii="Arial" w:eastAsia="Arial" w:hAnsi="Arial" w:cs="Arial"/>
                <w:sz w:val="20"/>
                <w:szCs w:val="20"/>
              </w:rPr>
            </w:pPr>
            <w:r>
              <w:rPr>
                <w:rFonts w:ascii="Arial" w:eastAsia="Arial" w:hAnsi="Arial" w:cs="Arial"/>
                <w:sz w:val="20"/>
                <w:szCs w:val="20"/>
              </w:rPr>
              <w:t xml:space="preserve">   </w:t>
            </w:r>
          </w:p>
        </w:tc>
      </w:tr>
    </w:tbl>
    <w:p w:rsidR="00DD0A31" w:rsidRDefault="00DD0A31">
      <w:pPr>
        <w:rPr>
          <w:rFonts w:ascii="Arial" w:eastAsia="Arial" w:hAnsi="Arial" w:cs="Arial"/>
          <w:sz w:val="20"/>
          <w:szCs w:val="20"/>
        </w:rPr>
      </w:pPr>
    </w:p>
    <w:p w:rsidR="00DD0A31" w:rsidRDefault="0093068C">
      <w:pPr>
        <w:rPr>
          <w:rFonts w:ascii="Arial" w:eastAsia="Arial" w:hAnsi="Arial" w:cs="Arial"/>
          <w:sz w:val="20"/>
          <w:szCs w:val="20"/>
        </w:rPr>
      </w:pPr>
      <w:r>
        <w:rPr>
          <w:rFonts w:ascii="Arial" w:eastAsia="Arial" w:hAnsi="Arial" w:cs="Arial"/>
          <w:sz w:val="20"/>
          <w:szCs w:val="20"/>
        </w:rPr>
        <w:t xml:space="preserve">    Control      Repeat</w:t>
      </w:r>
      <w:r>
        <w:rPr>
          <w:rFonts w:ascii="Arial" w:eastAsia="Arial" w:hAnsi="Arial" w:cs="Arial"/>
          <w:sz w:val="20"/>
          <w:szCs w:val="20"/>
        </w:rPr>
        <w:tab/>
        <w:t>Spread</w:t>
      </w:r>
      <w:r>
        <w:rPr>
          <w:rFonts w:ascii="Arial" w:eastAsia="Arial" w:hAnsi="Arial" w:cs="Arial"/>
          <w:sz w:val="20"/>
          <w:szCs w:val="20"/>
        </w:rPr>
        <w:tab/>
        <w:t xml:space="preserve">          Swap</w:t>
      </w:r>
      <w:r>
        <w:rPr>
          <w:rFonts w:ascii="Arial" w:eastAsia="Arial" w:hAnsi="Arial" w:cs="Arial"/>
          <w:sz w:val="20"/>
          <w:szCs w:val="20"/>
        </w:rPr>
        <w:tab/>
        <w:t xml:space="preserve">     Block       Half Volume   Open Stands</w:t>
      </w:r>
    </w:p>
    <w:tbl>
      <w:tblPr>
        <w:tblStyle w:val="a4"/>
        <w:tblW w:w="852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8"/>
        <w:gridCol w:w="240"/>
        <w:gridCol w:w="382"/>
        <w:gridCol w:w="243"/>
        <w:gridCol w:w="248"/>
        <w:gridCol w:w="473"/>
        <w:gridCol w:w="303"/>
        <w:gridCol w:w="304"/>
        <w:gridCol w:w="570"/>
        <w:gridCol w:w="236"/>
        <w:gridCol w:w="237"/>
        <w:gridCol w:w="451"/>
        <w:gridCol w:w="236"/>
        <w:gridCol w:w="237"/>
        <w:gridCol w:w="236"/>
        <w:gridCol w:w="237"/>
        <w:gridCol w:w="522"/>
        <w:gridCol w:w="236"/>
        <w:gridCol w:w="236"/>
        <w:gridCol w:w="550"/>
        <w:gridCol w:w="281"/>
        <w:gridCol w:w="280"/>
        <w:gridCol w:w="1550"/>
      </w:tblGrid>
      <w:tr w:rsidR="00DD0A31">
        <w:tc>
          <w:tcPr>
            <w:tcW w:w="239" w:type="dxa"/>
            <w:tcBorders>
              <w:bottom w:val="single" w:sz="4" w:space="0" w:color="000000"/>
            </w:tcBorders>
            <w:shd w:val="clear" w:color="auto" w:fill="FFFF0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40" w:type="dxa"/>
            <w:tcBorders>
              <w:bottom w:val="single" w:sz="4" w:space="0" w:color="000000"/>
              <w:right w:val="single" w:sz="4" w:space="0" w:color="000000"/>
            </w:tcBorders>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382" w:type="dxa"/>
            <w:vMerge w:val="restart"/>
            <w:tcBorders>
              <w:top w:val="single" w:sz="4" w:space="0" w:color="FFFFFF"/>
              <w:bottom w:val="single" w:sz="4" w:space="0" w:color="FFFFFF"/>
              <w:right w:val="single" w:sz="4" w:space="0" w:color="000000"/>
            </w:tcBorders>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43" w:type="dxa"/>
            <w:tcBorders>
              <w:bottom w:val="nil"/>
              <w:right w:val="single" w:sz="4" w:space="0" w:color="000000"/>
            </w:tcBorders>
            <w:shd w:val="clear" w:color="auto" w:fill="FFFF00"/>
          </w:tcPr>
          <w:p w:rsidR="00DD0A31" w:rsidRDefault="00DD0A31">
            <w:pPr>
              <w:rPr>
                <w:rFonts w:ascii="Arial" w:eastAsia="Arial" w:hAnsi="Arial" w:cs="Arial"/>
                <w:sz w:val="20"/>
                <w:szCs w:val="20"/>
              </w:rPr>
            </w:pPr>
          </w:p>
        </w:tc>
        <w:tc>
          <w:tcPr>
            <w:tcW w:w="248" w:type="dxa"/>
            <w:tcBorders>
              <w:bottom w:val="nil"/>
              <w:right w:val="single" w:sz="4" w:space="0" w:color="000000"/>
            </w:tcBorders>
            <w:shd w:val="clear" w:color="auto" w:fill="00B0F0"/>
          </w:tcPr>
          <w:p w:rsidR="00DD0A31" w:rsidRDefault="00DD0A31">
            <w:pPr>
              <w:rPr>
                <w:rFonts w:ascii="Arial" w:eastAsia="Arial" w:hAnsi="Arial" w:cs="Arial"/>
                <w:sz w:val="20"/>
                <w:szCs w:val="20"/>
              </w:rPr>
            </w:pPr>
          </w:p>
        </w:tc>
        <w:tc>
          <w:tcPr>
            <w:tcW w:w="473" w:type="dxa"/>
            <w:vMerge w:val="restart"/>
            <w:tcBorders>
              <w:top w:val="nil"/>
              <w:left w:val="single" w:sz="4" w:space="0" w:color="000000"/>
              <w:bottom w:val="nil"/>
              <w:right w:val="single" w:sz="4" w:space="0" w:color="000000"/>
            </w:tcBorders>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303" w:type="dxa"/>
            <w:tcBorders>
              <w:left w:val="single" w:sz="4" w:space="0" w:color="000000"/>
            </w:tcBorders>
            <w:shd w:val="clear" w:color="auto" w:fill="FFFF0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304" w:type="dxa"/>
            <w:tcBorders>
              <w:right w:val="single" w:sz="4" w:space="0" w:color="000000"/>
            </w:tcBorders>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570" w:type="dxa"/>
            <w:vMerge w:val="restart"/>
            <w:tcBorders>
              <w:top w:val="nil"/>
              <w:left w:val="single" w:sz="4" w:space="0" w:color="000000"/>
              <w:bottom w:val="nil"/>
              <w:right w:val="single" w:sz="4" w:space="0" w:color="000000"/>
            </w:tcBorders>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6" w:type="dxa"/>
            <w:tcBorders>
              <w:left w:val="single" w:sz="4" w:space="0" w:color="000000"/>
              <w:bottom w:val="single" w:sz="4" w:space="0" w:color="000000"/>
            </w:tcBorders>
            <w:shd w:val="clear" w:color="auto" w:fill="7030A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7" w:type="dxa"/>
            <w:tcBorders>
              <w:right w:val="single" w:sz="4" w:space="0" w:color="000000"/>
            </w:tcBorders>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451" w:type="dxa"/>
            <w:vMerge w:val="restart"/>
            <w:tcBorders>
              <w:top w:val="nil"/>
              <w:left w:val="single" w:sz="4" w:space="0" w:color="000000"/>
              <w:bottom w:val="nil"/>
              <w:right w:val="single" w:sz="4" w:space="0" w:color="000000"/>
            </w:tcBorders>
          </w:tcPr>
          <w:p w:rsidR="00DD0A31" w:rsidRDefault="0093068C">
            <w:pPr>
              <w:rPr>
                <w:rFonts w:ascii="Arial" w:eastAsia="Arial" w:hAnsi="Arial" w:cs="Arial"/>
                <w:sz w:val="20"/>
                <w:szCs w:val="20"/>
              </w:rPr>
            </w:pPr>
            <w:r>
              <w:rPr>
                <w:rFonts w:ascii="Arial" w:eastAsia="Arial" w:hAnsi="Arial" w:cs="Arial"/>
                <w:sz w:val="20"/>
                <w:szCs w:val="20"/>
              </w:rPr>
              <w:t xml:space="preserve">  </w:t>
            </w:r>
          </w:p>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6" w:type="dxa"/>
            <w:tcBorders>
              <w:left w:val="single" w:sz="4" w:space="0" w:color="000000"/>
            </w:tcBorders>
            <w:shd w:val="clear" w:color="auto" w:fill="92D05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7" w:type="dxa"/>
            <w:shd w:val="clear" w:color="auto" w:fill="7030A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6" w:type="dxa"/>
            <w:shd w:val="clear" w:color="auto" w:fill="FFFF0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7" w:type="dxa"/>
            <w:tcBorders>
              <w:right w:val="single" w:sz="4" w:space="0" w:color="000000"/>
            </w:tcBorders>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522" w:type="dxa"/>
            <w:vMerge w:val="restart"/>
            <w:tcBorders>
              <w:top w:val="single" w:sz="4" w:space="0" w:color="FFFFFF"/>
              <w:bottom w:val="single" w:sz="4" w:space="0" w:color="FFFFFF"/>
            </w:tcBorders>
          </w:tcPr>
          <w:p w:rsidR="00DD0A31" w:rsidRDefault="00DD0A31">
            <w:pPr>
              <w:rPr>
                <w:rFonts w:ascii="Arial" w:eastAsia="Arial" w:hAnsi="Arial" w:cs="Arial"/>
                <w:sz w:val="20"/>
                <w:szCs w:val="20"/>
              </w:rPr>
            </w:pPr>
          </w:p>
        </w:tc>
        <w:tc>
          <w:tcPr>
            <w:tcW w:w="235" w:type="dxa"/>
            <w:tcBorders>
              <w:bottom w:val="single" w:sz="4" w:space="0" w:color="000000"/>
            </w:tcBorders>
            <w:shd w:val="clear" w:color="auto" w:fill="FFFFB3"/>
          </w:tcPr>
          <w:p w:rsidR="00DD0A31" w:rsidRDefault="00DD0A31">
            <w:pPr>
              <w:rPr>
                <w:rFonts w:ascii="Arial" w:eastAsia="Arial" w:hAnsi="Arial" w:cs="Arial"/>
                <w:sz w:val="20"/>
                <w:szCs w:val="20"/>
              </w:rPr>
            </w:pPr>
          </w:p>
        </w:tc>
        <w:tc>
          <w:tcPr>
            <w:tcW w:w="236" w:type="dxa"/>
            <w:shd w:val="clear" w:color="auto" w:fill="C6D9F1"/>
          </w:tcPr>
          <w:p w:rsidR="00DD0A31" w:rsidRDefault="00DD0A31">
            <w:pPr>
              <w:rPr>
                <w:rFonts w:ascii="Arial" w:eastAsia="Arial" w:hAnsi="Arial" w:cs="Arial"/>
                <w:sz w:val="20"/>
                <w:szCs w:val="20"/>
              </w:rPr>
            </w:pPr>
          </w:p>
        </w:tc>
        <w:tc>
          <w:tcPr>
            <w:tcW w:w="550" w:type="dxa"/>
            <w:vMerge w:val="restart"/>
            <w:tcBorders>
              <w:top w:val="single" w:sz="4" w:space="0" w:color="FFFFFF"/>
              <w:bottom w:val="single" w:sz="4" w:space="0" w:color="FFFFFF"/>
            </w:tcBorders>
          </w:tcPr>
          <w:p w:rsidR="00DD0A31" w:rsidRDefault="00DD0A31">
            <w:pPr>
              <w:rPr>
                <w:rFonts w:ascii="Arial" w:eastAsia="Arial" w:hAnsi="Arial" w:cs="Arial"/>
                <w:sz w:val="20"/>
                <w:szCs w:val="20"/>
              </w:rPr>
            </w:pPr>
          </w:p>
        </w:tc>
        <w:tc>
          <w:tcPr>
            <w:tcW w:w="281" w:type="dxa"/>
            <w:tcBorders>
              <w:bottom w:val="nil"/>
              <w:right w:val="nil"/>
            </w:tcBorders>
            <w:shd w:val="clear" w:color="auto" w:fill="FFFF00"/>
          </w:tcPr>
          <w:p w:rsidR="00DD0A31" w:rsidRDefault="00DD0A31">
            <w:pPr>
              <w:rPr>
                <w:rFonts w:ascii="Arial" w:eastAsia="Arial" w:hAnsi="Arial" w:cs="Arial"/>
                <w:sz w:val="20"/>
                <w:szCs w:val="20"/>
              </w:rPr>
            </w:pPr>
          </w:p>
        </w:tc>
        <w:tc>
          <w:tcPr>
            <w:tcW w:w="280" w:type="dxa"/>
            <w:tcBorders>
              <w:left w:val="nil"/>
              <w:bottom w:val="nil"/>
              <w:right w:val="single" w:sz="4" w:space="0" w:color="000000"/>
            </w:tcBorders>
            <w:shd w:val="clear" w:color="auto" w:fill="00B0F0"/>
          </w:tcPr>
          <w:p w:rsidR="00DD0A31" w:rsidRDefault="00DD0A31">
            <w:pPr>
              <w:rPr>
                <w:rFonts w:ascii="Arial" w:eastAsia="Arial" w:hAnsi="Arial" w:cs="Arial"/>
                <w:sz w:val="20"/>
                <w:szCs w:val="20"/>
              </w:rPr>
            </w:pPr>
          </w:p>
        </w:tc>
        <w:tc>
          <w:tcPr>
            <w:tcW w:w="1550" w:type="dxa"/>
            <w:vMerge w:val="restart"/>
            <w:tcBorders>
              <w:top w:val="nil"/>
              <w:left w:val="single" w:sz="4" w:space="0" w:color="000000"/>
              <w:bottom w:val="nil"/>
              <w:right w:val="nil"/>
            </w:tcBorders>
          </w:tcPr>
          <w:p w:rsidR="00DD0A31" w:rsidRDefault="0093068C">
            <w:pPr>
              <w:rPr>
                <w:rFonts w:ascii="Arial" w:eastAsia="Arial" w:hAnsi="Arial" w:cs="Arial"/>
                <w:sz w:val="20"/>
                <w:szCs w:val="20"/>
              </w:rPr>
            </w:pPr>
            <w:r>
              <w:rPr>
                <w:rFonts w:ascii="Arial" w:eastAsia="Arial" w:hAnsi="Arial" w:cs="Arial"/>
                <w:sz w:val="20"/>
                <w:szCs w:val="20"/>
              </w:rPr>
              <w:t xml:space="preserve"> </w:t>
            </w:r>
          </w:p>
        </w:tc>
      </w:tr>
      <w:tr w:rsidR="00DD0A31">
        <w:tc>
          <w:tcPr>
            <w:tcW w:w="239" w:type="dxa"/>
            <w:shd w:val="clear" w:color="auto" w:fill="92D05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40" w:type="dxa"/>
            <w:tcBorders>
              <w:right w:val="single" w:sz="4" w:space="0" w:color="000000"/>
            </w:tcBorders>
            <w:shd w:val="clear" w:color="auto" w:fill="7030A0"/>
          </w:tcPr>
          <w:p w:rsidR="00DD0A31" w:rsidRDefault="00DD0A31">
            <w:pPr>
              <w:rPr>
                <w:rFonts w:ascii="Arial" w:eastAsia="Arial" w:hAnsi="Arial" w:cs="Arial"/>
                <w:sz w:val="20"/>
                <w:szCs w:val="20"/>
              </w:rPr>
            </w:pPr>
          </w:p>
        </w:tc>
        <w:tc>
          <w:tcPr>
            <w:tcW w:w="382" w:type="dxa"/>
            <w:vMerge/>
            <w:tcBorders>
              <w:top w:val="single" w:sz="4" w:space="0" w:color="FFFFFF"/>
              <w:bottom w:val="single" w:sz="4" w:space="0" w:color="FFFFFF"/>
              <w:right w:val="single" w:sz="4" w:space="0" w:color="000000"/>
            </w:tcBorders>
          </w:tcPr>
          <w:p w:rsidR="00DD0A31" w:rsidRDefault="00DD0A31">
            <w:pPr>
              <w:rPr>
                <w:rFonts w:ascii="Arial" w:eastAsia="Arial" w:hAnsi="Arial" w:cs="Arial"/>
                <w:sz w:val="20"/>
                <w:szCs w:val="20"/>
              </w:rPr>
            </w:pPr>
          </w:p>
        </w:tc>
        <w:tc>
          <w:tcPr>
            <w:tcW w:w="243" w:type="dxa"/>
            <w:tcBorders>
              <w:right w:val="single" w:sz="4" w:space="0" w:color="000000"/>
            </w:tcBorders>
            <w:shd w:val="clear" w:color="auto" w:fill="92D050"/>
          </w:tcPr>
          <w:p w:rsidR="00DD0A31" w:rsidRDefault="00DD0A31">
            <w:pPr>
              <w:rPr>
                <w:rFonts w:ascii="Arial" w:eastAsia="Arial" w:hAnsi="Arial" w:cs="Arial"/>
                <w:sz w:val="20"/>
                <w:szCs w:val="20"/>
              </w:rPr>
            </w:pPr>
          </w:p>
        </w:tc>
        <w:tc>
          <w:tcPr>
            <w:tcW w:w="248" w:type="dxa"/>
            <w:tcBorders>
              <w:right w:val="single" w:sz="4" w:space="0" w:color="000000"/>
            </w:tcBorders>
            <w:shd w:val="clear" w:color="auto" w:fill="7030A0"/>
          </w:tcPr>
          <w:p w:rsidR="00DD0A31" w:rsidRDefault="00DD0A31">
            <w:pPr>
              <w:rPr>
                <w:rFonts w:ascii="Arial" w:eastAsia="Arial" w:hAnsi="Arial" w:cs="Arial"/>
                <w:sz w:val="20"/>
                <w:szCs w:val="20"/>
              </w:rPr>
            </w:pPr>
          </w:p>
        </w:tc>
        <w:tc>
          <w:tcPr>
            <w:tcW w:w="473" w:type="dxa"/>
            <w:vMerge/>
            <w:tcBorders>
              <w:top w:val="nil"/>
              <w:left w:val="single" w:sz="4" w:space="0" w:color="000000"/>
              <w:bottom w:val="nil"/>
              <w:right w:val="single" w:sz="4" w:space="0" w:color="000000"/>
            </w:tcBorders>
          </w:tcPr>
          <w:p w:rsidR="00DD0A31" w:rsidRDefault="00DD0A31">
            <w:pPr>
              <w:rPr>
                <w:rFonts w:ascii="Arial" w:eastAsia="Arial" w:hAnsi="Arial" w:cs="Arial"/>
                <w:sz w:val="20"/>
                <w:szCs w:val="20"/>
              </w:rPr>
            </w:pPr>
          </w:p>
        </w:tc>
        <w:tc>
          <w:tcPr>
            <w:tcW w:w="303" w:type="dxa"/>
            <w:tcBorders>
              <w:left w:val="single" w:sz="4" w:space="0" w:color="000000"/>
            </w:tcBorders>
            <w:shd w:val="clear" w:color="auto" w:fill="92D05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304" w:type="dxa"/>
            <w:tcBorders>
              <w:right w:val="single" w:sz="4" w:space="0" w:color="000000"/>
            </w:tcBorders>
            <w:shd w:val="clear" w:color="auto" w:fill="7030A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570" w:type="dxa"/>
            <w:vMerge/>
            <w:tcBorders>
              <w:top w:val="nil"/>
              <w:left w:val="single" w:sz="4" w:space="0" w:color="000000"/>
              <w:bottom w:val="nil"/>
              <w:right w:val="single" w:sz="4" w:space="0" w:color="000000"/>
            </w:tcBorders>
          </w:tcPr>
          <w:p w:rsidR="00DD0A31" w:rsidRDefault="00DD0A31">
            <w:pPr>
              <w:rPr>
                <w:rFonts w:ascii="Arial" w:eastAsia="Arial" w:hAnsi="Arial" w:cs="Arial"/>
                <w:sz w:val="20"/>
                <w:szCs w:val="20"/>
              </w:rPr>
            </w:pPr>
          </w:p>
        </w:tc>
        <w:tc>
          <w:tcPr>
            <w:tcW w:w="236" w:type="dxa"/>
            <w:tcBorders>
              <w:left w:val="single" w:sz="4" w:space="0" w:color="000000"/>
            </w:tcBorders>
            <w:shd w:val="clear" w:color="auto" w:fill="92D05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7" w:type="dxa"/>
            <w:tcBorders>
              <w:right w:val="single" w:sz="4" w:space="0" w:color="000000"/>
            </w:tcBorders>
            <w:shd w:val="clear" w:color="auto" w:fill="FFFF00"/>
          </w:tcPr>
          <w:p w:rsidR="00DD0A31" w:rsidRDefault="00DD0A31">
            <w:pPr>
              <w:rPr>
                <w:rFonts w:ascii="Arial" w:eastAsia="Arial" w:hAnsi="Arial" w:cs="Arial"/>
                <w:sz w:val="20"/>
                <w:szCs w:val="20"/>
              </w:rPr>
            </w:pPr>
          </w:p>
        </w:tc>
        <w:tc>
          <w:tcPr>
            <w:tcW w:w="451" w:type="dxa"/>
            <w:vMerge/>
            <w:tcBorders>
              <w:top w:val="nil"/>
              <w:left w:val="single" w:sz="4" w:space="0" w:color="000000"/>
              <w:bottom w:val="nil"/>
              <w:right w:val="single" w:sz="4" w:space="0" w:color="000000"/>
            </w:tcBorders>
          </w:tcPr>
          <w:p w:rsidR="00DD0A31" w:rsidRDefault="00DD0A31">
            <w:pPr>
              <w:rPr>
                <w:rFonts w:ascii="Arial" w:eastAsia="Arial" w:hAnsi="Arial" w:cs="Arial"/>
                <w:sz w:val="20"/>
                <w:szCs w:val="20"/>
              </w:rPr>
            </w:pPr>
          </w:p>
        </w:tc>
        <w:tc>
          <w:tcPr>
            <w:tcW w:w="236" w:type="dxa"/>
            <w:tcBorders>
              <w:left w:val="single" w:sz="4" w:space="0" w:color="000000"/>
            </w:tcBorders>
            <w:shd w:val="clear" w:color="auto" w:fill="92D050"/>
          </w:tcPr>
          <w:p w:rsidR="00DD0A31" w:rsidRDefault="00DD0A31">
            <w:pPr>
              <w:rPr>
                <w:rFonts w:ascii="Arial" w:eastAsia="Arial" w:hAnsi="Arial" w:cs="Arial"/>
                <w:sz w:val="20"/>
                <w:szCs w:val="20"/>
              </w:rPr>
            </w:pPr>
          </w:p>
        </w:tc>
        <w:tc>
          <w:tcPr>
            <w:tcW w:w="237" w:type="dxa"/>
            <w:shd w:val="clear" w:color="auto" w:fill="7030A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236" w:type="dxa"/>
            <w:shd w:val="clear" w:color="auto" w:fill="FFFF00"/>
          </w:tcPr>
          <w:p w:rsidR="00DD0A31" w:rsidRDefault="00DD0A31">
            <w:pPr>
              <w:rPr>
                <w:rFonts w:ascii="Arial" w:eastAsia="Arial" w:hAnsi="Arial" w:cs="Arial"/>
                <w:sz w:val="20"/>
                <w:szCs w:val="20"/>
              </w:rPr>
            </w:pPr>
          </w:p>
        </w:tc>
        <w:tc>
          <w:tcPr>
            <w:tcW w:w="237" w:type="dxa"/>
            <w:tcBorders>
              <w:right w:val="single" w:sz="4" w:space="0" w:color="000000"/>
            </w:tcBorders>
            <w:shd w:val="clear" w:color="auto" w:fill="00B0F0"/>
          </w:tcPr>
          <w:p w:rsidR="00DD0A31" w:rsidRDefault="0093068C">
            <w:pPr>
              <w:rPr>
                <w:rFonts w:ascii="Arial" w:eastAsia="Arial" w:hAnsi="Arial" w:cs="Arial"/>
                <w:sz w:val="20"/>
                <w:szCs w:val="20"/>
              </w:rPr>
            </w:pPr>
            <w:r>
              <w:rPr>
                <w:rFonts w:ascii="Arial" w:eastAsia="Arial" w:hAnsi="Arial" w:cs="Arial"/>
                <w:sz w:val="20"/>
                <w:szCs w:val="20"/>
              </w:rPr>
              <w:t xml:space="preserve">        </w:t>
            </w:r>
          </w:p>
        </w:tc>
        <w:tc>
          <w:tcPr>
            <w:tcW w:w="522" w:type="dxa"/>
            <w:vMerge/>
            <w:tcBorders>
              <w:top w:val="single" w:sz="4" w:space="0" w:color="FFFFFF"/>
              <w:bottom w:val="single" w:sz="4" w:space="0" w:color="FFFFFF"/>
            </w:tcBorders>
          </w:tcPr>
          <w:p w:rsidR="00DD0A31" w:rsidRDefault="00DD0A31">
            <w:pPr>
              <w:rPr>
                <w:rFonts w:ascii="Arial" w:eastAsia="Arial" w:hAnsi="Arial" w:cs="Arial"/>
                <w:sz w:val="20"/>
                <w:szCs w:val="20"/>
              </w:rPr>
            </w:pPr>
          </w:p>
        </w:tc>
        <w:tc>
          <w:tcPr>
            <w:tcW w:w="235" w:type="dxa"/>
            <w:shd w:val="clear" w:color="auto" w:fill="C2D69B"/>
          </w:tcPr>
          <w:p w:rsidR="00DD0A31" w:rsidRDefault="00DD0A31">
            <w:pPr>
              <w:rPr>
                <w:rFonts w:ascii="Arial" w:eastAsia="Arial" w:hAnsi="Arial" w:cs="Arial"/>
                <w:sz w:val="20"/>
                <w:szCs w:val="20"/>
              </w:rPr>
            </w:pPr>
          </w:p>
        </w:tc>
        <w:tc>
          <w:tcPr>
            <w:tcW w:w="236" w:type="dxa"/>
            <w:shd w:val="clear" w:color="auto" w:fill="CCC1D9"/>
          </w:tcPr>
          <w:p w:rsidR="00DD0A31" w:rsidRDefault="00DD0A31">
            <w:pPr>
              <w:rPr>
                <w:rFonts w:ascii="Arial" w:eastAsia="Arial" w:hAnsi="Arial" w:cs="Arial"/>
                <w:sz w:val="20"/>
                <w:szCs w:val="20"/>
              </w:rPr>
            </w:pPr>
          </w:p>
        </w:tc>
        <w:tc>
          <w:tcPr>
            <w:tcW w:w="550" w:type="dxa"/>
            <w:vMerge/>
            <w:tcBorders>
              <w:top w:val="single" w:sz="4" w:space="0" w:color="FFFFFF"/>
              <w:bottom w:val="single" w:sz="4" w:space="0" w:color="FFFFFF"/>
            </w:tcBorders>
          </w:tcPr>
          <w:p w:rsidR="00DD0A31" w:rsidRDefault="00DD0A31">
            <w:pPr>
              <w:rPr>
                <w:rFonts w:ascii="Arial" w:eastAsia="Arial" w:hAnsi="Arial" w:cs="Arial"/>
                <w:sz w:val="20"/>
                <w:szCs w:val="20"/>
              </w:rPr>
            </w:pPr>
          </w:p>
        </w:tc>
        <w:tc>
          <w:tcPr>
            <w:tcW w:w="281" w:type="dxa"/>
            <w:tcBorders>
              <w:top w:val="nil"/>
              <w:right w:val="nil"/>
            </w:tcBorders>
            <w:shd w:val="clear" w:color="auto" w:fill="92D050"/>
          </w:tcPr>
          <w:p w:rsidR="00DD0A31" w:rsidRDefault="00DD0A31">
            <w:pPr>
              <w:rPr>
                <w:rFonts w:ascii="Arial" w:eastAsia="Arial" w:hAnsi="Arial" w:cs="Arial"/>
                <w:sz w:val="20"/>
                <w:szCs w:val="20"/>
              </w:rPr>
            </w:pPr>
          </w:p>
        </w:tc>
        <w:tc>
          <w:tcPr>
            <w:tcW w:w="280" w:type="dxa"/>
            <w:tcBorders>
              <w:top w:val="nil"/>
              <w:left w:val="nil"/>
              <w:right w:val="single" w:sz="4" w:space="0" w:color="000000"/>
            </w:tcBorders>
            <w:shd w:val="clear" w:color="auto" w:fill="7030A0"/>
          </w:tcPr>
          <w:p w:rsidR="00DD0A31" w:rsidRDefault="00DD0A31">
            <w:pPr>
              <w:rPr>
                <w:rFonts w:ascii="Arial" w:eastAsia="Arial" w:hAnsi="Arial" w:cs="Arial"/>
                <w:sz w:val="20"/>
                <w:szCs w:val="20"/>
              </w:rPr>
            </w:pPr>
          </w:p>
        </w:tc>
        <w:tc>
          <w:tcPr>
            <w:tcW w:w="1550" w:type="dxa"/>
            <w:vMerge/>
            <w:tcBorders>
              <w:top w:val="nil"/>
              <w:left w:val="single" w:sz="4" w:space="0" w:color="000000"/>
              <w:bottom w:val="nil"/>
              <w:right w:val="nil"/>
            </w:tcBorders>
          </w:tcPr>
          <w:p w:rsidR="00DD0A31" w:rsidRDefault="00DD0A31">
            <w:pPr>
              <w:rPr>
                <w:rFonts w:ascii="Arial" w:eastAsia="Arial" w:hAnsi="Arial" w:cs="Arial"/>
                <w:sz w:val="20"/>
                <w:szCs w:val="20"/>
              </w:rPr>
            </w:pPr>
          </w:p>
        </w:tc>
      </w:tr>
    </w:tbl>
    <w:p w:rsidR="00DD0A31" w:rsidRDefault="00DD0A31">
      <w:pPr>
        <w:spacing w:after="0"/>
        <w:jc w:val="center"/>
        <w:rPr>
          <w:rFonts w:ascii="Arial" w:eastAsia="Arial" w:hAnsi="Arial" w:cs="Arial"/>
          <w:sz w:val="20"/>
          <w:szCs w:val="20"/>
        </w:rPr>
      </w:pPr>
    </w:p>
    <w:p w:rsidR="00DD0A31" w:rsidRDefault="0093068C">
      <w:pPr>
        <w:spacing w:after="0"/>
        <w:jc w:val="center"/>
        <w:rPr>
          <w:rFonts w:ascii="Arial" w:eastAsia="Arial" w:hAnsi="Arial" w:cs="Arial"/>
          <w:sz w:val="20"/>
          <w:szCs w:val="20"/>
        </w:rPr>
      </w:pPr>
      <w:proofErr w:type="gramStart"/>
      <w:r>
        <w:rPr>
          <w:rFonts w:ascii="Arial" w:eastAsia="Arial" w:hAnsi="Arial" w:cs="Arial"/>
          <w:sz w:val="20"/>
          <w:szCs w:val="20"/>
        </w:rPr>
        <w:t>Figure 6.</w:t>
      </w:r>
      <w:proofErr w:type="gramEnd"/>
      <w:r>
        <w:rPr>
          <w:rFonts w:ascii="Arial" w:eastAsia="Arial" w:hAnsi="Arial" w:cs="Arial"/>
          <w:sz w:val="20"/>
          <w:szCs w:val="20"/>
        </w:rPr>
        <w:t xml:space="preserve"> Chorus layouts used during the seven experiments</w:t>
      </w:r>
    </w:p>
    <w:p w:rsidR="00DD0A31" w:rsidRDefault="00DD0A31">
      <w:pPr>
        <w:spacing w:after="0"/>
        <w:jc w:val="center"/>
        <w:rPr>
          <w:rFonts w:ascii="Arial" w:eastAsia="Arial" w:hAnsi="Arial" w:cs="Arial"/>
          <w:sz w:val="20"/>
          <w:szCs w:val="20"/>
        </w:rPr>
      </w:pPr>
    </w:p>
    <w:p w:rsidR="00DD0A31" w:rsidRDefault="0093068C">
      <w:pPr>
        <w:numPr>
          <w:ilvl w:val="1"/>
          <w:numId w:val="3"/>
        </w:numPr>
        <w:spacing w:after="0"/>
        <w:ind w:left="851" w:hanging="851"/>
        <w:contextualSpacing/>
        <w:rPr>
          <w:rFonts w:ascii="Arial" w:eastAsia="Arial" w:hAnsi="Arial" w:cs="Arial"/>
          <w:b/>
          <w:sz w:val="24"/>
          <w:szCs w:val="24"/>
        </w:rPr>
      </w:pPr>
      <w:r>
        <w:rPr>
          <w:rFonts w:ascii="Arial" w:eastAsia="Arial" w:hAnsi="Arial" w:cs="Arial"/>
          <w:b/>
          <w:sz w:val="24"/>
          <w:szCs w:val="24"/>
        </w:rPr>
        <w:t>The Singing Experiment Results</w:t>
      </w:r>
    </w:p>
    <w:p w:rsidR="00DD0A31" w:rsidRDefault="00DD0A31">
      <w:pPr>
        <w:spacing w:after="0"/>
        <w:ind w:left="360"/>
        <w:rPr>
          <w:rFonts w:ascii="Arial" w:eastAsia="Arial" w:hAnsi="Arial" w:cs="Arial"/>
          <w:b/>
          <w:sz w:val="24"/>
          <w:szCs w:val="24"/>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singing experiment results are presented in Figure 7 for the full range of frequencies as measured at the front of the auditorium.</w:t>
      </w:r>
    </w:p>
    <w:p w:rsidR="00DD0A31" w:rsidRDefault="0093068C">
      <w:pPr>
        <w:tabs>
          <w:tab w:val="left" w:pos="0"/>
        </w:tabs>
        <w:spacing w:after="0"/>
        <w:rPr>
          <w:rFonts w:ascii="Arial" w:eastAsia="Arial" w:hAnsi="Arial" w:cs="Arial"/>
          <w:sz w:val="20"/>
          <w:szCs w:val="20"/>
        </w:rPr>
      </w:pPr>
      <w:r>
        <w:rPr>
          <w:rFonts w:ascii="Arial" w:eastAsia="Arial" w:hAnsi="Arial" w:cs="Arial"/>
          <w:noProof/>
          <w:sz w:val="20"/>
          <w:szCs w:val="20"/>
        </w:rPr>
        <w:drawing>
          <wp:inline distT="0" distB="0" distL="0" distR="0">
            <wp:extent cx="6064469" cy="2984938"/>
            <wp:effectExtent l="0" t="0" r="0" b="0"/>
            <wp:docPr id="38"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D0A31" w:rsidRDefault="0093068C">
      <w:pPr>
        <w:ind w:left="720"/>
        <w:rPr>
          <w:rFonts w:ascii="Arial" w:eastAsia="Arial" w:hAnsi="Arial" w:cs="Arial"/>
          <w:sz w:val="20"/>
          <w:szCs w:val="20"/>
        </w:rPr>
      </w:pPr>
      <w:proofErr w:type="gramStart"/>
      <w:r>
        <w:rPr>
          <w:rFonts w:ascii="Arial" w:eastAsia="Arial" w:hAnsi="Arial" w:cs="Arial"/>
          <w:sz w:val="20"/>
          <w:szCs w:val="20"/>
        </w:rPr>
        <w:t>Figure 7.</w:t>
      </w:r>
      <w:proofErr w:type="gramEnd"/>
      <w:r>
        <w:rPr>
          <w:rFonts w:ascii="Arial" w:eastAsia="Arial" w:hAnsi="Arial" w:cs="Arial"/>
          <w:sz w:val="20"/>
          <w:szCs w:val="20"/>
        </w:rPr>
        <w:t xml:space="preserve"> The singing levels in the Choral Rehearsal Room for the full time Chorus. </w:t>
      </w:r>
    </w:p>
    <w:p w:rsidR="00DD0A31" w:rsidRDefault="0093068C" w:rsidP="00C65FEA">
      <w:pPr>
        <w:spacing w:line="240" w:lineRule="auto"/>
        <w:jc w:val="both"/>
        <w:rPr>
          <w:rFonts w:ascii="Arial" w:eastAsia="Arial" w:hAnsi="Arial" w:cs="Arial"/>
          <w:sz w:val="20"/>
          <w:szCs w:val="20"/>
        </w:rPr>
      </w:pPr>
      <w:r>
        <w:rPr>
          <w:rFonts w:ascii="Arial" w:eastAsia="Arial" w:hAnsi="Arial" w:cs="Arial"/>
          <w:sz w:val="20"/>
          <w:szCs w:val="20"/>
        </w:rPr>
        <w:t xml:space="preserve">It can be seen Figure 7 that the Chorus could repeat their normal performance during the piece with an overall sound level measured for the control and repeat of 87.8 </w:t>
      </w:r>
      <w:proofErr w:type="spellStart"/>
      <w:r>
        <w:rPr>
          <w:rFonts w:ascii="Arial" w:eastAsia="Arial" w:hAnsi="Arial" w:cs="Arial"/>
          <w:sz w:val="20"/>
          <w:szCs w:val="20"/>
        </w:rPr>
        <w:t>dBA</w:t>
      </w:r>
      <w:proofErr w:type="spellEnd"/>
      <w:r>
        <w:rPr>
          <w:rFonts w:ascii="Arial" w:eastAsia="Arial" w:hAnsi="Arial" w:cs="Arial"/>
          <w:sz w:val="20"/>
          <w:szCs w:val="20"/>
        </w:rPr>
        <w:t xml:space="preserve"> and 88.0 </w:t>
      </w:r>
      <w:proofErr w:type="spellStart"/>
      <w:r>
        <w:rPr>
          <w:rFonts w:ascii="Arial" w:eastAsia="Arial" w:hAnsi="Arial" w:cs="Arial"/>
          <w:sz w:val="20"/>
          <w:szCs w:val="20"/>
        </w:rPr>
        <w:t>dBA</w:t>
      </w:r>
      <w:proofErr w:type="spellEnd"/>
      <w:r>
        <w:rPr>
          <w:rFonts w:ascii="Arial" w:eastAsia="Arial" w:hAnsi="Arial" w:cs="Arial"/>
          <w:sz w:val="20"/>
          <w:szCs w:val="20"/>
        </w:rPr>
        <w:t xml:space="preserve">, respectively. This provided confidence in the method and the further experiments </w:t>
      </w:r>
      <w:r w:rsidR="00974ED3">
        <w:rPr>
          <w:rFonts w:ascii="Arial" w:eastAsia="Arial" w:hAnsi="Arial" w:cs="Arial"/>
          <w:sz w:val="20"/>
          <w:szCs w:val="20"/>
        </w:rPr>
        <w:t>would provide</w:t>
      </w:r>
      <w:r>
        <w:rPr>
          <w:rFonts w:ascii="Arial" w:eastAsia="Arial" w:hAnsi="Arial" w:cs="Arial"/>
          <w:sz w:val="20"/>
          <w:szCs w:val="20"/>
        </w:rPr>
        <w:t xml:space="preserve"> valid</w:t>
      </w:r>
      <w:r w:rsidR="00974ED3">
        <w:rPr>
          <w:rFonts w:ascii="Arial" w:eastAsia="Arial" w:hAnsi="Arial" w:cs="Arial"/>
          <w:sz w:val="20"/>
          <w:szCs w:val="20"/>
        </w:rPr>
        <w:t xml:space="preserve"> results</w:t>
      </w:r>
      <w:r>
        <w:rPr>
          <w:rFonts w:ascii="Arial" w:eastAsia="Arial" w:hAnsi="Arial" w:cs="Arial"/>
          <w:sz w:val="20"/>
          <w:szCs w:val="20"/>
        </w:rPr>
        <w:t xml:space="preserve">. The sound levels for the next three layouts gave very similar overall sound levels. Then we asked the Choral Master to reduce the performance to half the volume. As can be seen from Figure 7 this resulted in a level of 79.9 </w:t>
      </w:r>
      <w:proofErr w:type="spellStart"/>
      <w:r>
        <w:rPr>
          <w:rFonts w:ascii="Arial" w:eastAsia="Arial" w:hAnsi="Arial" w:cs="Arial"/>
          <w:sz w:val="20"/>
          <w:szCs w:val="20"/>
        </w:rPr>
        <w:t>dBA</w:t>
      </w:r>
      <w:proofErr w:type="spellEnd"/>
      <w:r>
        <w:rPr>
          <w:rFonts w:ascii="Arial" w:eastAsia="Arial" w:hAnsi="Arial" w:cs="Arial"/>
          <w:sz w:val="20"/>
          <w:szCs w:val="20"/>
        </w:rPr>
        <w:t xml:space="preserve">, 8 dB lower than the control layout. Finally, the music stands were adjusted to minimise reflections, this again made no difference to the overall sound level. </w:t>
      </w:r>
    </w:p>
    <w:p w:rsidR="00DD0A31" w:rsidRDefault="0093068C" w:rsidP="00C65FEA">
      <w:pPr>
        <w:spacing w:line="240" w:lineRule="auto"/>
        <w:jc w:val="both"/>
        <w:rPr>
          <w:rFonts w:ascii="Arial" w:eastAsia="Arial" w:hAnsi="Arial" w:cs="Arial"/>
          <w:sz w:val="20"/>
          <w:szCs w:val="20"/>
        </w:rPr>
      </w:pPr>
      <w:r>
        <w:rPr>
          <w:rFonts w:ascii="Arial" w:eastAsia="Arial" w:hAnsi="Arial" w:cs="Arial"/>
          <w:sz w:val="20"/>
          <w:szCs w:val="20"/>
        </w:rPr>
        <w:lastRenderedPageBreak/>
        <w:t xml:space="preserve"> It should be mentioned that the Royal Opera House regularly assess the choral singers’ exposure to sound. The sound levels measured in seven of the eight experiments would give sound exposure just above the exposure limit value as given in the Control of Noise at Work Regulations 2005 [5]. </w:t>
      </w:r>
    </w:p>
    <w:p w:rsidR="00DD0A31" w:rsidRDefault="0093068C">
      <w:pPr>
        <w:rPr>
          <w:rFonts w:ascii="Arial" w:eastAsia="Arial" w:hAnsi="Arial" w:cs="Arial"/>
          <w:sz w:val="20"/>
          <w:szCs w:val="20"/>
        </w:rPr>
      </w:pPr>
      <w:r>
        <w:rPr>
          <w:rFonts w:ascii="Arial" w:eastAsia="Arial" w:hAnsi="Arial" w:cs="Arial"/>
          <w:b/>
          <w:sz w:val="24"/>
          <w:szCs w:val="24"/>
        </w:rPr>
        <w:t xml:space="preserve">3.4 </w:t>
      </w:r>
      <w:r>
        <w:rPr>
          <w:rFonts w:ascii="Arial" w:eastAsia="Arial" w:hAnsi="Arial" w:cs="Arial"/>
          <w:b/>
          <w:sz w:val="24"/>
          <w:szCs w:val="24"/>
        </w:rPr>
        <w:tab/>
        <w:t>Loudness Analysis</w:t>
      </w:r>
      <w:r>
        <w:rPr>
          <w:rFonts w:ascii="Arial" w:eastAsia="Arial" w:hAnsi="Arial" w:cs="Arial"/>
          <w:sz w:val="20"/>
          <w:szCs w:val="20"/>
        </w:rPr>
        <w:t xml:space="preserve"> </w:t>
      </w:r>
    </w:p>
    <w:p w:rsidR="00DD0A31" w:rsidRDefault="0093068C" w:rsidP="00C65FEA">
      <w:pPr>
        <w:spacing w:line="240" w:lineRule="auto"/>
        <w:jc w:val="both"/>
        <w:rPr>
          <w:rFonts w:ascii="Arial" w:eastAsia="Arial" w:hAnsi="Arial" w:cs="Arial"/>
          <w:sz w:val="20"/>
          <w:szCs w:val="20"/>
        </w:rPr>
      </w:pPr>
      <w:r>
        <w:rPr>
          <w:rFonts w:ascii="Arial" w:eastAsia="Arial" w:hAnsi="Arial" w:cs="Arial"/>
          <w:sz w:val="20"/>
          <w:szCs w:val="20"/>
        </w:rPr>
        <w:t xml:space="preserve">Focusing on the difference between the control and 50% vocal volume experiment, see Figure 8, it can be seen that the theoretical 10 dB difference was achieved, 8.1 </w:t>
      </w:r>
      <w:proofErr w:type="spellStart"/>
      <w:r>
        <w:rPr>
          <w:rFonts w:ascii="Arial" w:eastAsia="Arial" w:hAnsi="Arial" w:cs="Arial"/>
          <w:sz w:val="20"/>
          <w:szCs w:val="20"/>
        </w:rPr>
        <w:t>dBA</w:t>
      </w:r>
      <w:proofErr w:type="spellEnd"/>
      <w:r>
        <w:rPr>
          <w:rFonts w:ascii="Arial" w:eastAsia="Arial" w:hAnsi="Arial" w:cs="Arial"/>
          <w:sz w:val="20"/>
          <w:szCs w:val="20"/>
        </w:rPr>
        <w:t xml:space="preserve">. However, the difference curve in figure 8 shows that the sound level difference seemed to increase with frequency in line with human hearing sensitivity at 2.5-4 kHz.   </w:t>
      </w:r>
      <w:r>
        <w:rPr>
          <w:rFonts w:ascii="Arial" w:eastAsia="Arial" w:hAnsi="Arial" w:cs="Arial"/>
          <w:noProof/>
          <w:sz w:val="20"/>
          <w:szCs w:val="20"/>
        </w:rPr>
        <w:drawing>
          <wp:inline distT="0" distB="0" distL="0" distR="0">
            <wp:extent cx="5444358" cy="2858813"/>
            <wp:effectExtent l="0" t="0" r="0" b="0"/>
            <wp:docPr id="39"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D0A31" w:rsidRDefault="0093068C">
      <w:pPr>
        <w:jc w:val="center"/>
        <w:rPr>
          <w:rFonts w:ascii="Arial" w:eastAsia="Arial" w:hAnsi="Arial" w:cs="Arial"/>
          <w:sz w:val="20"/>
          <w:szCs w:val="20"/>
        </w:rPr>
      </w:pPr>
      <w:proofErr w:type="gramStart"/>
      <w:r>
        <w:rPr>
          <w:rFonts w:ascii="Arial" w:eastAsia="Arial" w:hAnsi="Arial" w:cs="Arial"/>
          <w:sz w:val="20"/>
          <w:szCs w:val="20"/>
        </w:rPr>
        <w:t>Figure 8.</w:t>
      </w:r>
      <w:proofErr w:type="gramEnd"/>
      <w:r>
        <w:rPr>
          <w:rFonts w:ascii="Arial" w:eastAsia="Arial" w:hAnsi="Arial" w:cs="Arial"/>
          <w:sz w:val="20"/>
          <w:szCs w:val="20"/>
        </w:rPr>
        <w:t xml:space="preserve"> The singing sound level difference between 100% and 50% choral voice </w:t>
      </w:r>
      <w:proofErr w:type="gramStart"/>
      <w:r>
        <w:rPr>
          <w:rFonts w:ascii="Arial" w:eastAsia="Arial" w:hAnsi="Arial" w:cs="Arial"/>
          <w:sz w:val="20"/>
          <w:szCs w:val="20"/>
        </w:rPr>
        <w:t>volume</w:t>
      </w:r>
      <w:proofErr w:type="gramEnd"/>
    </w:p>
    <w:p w:rsidR="00DD0A31" w:rsidRDefault="0093068C">
      <w:pPr>
        <w:spacing w:after="0"/>
        <w:ind w:hanging="142"/>
        <w:rPr>
          <w:rFonts w:ascii="Arial" w:eastAsia="Arial" w:hAnsi="Arial" w:cs="Arial"/>
          <w:sz w:val="20"/>
          <w:szCs w:val="20"/>
        </w:rPr>
      </w:pPr>
      <w:r>
        <w:rPr>
          <w:rFonts w:ascii="Arial" w:eastAsia="Arial" w:hAnsi="Arial" w:cs="Arial"/>
          <w:noProof/>
          <w:sz w:val="20"/>
          <w:szCs w:val="20"/>
        </w:rPr>
        <w:drawing>
          <wp:inline distT="0" distB="0" distL="0" distR="0">
            <wp:extent cx="5917324" cy="2869324"/>
            <wp:effectExtent l="0" t="0" r="7226" b="0"/>
            <wp:docPr id="4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D0A31" w:rsidRDefault="0093068C">
      <w:pPr>
        <w:spacing w:after="0"/>
        <w:jc w:val="center"/>
        <w:rPr>
          <w:rFonts w:ascii="Arial" w:eastAsia="Arial" w:hAnsi="Arial" w:cs="Arial"/>
          <w:sz w:val="20"/>
          <w:szCs w:val="20"/>
        </w:rPr>
      </w:pPr>
      <w:proofErr w:type="gramStart"/>
      <w:r>
        <w:rPr>
          <w:rFonts w:ascii="Arial" w:eastAsia="Arial" w:hAnsi="Arial" w:cs="Arial"/>
          <w:sz w:val="20"/>
          <w:szCs w:val="20"/>
        </w:rPr>
        <w:t>Figure 9.</w:t>
      </w:r>
      <w:proofErr w:type="gramEnd"/>
      <w:r>
        <w:rPr>
          <w:rFonts w:ascii="Arial" w:eastAsia="Arial" w:hAnsi="Arial" w:cs="Arial"/>
          <w:sz w:val="20"/>
          <w:szCs w:val="20"/>
        </w:rPr>
        <w:t xml:space="preserve"> The singing sound level difference compared to network weightings and the 90 </w:t>
      </w:r>
      <w:proofErr w:type="spellStart"/>
      <w:r>
        <w:rPr>
          <w:rFonts w:ascii="Arial" w:eastAsia="Arial" w:hAnsi="Arial" w:cs="Arial"/>
          <w:sz w:val="20"/>
          <w:szCs w:val="20"/>
        </w:rPr>
        <w:t>Phon</w:t>
      </w:r>
      <w:proofErr w:type="spellEnd"/>
      <w:r>
        <w:rPr>
          <w:rFonts w:ascii="Arial" w:eastAsia="Arial" w:hAnsi="Arial" w:cs="Arial"/>
          <w:sz w:val="20"/>
          <w:szCs w:val="20"/>
        </w:rPr>
        <w:t xml:space="preserve"> equal loudness contour</w:t>
      </w:r>
    </w:p>
    <w:p w:rsidR="00DD0A31" w:rsidRDefault="00DD0A31">
      <w:pPr>
        <w:spacing w:after="0" w:line="240" w:lineRule="auto"/>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lastRenderedPageBreak/>
        <w:t xml:space="preserve">As the difference in singing sound level appeared to reflect human hearing sensitivity, Figure 9 shows the singing sound level difference against </w:t>
      </w:r>
      <w:proofErr w:type="gramStart"/>
      <w:r>
        <w:rPr>
          <w:rFonts w:ascii="Arial" w:eastAsia="Arial" w:hAnsi="Arial" w:cs="Arial"/>
          <w:sz w:val="20"/>
          <w:szCs w:val="20"/>
        </w:rPr>
        <w:t>A</w:t>
      </w:r>
      <w:proofErr w:type="gramEnd"/>
      <w:r>
        <w:rPr>
          <w:rFonts w:ascii="Arial" w:eastAsia="Arial" w:hAnsi="Arial" w:cs="Arial"/>
          <w:sz w:val="20"/>
          <w:szCs w:val="20"/>
        </w:rPr>
        <w:t xml:space="preserve"> weightings, B weightings and the 90 </w:t>
      </w:r>
      <w:proofErr w:type="spellStart"/>
      <w:r>
        <w:rPr>
          <w:rFonts w:ascii="Arial" w:eastAsia="Arial" w:hAnsi="Arial" w:cs="Arial"/>
          <w:sz w:val="20"/>
          <w:szCs w:val="20"/>
        </w:rPr>
        <w:t>Phon</w:t>
      </w:r>
      <w:proofErr w:type="spellEnd"/>
      <w:r>
        <w:rPr>
          <w:rFonts w:ascii="Arial" w:eastAsia="Arial" w:hAnsi="Arial" w:cs="Arial"/>
          <w:sz w:val="20"/>
          <w:szCs w:val="20"/>
        </w:rPr>
        <w:t xml:space="preserve"> equal loudness contour. The 90 </w:t>
      </w:r>
      <w:proofErr w:type="spellStart"/>
      <w:r>
        <w:rPr>
          <w:rFonts w:ascii="Arial" w:eastAsia="Arial" w:hAnsi="Arial" w:cs="Arial"/>
          <w:sz w:val="20"/>
          <w:szCs w:val="20"/>
        </w:rPr>
        <w:t>Phon</w:t>
      </w:r>
      <w:proofErr w:type="spellEnd"/>
      <w:r>
        <w:rPr>
          <w:rFonts w:ascii="Arial" w:eastAsia="Arial" w:hAnsi="Arial" w:cs="Arial"/>
          <w:sz w:val="20"/>
          <w:szCs w:val="20"/>
        </w:rPr>
        <w:t xml:space="preserve"> equal loudness contour was selected as this was the sound level the chorus were producing, 88 </w:t>
      </w:r>
      <w:proofErr w:type="spellStart"/>
      <w:r>
        <w:rPr>
          <w:rFonts w:ascii="Arial" w:eastAsia="Arial" w:hAnsi="Arial" w:cs="Arial"/>
          <w:sz w:val="20"/>
          <w:szCs w:val="20"/>
        </w:rPr>
        <w:t>dBA</w:t>
      </w:r>
      <w:proofErr w:type="spellEnd"/>
      <w:r>
        <w:rPr>
          <w:rFonts w:ascii="Arial" w:eastAsia="Arial" w:hAnsi="Arial" w:cs="Arial"/>
          <w:sz w:val="20"/>
          <w:szCs w:val="20"/>
        </w:rPr>
        <w:t xml:space="preserve"> overall. It can be seen from Figure 9 that the shape of the singing sound difference curve was similar although less pronounced than the equal loudness contour at the high frequencies 2.5-4 kHz. </w:t>
      </w:r>
    </w:p>
    <w:p w:rsidR="00DD0A31" w:rsidRDefault="00DD0A31">
      <w:pPr>
        <w:spacing w:after="0"/>
        <w:rPr>
          <w:rFonts w:ascii="Arial" w:eastAsia="Arial" w:hAnsi="Arial" w:cs="Arial"/>
          <w:sz w:val="20"/>
          <w:szCs w:val="20"/>
        </w:rPr>
      </w:pPr>
    </w:p>
    <w:p w:rsidR="00DD0A31" w:rsidRDefault="0093068C">
      <w:pPr>
        <w:ind w:left="851" w:hanging="851"/>
        <w:rPr>
          <w:rFonts w:ascii="Arial" w:eastAsia="Arial" w:hAnsi="Arial" w:cs="Arial"/>
          <w:b/>
          <w:sz w:val="24"/>
          <w:szCs w:val="24"/>
        </w:rPr>
      </w:pPr>
      <w:proofErr w:type="gramStart"/>
      <w:r>
        <w:rPr>
          <w:rFonts w:ascii="Arial" w:eastAsia="Arial" w:hAnsi="Arial" w:cs="Arial"/>
          <w:b/>
          <w:sz w:val="24"/>
          <w:szCs w:val="24"/>
        </w:rPr>
        <w:t>3. 5</w:t>
      </w:r>
      <w:r>
        <w:rPr>
          <w:rFonts w:ascii="Arial" w:eastAsia="Arial" w:hAnsi="Arial" w:cs="Arial"/>
          <w:b/>
          <w:sz w:val="24"/>
          <w:szCs w:val="24"/>
        </w:rPr>
        <w:tab/>
        <w:t>Sound Exposure</w:t>
      </w:r>
      <w:proofErr w:type="gramEnd"/>
      <w:r>
        <w:rPr>
          <w:b/>
          <w:sz w:val="24"/>
          <w:szCs w:val="24"/>
        </w:rPr>
        <w:t xml:space="preserve"> </w:t>
      </w: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By having the Chorus sing at half volume whilst maintaining </w:t>
      </w:r>
      <w:r w:rsidRPr="00974ED3">
        <w:rPr>
          <w:rFonts w:ascii="Arial" w:eastAsia="Arial" w:hAnsi="Arial" w:cs="Arial"/>
          <w:color w:val="auto"/>
          <w:sz w:val="20"/>
          <w:szCs w:val="20"/>
        </w:rPr>
        <w:t>a</w:t>
      </w:r>
      <w:r>
        <w:rPr>
          <w:rFonts w:ascii="Arial" w:eastAsia="Arial" w:hAnsi="Arial" w:cs="Arial"/>
          <w:color w:val="FF0000"/>
          <w:sz w:val="20"/>
          <w:szCs w:val="20"/>
        </w:rPr>
        <w:t xml:space="preserve"> </w:t>
      </w:r>
      <w:r>
        <w:rPr>
          <w:rFonts w:ascii="Arial" w:eastAsia="Arial" w:hAnsi="Arial" w:cs="Arial"/>
          <w:sz w:val="20"/>
          <w:szCs w:val="20"/>
        </w:rPr>
        <w:t xml:space="preserve">full dynamic </w:t>
      </w:r>
      <w:r w:rsidRPr="00974ED3">
        <w:rPr>
          <w:rFonts w:ascii="Arial" w:eastAsia="Arial" w:hAnsi="Arial" w:cs="Arial"/>
          <w:color w:val="auto"/>
          <w:sz w:val="20"/>
          <w:szCs w:val="20"/>
        </w:rPr>
        <w:t xml:space="preserve">range </w:t>
      </w:r>
      <w:r>
        <w:rPr>
          <w:rFonts w:ascii="Arial" w:eastAsia="Arial" w:hAnsi="Arial" w:cs="Arial"/>
          <w:sz w:val="20"/>
          <w:szCs w:val="20"/>
        </w:rPr>
        <w:t xml:space="preserve">allowed the sound exposure to stay within the Upper Exposure Limit of 85 </w:t>
      </w:r>
      <w:proofErr w:type="spellStart"/>
      <w:r>
        <w:rPr>
          <w:rFonts w:ascii="Arial" w:eastAsia="Arial" w:hAnsi="Arial" w:cs="Arial"/>
          <w:sz w:val="20"/>
          <w:szCs w:val="20"/>
        </w:rPr>
        <w:t>dBA</w:t>
      </w:r>
      <w:proofErr w:type="spellEnd"/>
      <w:r>
        <w:rPr>
          <w:rFonts w:ascii="Arial" w:eastAsia="Arial" w:hAnsi="Arial" w:cs="Arial"/>
          <w:sz w:val="20"/>
          <w:szCs w:val="20"/>
        </w:rPr>
        <w:t xml:space="preserve"> over 8 hours, assuming a typical day consists of a three hour rehearsal and a three hour performance, see </w:t>
      </w:r>
      <w:r w:rsidR="00C65FEA">
        <w:rPr>
          <w:rFonts w:ascii="Arial" w:eastAsia="Arial" w:hAnsi="Arial" w:cs="Arial"/>
          <w:sz w:val="20"/>
          <w:szCs w:val="20"/>
        </w:rPr>
        <w:t>equation (2)</w:t>
      </w:r>
      <w:r>
        <w:rPr>
          <w:rFonts w:ascii="Arial" w:eastAsia="Arial" w:hAnsi="Arial" w:cs="Arial"/>
          <w:sz w:val="20"/>
          <w:szCs w:val="20"/>
        </w:rPr>
        <w:t>.</w:t>
      </w:r>
    </w:p>
    <w:p w:rsidR="00DD0A31" w:rsidRDefault="00256ED7">
      <w:pPr>
        <w:spacing w:after="0" w:line="240" w:lineRule="auto"/>
        <w:rPr>
          <w:rFonts w:ascii="Arial" w:eastAsia="Arial" w:hAnsi="Arial" w:cs="Arial"/>
          <w:sz w:val="20"/>
          <w:szCs w:val="20"/>
        </w:rPr>
      </w:pPr>
      <w:r w:rsidRPr="00256ED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65pt;margin-top:2.45pt;width:222pt;height:54pt;z-index:251658240">
            <v:imagedata r:id="rId16" o:title=""/>
          </v:shape>
          <o:OLEObject Type="Embed" ProgID="Equation.3" ShapeID="_x0000_s1026" DrawAspect="Content" ObjectID="_1581062055" r:id="rId17"/>
        </w:pict>
      </w:r>
    </w:p>
    <w:p w:rsidR="00DD0A31" w:rsidRDefault="00DD0A31">
      <w:pPr>
        <w:spacing w:after="0" w:line="240" w:lineRule="auto"/>
        <w:rPr>
          <w:rFonts w:ascii="Arial" w:eastAsia="Arial" w:hAnsi="Arial" w:cs="Arial"/>
          <w:sz w:val="20"/>
          <w:szCs w:val="20"/>
        </w:rPr>
      </w:pPr>
    </w:p>
    <w:p w:rsidR="00DD0A31" w:rsidRDefault="00C65FEA" w:rsidP="00C65FEA">
      <w:pPr>
        <w:spacing w:after="0" w:line="240" w:lineRule="auto"/>
        <w:jc w:val="right"/>
        <w:rPr>
          <w:rFonts w:ascii="Arial" w:eastAsia="Arial" w:hAnsi="Arial" w:cs="Arial"/>
          <w:sz w:val="20"/>
          <w:szCs w:val="20"/>
        </w:rPr>
      </w:pPr>
      <w:r>
        <w:rPr>
          <w:rFonts w:ascii="Arial" w:eastAsia="Arial" w:hAnsi="Arial" w:cs="Arial"/>
          <w:sz w:val="20"/>
          <w:szCs w:val="20"/>
        </w:rPr>
        <w:t>(2)</w:t>
      </w:r>
    </w:p>
    <w:p w:rsidR="00DD0A31" w:rsidRDefault="00DD0A31">
      <w:pPr>
        <w:spacing w:after="0" w:line="240" w:lineRule="auto"/>
        <w:rPr>
          <w:rFonts w:ascii="Arial" w:eastAsia="Arial" w:hAnsi="Arial" w:cs="Arial"/>
          <w:sz w:val="20"/>
          <w:szCs w:val="20"/>
        </w:rPr>
      </w:pPr>
    </w:p>
    <w:p w:rsidR="00DD0A31" w:rsidRDefault="00DD0A31">
      <w:pPr>
        <w:spacing w:after="0" w:line="240" w:lineRule="auto"/>
        <w:rPr>
          <w:rFonts w:ascii="Arial" w:eastAsia="Arial" w:hAnsi="Arial" w:cs="Arial"/>
          <w:sz w:val="20"/>
          <w:szCs w:val="20"/>
        </w:rPr>
      </w:pPr>
    </w:p>
    <w:p w:rsidR="00DD0A31" w:rsidRDefault="00DD0A31">
      <w:pPr>
        <w:spacing w:after="0" w:line="240" w:lineRule="auto"/>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We know that the stage performance is typically 3 </w:t>
      </w:r>
      <w:proofErr w:type="spellStart"/>
      <w:r>
        <w:rPr>
          <w:rFonts w:ascii="Arial" w:eastAsia="Arial" w:hAnsi="Arial" w:cs="Arial"/>
          <w:sz w:val="20"/>
          <w:szCs w:val="20"/>
        </w:rPr>
        <w:t>dBA</w:t>
      </w:r>
      <w:proofErr w:type="spellEnd"/>
      <w:r>
        <w:rPr>
          <w:rFonts w:ascii="Arial" w:eastAsia="Arial" w:hAnsi="Arial" w:cs="Arial"/>
          <w:sz w:val="20"/>
          <w:szCs w:val="20"/>
        </w:rPr>
        <w:t xml:space="preserve"> higher than in rehearsals [6], thus would give an </w:t>
      </w:r>
      <w:proofErr w:type="spellStart"/>
      <w:r>
        <w:rPr>
          <w:rFonts w:ascii="Arial" w:eastAsia="Arial" w:hAnsi="Arial" w:cs="Arial"/>
          <w:sz w:val="20"/>
          <w:szCs w:val="20"/>
        </w:rPr>
        <w:t>L</w:t>
      </w:r>
      <w:r>
        <w:rPr>
          <w:rFonts w:ascii="Arial" w:eastAsia="Arial" w:hAnsi="Arial" w:cs="Arial"/>
          <w:sz w:val="20"/>
          <w:szCs w:val="20"/>
          <w:vertAlign w:val="subscript"/>
        </w:rPr>
        <w:t>EP</w:t>
      </w:r>
      <w:proofErr w:type="gramStart"/>
      <w:r>
        <w:rPr>
          <w:rFonts w:ascii="Arial" w:eastAsia="Arial" w:hAnsi="Arial" w:cs="Arial"/>
          <w:sz w:val="20"/>
          <w:szCs w:val="20"/>
          <w:vertAlign w:val="subscript"/>
        </w:rPr>
        <w:t>,d</w:t>
      </w:r>
      <w:proofErr w:type="spellEnd"/>
      <w:proofErr w:type="gramEnd"/>
      <w:r>
        <w:rPr>
          <w:rFonts w:ascii="Arial" w:eastAsia="Arial" w:hAnsi="Arial" w:cs="Arial"/>
          <w:sz w:val="20"/>
          <w:szCs w:val="20"/>
        </w:rPr>
        <w:t xml:space="preserve"> of 87.9 </w:t>
      </w:r>
      <w:proofErr w:type="spellStart"/>
      <w:r>
        <w:rPr>
          <w:rFonts w:ascii="Arial" w:eastAsia="Arial" w:hAnsi="Arial" w:cs="Arial"/>
          <w:sz w:val="20"/>
          <w:szCs w:val="20"/>
        </w:rPr>
        <w:t>dBA</w:t>
      </w:r>
      <w:proofErr w:type="spellEnd"/>
      <w:r>
        <w:rPr>
          <w:rFonts w:ascii="Arial" w:eastAsia="Arial" w:hAnsi="Arial" w:cs="Arial"/>
          <w:sz w:val="20"/>
          <w:szCs w:val="20"/>
        </w:rPr>
        <w:t xml:space="preserve">, just above  the Upper Exposure Limit. </w:t>
      </w:r>
      <w:proofErr w:type="gramStart"/>
      <w:r>
        <w:rPr>
          <w:rFonts w:ascii="Arial" w:eastAsia="Arial" w:hAnsi="Arial" w:cs="Arial"/>
          <w:sz w:val="20"/>
          <w:szCs w:val="20"/>
        </w:rPr>
        <w:t>in</w:t>
      </w:r>
      <w:proofErr w:type="gramEnd"/>
      <w:r>
        <w:rPr>
          <w:rFonts w:ascii="Arial" w:eastAsia="Arial" w:hAnsi="Arial" w:cs="Arial"/>
          <w:sz w:val="20"/>
          <w:szCs w:val="20"/>
        </w:rPr>
        <w:t xml:space="preserve"> the Control of Noise at Work Regulations 2005 [5]. </w:t>
      </w:r>
    </w:p>
    <w:p w:rsidR="00DD0A31" w:rsidRDefault="00DD0A31">
      <w:pPr>
        <w:spacing w:after="0" w:line="240" w:lineRule="auto"/>
        <w:rPr>
          <w:rFonts w:ascii="Arial" w:eastAsia="Arial" w:hAnsi="Arial" w:cs="Arial"/>
          <w:b/>
          <w:sz w:val="20"/>
          <w:szCs w:val="20"/>
        </w:rPr>
      </w:pPr>
    </w:p>
    <w:p w:rsidR="00DD0A31" w:rsidRDefault="0093068C">
      <w:pPr>
        <w:numPr>
          <w:ilvl w:val="0"/>
          <w:numId w:val="2"/>
        </w:numPr>
        <w:spacing w:after="0" w:line="240" w:lineRule="auto"/>
        <w:ind w:hanging="720"/>
        <w:rPr>
          <w:rFonts w:ascii="Arial" w:eastAsia="Arial" w:hAnsi="Arial" w:cs="Arial"/>
          <w:b/>
          <w:sz w:val="28"/>
          <w:szCs w:val="28"/>
        </w:rPr>
      </w:pPr>
      <w:r>
        <w:rPr>
          <w:rFonts w:ascii="Arial" w:eastAsia="Arial" w:hAnsi="Arial" w:cs="Arial"/>
          <w:b/>
          <w:sz w:val="28"/>
          <w:szCs w:val="28"/>
        </w:rPr>
        <w:t>QUESTIONNAIRE</w:t>
      </w:r>
    </w:p>
    <w:p w:rsidR="00DD0A31" w:rsidRDefault="00DD0A31">
      <w:pPr>
        <w:spacing w:after="0"/>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 xml:space="preserve">The questionnaire has become an important tool for assisting in the acoustic design or optimisation of a space. The questionnaire is a method of “joining” the physical aspects of the room to the human perception of the room. In this case, the questionnaire was developed to target the choral singers’ </w:t>
      </w:r>
      <w:r w:rsidRPr="00974ED3">
        <w:rPr>
          <w:rFonts w:ascii="Arial" w:eastAsia="Arial" w:hAnsi="Arial" w:cs="Arial"/>
          <w:color w:val="auto"/>
          <w:sz w:val="20"/>
          <w:szCs w:val="20"/>
        </w:rPr>
        <w:t>impressions of their</w:t>
      </w:r>
      <w:r>
        <w:rPr>
          <w:rFonts w:ascii="Arial" w:eastAsia="Arial" w:hAnsi="Arial" w:cs="Arial"/>
          <w:color w:val="FF0000"/>
          <w:sz w:val="20"/>
          <w:szCs w:val="20"/>
        </w:rPr>
        <w:t xml:space="preserve"> </w:t>
      </w:r>
      <w:r>
        <w:rPr>
          <w:rFonts w:ascii="Arial" w:eastAsia="Arial" w:hAnsi="Arial" w:cs="Arial"/>
          <w:sz w:val="20"/>
          <w:szCs w:val="20"/>
        </w:rPr>
        <w:t xml:space="preserve">performance in different formations and/or spacing, and how comfortable it was singing in the room. The objective of moving the vocal groups can ultimately change what the singers hear. </w:t>
      </w:r>
    </w:p>
    <w:p w:rsidR="00DD0A31" w:rsidRDefault="00DD0A31" w:rsidP="00C65FEA">
      <w:pPr>
        <w:spacing w:after="0" w:line="240" w:lineRule="auto"/>
        <w:jc w:val="both"/>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results of the ROH questionnaire revealed, the choral singers’ overall prefer</w:t>
      </w:r>
      <w:r w:rsidRPr="00974ED3">
        <w:rPr>
          <w:rFonts w:ascii="Arial" w:eastAsia="Arial" w:hAnsi="Arial" w:cs="Arial"/>
          <w:color w:val="auto"/>
          <w:sz w:val="20"/>
          <w:szCs w:val="20"/>
        </w:rPr>
        <w:t xml:space="preserve">ence </w:t>
      </w:r>
      <w:r>
        <w:rPr>
          <w:rFonts w:ascii="Arial" w:eastAsia="Arial" w:hAnsi="Arial" w:cs="Arial"/>
          <w:sz w:val="20"/>
          <w:szCs w:val="20"/>
        </w:rPr>
        <w:t xml:space="preserve">was Experiment 3 (normal vocal group locations with increased spacing) and the least preferred </w:t>
      </w:r>
      <w:r w:rsidRPr="00974ED3">
        <w:rPr>
          <w:rFonts w:ascii="Arial" w:eastAsia="Arial" w:hAnsi="Arial" w:cs="Arial"/>
          <w:color w:val="auto"/>
          <w:sz w:val="20"/>
          <w:szCs w:val="20"/>
        </w:rPr>
        <w:t>situation</w:t>
      </w:r>
      <w:r>
        <w:rPr>
          <w:rFonts w:ascii="Arial" w:eastAsia="Arial" w:hAnsi="Arial" w:cs="Arial"/>
          <w:sz w:val="20"/>
          <w:szCs w:val="20"/>
        </w:rPr>
        <w:t xml:space="preserve"> was the Control, Experiment 1. For Experiment 3 the choral group liked the layout with more spacing, the performance was </w:t>
      </w:r>
      <w:r w:rsidR="00974ED3">
        <w:rPr>
          <w:rFonts w:ascii="Arial" w:eastAsia="Arial" w:hAnsi="Arial" w:cs="Arial"/>
          <w:sz w:val="20"/>
          <w:szCs w:val="20"/>
        </w:rPr>
        <w:t xml:space="preserve">the </w:t>
      </w:r>
      <w:r>
        <w:rPr>
          <w:rFonts w:ascii="Arial" w:eastAsia="Arial" w:hAnsi="Arial" w:cs="Arial"/>
          <w:sz w:val="20"/>
          <w:szCs w:val="20"/>
        </w:rPr>
        <w:t>most comfortable and it was the easiest to hear their own voice as well as the rest of the chorus group. This further supports the design RT of 1.3 seconds as discussed in Section 2.1.</w:t>
      </w:r>
    </w:p>
    <w:p w:rsidR="00DD0A31" w:rsidRDefault="00DD0A31" w:rsidP="00C65FEA">
      <w:pPr>
        <w:spacing w:after="0" w:line="240" w:lineRule="auto"/>
        <w:jc w:val="both"/>
        <w:rPr>
          <w:rFonts w:ascii="Arial" w:eastAsia="Arial" w:hAnsi="Arial" w:cs="Arial"/>
          <w:sz w:val="20"/>
          <w:szCs w:val="20"/>
        </w:rPr>
      </w:pPr>
    </w:p>
    <w:p w:rsidR="00DD0A31" w:rsidRDefault="0093068C" w:rsidP="00C65FEA">
      <w:pPr>
        <w:spacing w:line="240" w:lineRule="auto"/>
        <w:jc w:val="both"/>
        <w:rPr>
          <w:rFonts w:ascii="Arial" w:eastAsia="Arial" w:hAnsi="Arial" w:cs="Arial"/>
          <w:sz w:val="20"/>
          <w:szCs w:val="20"/>
        </w:rPr>
      </w:pPr>
      <w:r>
        <w:rPr>
          <w:rFonts w:ascii="Arial" w:eastAsia="Arial" w:hAnsi="Arial" w:cs="Arial"/>
          <w:sz w:val="20"/>
          <w:szCs w:val="20"/>
        </w:rPr>
        <w:t xml:space="preserve"> For choral singers it is know that hearing one's own voice and the rest of the choir is important [7,8], the Self to Other Ratio (SOR). The SOR increases with increased spacing meaning that the choral singers will hear less of the direct sound from their neighbours. It has also been found by Daugherty [9</w:t>
      </w:r>
      <w:r w:rsidR="00974ED3">
        <w:rPr>
          <w:rFonts w:ascii="Arial" w:eastAsia="Arial" w:hAnsi="Arial" w:cs="Arial"/>
          <w:sz w:val="20"/>
          <w:szCs w:val="20"/>
        </w:rPr>
        <w:t>] that</w:t>
      </w:r>
      <w:r>
        <w:rPr>
          <w:rFonts w:ascii="Arial" w:eastAsia="Arial" w:hAnsi="Arial" w:cs="Arial"/>
          <w:sz w:val="20"/>
          <w:szCs w:val="20"/>
        </w:rPr>
        <w:t xml:space="preserve"> stronger singers tend to prefer larger spacing again supporting the questionnaire responses [10]. </w:t>
      </w:r>
    </w:p>
    <w:p w:rsidR="00DD0A31" w:rsidRDefault="0093068C">
      <w:pPr>
        <w:numPr>
          <w:ilvl w:val="0"/>
          <w:numId w:val="2"/>
        </w:numPr>
        <w:spacing w:after="0" w:line="240" w:lineRule="auto"/>
        <w:ind w:hanging="720"/>
        <w:rPr>
          <w:rFonts w:ascii="Arial" w:eastAsia="Arial" w:hAnsi="Arial" w:cs="Arial"/>
          <w:b/>
          <w:sz w:val="28"/>
          <w:szCs w:val="28"/>
        </w:rPr>
      </w:pPr>
      <w:r>
        <w:rPr>
          <w:rFonts w:ascii="Arial" w:eastAsia="Arial" w:hAnsi="Arial" w:cs="Arial"/>
          <w:b/>
          <w:sz w:val="28"/>
          <w:szCs w:val="28"/>
        </w:rPr>
        <w:t>CONCLUSIONS</w:t>
      </w:r>
    </w:p>
    <w:p w:rsidR="00DD0A31" w:rsidRDefault="00DD0A31">
      <w:pPr>
        <w:spacing w:after="0" w:line="240" w:lineRule="auto"/>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Royal Opera House formed the Sound Study Group in March 2017, a team of experts w</w:t>
      </w:r>
      <w:r w:rsidRPr="00974ED3">
        <w:rPr>
          <w:rFonts w:ascii="Arial" w:eastAsia="Arial" w:hAnsi="Arial" w:cs="Arial"/>
          <w:color w:val="auto"/>
          <w:sz w:val="20"/>
          <w:szCs w:val="20"/>
        </w:rPr>
        <w:t>as</w:t>
      </w:r>
      <w:r>
        <w:rPr>
          <w:rFonts w:ascii="Arial" w:eastAsia="Arial" w:hAnsi="Arial" w:cs="Arial"/>
          <w:sz w:val="20"/>
          <w:szCs w:val="20"/>
        </w:rPr>
        <w:t xml:space="preserve"> bought together to improve the working environment of the Chorus. Both objective and subjective testing was undertaken to establish the acoustic performance of the Choral Rehearsal Room.  It was found that little has been written on the acoustics of rehearsal rooms. The room acoustics were measured and found to be </w:t>
      </w:r>
      <w:r w:rsidRPr="00974ED3">
        <w:rPr>
          <w:rFonts w:ascii="Arial" w:eastAsia="Arial" w:hAnsi="Arial" w:cs="Arial"/>
          <w:color w:val="auto"/>
          <w:sz w:val="20"/>
          <w:szCs w:val="20"/>
        </w:rPr>
        <w:t>drier than ideal for comfortable choral singing</w:t>
      </w:r>
      <w:r>
        <w:rPr>
          <w:rFonts w:ascii="Arial" w:eastAsia="Arial" w:hAnsi="Arial" w:cs="Arial"/>
          <w:sz w:val="20"/>
          <w:szCs w:val="20"/>
        </w:rPr>
        <w:t xml:space="preserve">. The consequence of the dry space is the chorus would tend to over-sing in the room causing vocal fatigue, discomfort and high sound exposure levels. Hence, it is proposed that by increasing the reverberation in the room at mid frequencies by removing the absorptive panels, </w:t>
      </w:r>
      <w:proofErr w:type="spellStart"/>
      <w:r>
        <w:rPr>
          <w:rFonts w:ascii="Arial" w:eastAsia="Arial" w:hAnsi="Arial" w:cs="Arial"/>
          <w:sz w:val="20"/>
          <w:szCs w:val="20"/>
        </w:rPr>
        <w:t>T</w:t>
      </w:r>
      <w:r>
        <w:rPr>
          <w:rFonts w:ascii="Arial" w:eastAsia="Arial" w:hAnsi="Arial" w:cs="Arial"/>
          <w:sz w:val="20"/>
          <w:szCs w:val="20"/>
          <w:vertAlign w:val="subscript"/>
        </w:rPr>
        <w:t>mf</w:t>
      </w:r>
      <w:proofErr w:type="spellEnd"/>
      <w:r>
        <w:rPr>
          <w:rFonts w:ascii="Arial" w:eastAsia="Arial" w:hAnsi="Arial" w:cs="Arial"/>
          <w:sz w:val="20"/>
          <w:szCs w:val="20"/>
        </w:rPr>
        <w:t xml:space="preserve">=1.1 </w:t>
      </w:r>
      <w:proofErr w:type="gramStart"/>
      <w:r>
        <w:rPr>
          <w:rFonts w:ascii="Arial" w:eastAsia="Arial" w:hAnsi="Arial" w:cs="Arial"/>
          <w:sz w:val="20"/>
          <w:szCs w:val="20"/>
        </w:rPr>
        <w:t>s,</w:t>
      </w:r>
      <w:proofErr w:type="gramEnd"/>
      <w:r>
        <w:rPr>
          <w:rFonts w:ascii="Arial" w:eastAsia="Arial" w:hAnsi="Arial" w:cs="Arial"/>
          <w:sz w:val="20"/>
          <w:szCs w:val="20"/>
        </w:rPr>
        <w:t xml:space="preserve"> and replacing them with diffusers </w:t>
      </w:r>
      <w:r>
        <w:rPr>
          <w:rFonts w:ascii="Arial" w:eastAsia="Arial" w:hAnsi="Arial" w:cs="Arial"/>
          <w:sz w:val="20"/>
          <w:szCs w:val="20"/>
        </w:rPr>
        <w:lastRenderedPageBreak/>
        <w:t>the Choral Group will reduce their vocal effort to match the environment. This should resolve</w:t>
      </w:r>
      <w:r w:rsidR="00974ED3">
        <w:rPr>
          <w:rFonts w:ascii="Arial" w:eastAsia="Arial" w:hAnsi="Arial" w:cs="Arial"/>
          <w:sz w:val="20"/>
          <w:szCs w:val="20"/>
        </w:rPr>
        <w:t xml:space="preserve"> all three challenges:</w:t>
      </w:r>
      <w:r>
        <w:rPr>
          <w:rFonts w:ascii="Arial" w:eastAsia="Arial" w:hAnsi="Arial" w:cs="Arial"/>
          <w:sz w:val="20"/>
          <w:szCs w:val="20"/>
        </w:rPr>
        <w:t xml:space="preserve"> vocal fatigue, sound exposure and comfort. </w:t>
      </w:r>
    </w:p>
    <w:p w:rsidR="00DD0A31" w:rsidRDefault="00DD0A31" w:rsidP="00C65FEA">
      <w:pPr>
        <w:spacing w:after="0" w:line="240" w:lineRule="auto"/>
        <w:jc w:val="both"/>
        <w:rPr>
          <w:rFonts w:ascii="Arial" w:eastAsia="Arial" w:hAnsi="Arial" w:cs="Arial"/>
          <w:sz w:val="20"/>
          <w:szCs w:val="20"/>
        </w:rPr>
      </w:pPr>
    </w:p>
    <w:p w:rsidR="00DD0A31" w:rsidRDefault="0093068C" w:rsidP="00C65FEA">
      <w:pPr>
        <w:spacing w:after="0" w:line="240" w:lineRule="auto"/>
        <w:jc w:val="both"/>
        <w:rPr>
          <w:rFonts w:ascii="Arial" w:eastAsia="Arial" w:hAnsi="Arial" w:cs="Arial"/>
          <w:sz w:val="20"/>
          <w:szCs w:val="20"/>
        </w:rPr>
      </w:pPr>
      <w:r>
        <w:rPr>
          <w:rFonts w:ascii="Arial" w:eastAsia="Arial" w:hAnsi="Arial" w:cs="Arial"/>
          <w:sz w:val="20"/>
          <w:szCs w:val="20"/>
        </w:rPr>
        <w:t>The second part of the research was on the effect of changing the layout of the vocal groups based on measurements and a questionnaire. Firstly, it was found that the chorus could consistently repeat the same performance. Secondly, based on the questionnaire results the most liked layout was that where the spacing was increased between the singers. This would have the effect of increasing the comfort and the self to other ratio</w:t>
      </w:r>
      <w:r w:rsidR="00974ED3">
        <w:rPr>
          <w:rFonts w:ascii="Arial" w:eastAsia="Arial" w:hAnsi="Arial" w:cs="Arial"/>
          <w:sz w:val="20"/>
          <w:szCs w:val="20"/>
        </w:rPr>
        <w:t xml:space="preserve">. In addition, it was found </w:t>
      </w:r>
      <w:r>
        <w:rPr>
          <w:rFonts w:ascii="Arial" w:eastAsia="Arial" w:hAnsi="Arial" w:cs="Arial"/>
          <w:sz w:val="20"/>
          <w:szCs w:val="20"/>
        </w:rPr>
        <w:t xml:space="preserve">that when asked to perform at half the volume a reduction in sound level of 8 </w:t>
      </w:r>
      <w:proofErr w:type="spellStart"/>
      <w:r>
        <w:rPr>
          <w:rFonts w:ascii="Arial" w:eastAsia="Arial" w:hAnsi="Arial" w:cs="Arial"/>
          <w:sz w:val="20"/>
          <w:szCs w:val="20"/>
        </w:rPr>
        <w:t>dBA</w:t>
      </w:r>
      <w:proofErr w:type="spellEnd"/>
      <w:r>
        <w:rPr>
          <w:rFonts w:ascii="Arial" w:eastAsia="Arial" w:hAnsi="Arial" w:cs="Arial"/>
          <w:sz w:val="20"/>
          <w:szCs w:val="20"/>
        </w:rPr>
        <w:t xml:space="preserve"> was achieved. The reduction in sound was primarily at the frequencies where human hearing is most sensitive</w:t>
      </w:r>
    </w:p>
    <w:p w:rsidR="00DD0A31" w:rsidRDefault="00DD0A31">
      <w:pPr>
        <w:spacing w:after="0" w:line="240" w:lineRule="auto"/>
        <w:rPr>
          <w:rFonts w:ascii="Arial" w:eastAsia="Arial" w:hAnsi="Arial" w:cs="Arial"/>
          <w:sz w:val="20"/>
          <w:szCs w:val="20"/>
        </w:rPr>
      </w:pPr>
    </w:p>
    <w:p w:rsidR="00DD0A31" w:rsidRDefault="0093068C">
      <w:pPr>
        <w:numPr>
          <w:ilvl w:val="0"/>
          <w:numId w:val="2"/>
        </w:numPr>
        <w:spacing w:after="0" w:line="240" w:lineRule="auto"/>
        <w:ind w:hanging="720"/>
        <w:rPr>
          <w:rFonts w:ascii="Arial" w:eastAsia="Arial" w:hAnsi="Arial" w:cs="Arial"/>
          <w:b/>
          <w:sz w:val="28"/>
          <w:szCs w:val="28"/>
        </w:rPr>
      </w:pPr>
      <w:r>
        <w:rPr>
          <w:rFonts w:ascii="Arial" w:eastAsia="Arial" w:hAnsi="Arial" w:cs="Arial"/>
          <w:b/>
          <w:sz w:val="28"/>
          <w:szCs w:val="28"/>
        </w:rPr>
        <w:t>ACKNOWLEDGEMENTS</w:t>
      </w:r>
    </w:p>
    <w:p w:rsidR="00DD0A31" w:rsidRDefault="00DD0A31">
      <w:pPr>
        <w:spacing w:after="0"/>
        <w:ind w:left="720" w:hanging="720"/>
        <w:rPr>
          <w:rFonts w:ascii="Arial" w:eastAsia="Arial" w:hAnsi="Arial" w:cs="Arial"/>
          <w:b/>
          <w:sz w:val="20"/>
          <w:szCs w:val="20"/>
        </w:rPr>
      </w:pPr>
    </w:p>
    <w:p w:rsidR="00DD0A31" w:rsidRDefault="0093068C" w:rsidP="00C65FEA">
      <w:pPr>
        <w:spacing w:line="240" w:lineRule="auto"/>
        <w:jc w:val="both"/>
        <w:rPr>
          <w:rFonts w:ascii="Arial" w:eastAsia="Arial" w:hAnsi="Arial" w:cs="Arial"/>
          <w:sz w:val="20"/>
          <w:szCs w:val="20"/>
        </w:rPr>
      </w:pPr>
      <w:r>
        <w:rPr>
          <w:rFonts w:ascii="Arial" w:eastAsia="Arial" w:hAnsi="Arial" w:cs="Arial"/>
          <w:sz w:val="20"/>
          <w:szCs w:val="20"/>
        </w:rPr>
        <w:t xml:space="preserve">Thanks go to the Chorus of the Royal Opera House for their full cooperation during the experiments. A vote of thanks goes to the Sound Study Group for their input on the paper. We would all like to give a special thanks to Genevieve Ellis </w:t>
      </w:r>
      <w:r w:rsidRPr="00974ED3">
        <w:rPr>
          <w:rFonts w:ascii="Arial" w:eastAsia="Arial" w:hAnsi="Arial" w:cs="Arial"/>
          <w:color w:val="auto"/>
          <w:sz w:val="20"/>
          <w:szCs w:val="20"/>
        </w:rPr>
        <w:t>for chorus-mastering the experiment session</w:t>
      </w:r>
      <w:r>
        <w:rPr>
          <w:rFonts w:ascii="Arial" w:eastAsia="Arial" w:hAnsi="Arial" w:cs="Arial"/>
          <w:color w:val="FF0000"/>
          <w:sz w:val="20"/>
          <w:szCs w:val="20"/>
        </w:rPr>
        <w:t>.</w:t>
      </w:r>
      <w:r>
        <w:rPr>
          <w:rFonts w:ascii="Arial" w:eastAsia="Arial" w:hAnsi="Arial" w:cs="Arial"/>
          <w:sz w:val="20"/>
          <w:szCs w:val="20"/>
        </w:rPr>
        <w:t xml:space="preserve"> The research was supported by the Royal Opera House.</w:t>
      </w:r>
    </w:p>
    <w:p w:rsidR="00DD0A31" w:rsidRDefault="0093068C">
      <w:pPr>
        <w:numPr>
          <w:ilvl w:val="0"/>
          <w:numId w:val="2"/>
        </w:numPr>
        <w:spacing w:after="0" w:line="240" w:lineRule="auto"/>
        <w:ind w:hanging="720"/>
        <w:rPr>
          <w:rFonts w:ascii="Arial" w:eastAsia="Arial" w:hAnsi="Arial" w:cs="Arial"/>
          <w:b/>
          <w:sz w:val="28"/>
          <w:szCs w:val="28"/>
        </w:rPr>
      </w:pPr>
      <w:r>
        <w:rPr>
          <w:rFonts w:ascii="Arial" w:eastAsia="Arial" w:hAnsi="Arial" w:cs="Arial"/>
          <w:b/>
          <w:sz w:val="28"/>
          <w:szCs w:val="28"/>
        </w:rPr>
        <w:t>REFERENCES</w:t>
      </w:r>
    </w:p>
    <w:p w:rsidR="00DD0A31" w:rsidRDefault="00DD0A31">
      <w:pPr>
        <w:spacing w:after="0" w:line="240" w:lineRule="auto"/>
        <w:rPr>
          <w:rFonts w:ascii="Arial" w:eastAsia="Arial" w:hAnsi="Arial" w:cs="Arial"/>
          <w:b/>
          <w:sz w:val="20"/>
          <w:szCs w:val="20"/>
        </w:rPr>
      </w:pPr>
    </w:p>
    <w:p w:rsidR="00DD0A31" w:rsidRDefault="0093068C" w:rsidP="009375E9">
      <w:pPr>
        <w:spacing w:after="0" w:line="240" w:lineRule="auto"/>
        <w:jc w:val="both"/>
        <w:rPr>
          <w:rFonts w:ascii="Arial" w:eastAsia="Arial" w:hAnsi="Arial" w:cs="Arial"/>
          <w:sz w:val="20"/>
          <w:szCs w:val="20"/>
        </w:rPr>
      </w:pPr>
      <w:proofErr w:type="gramStart"/>
      <w:r>
        <w:rPr>
          <w:rFonts w:ascii="Arial" w:eastAsia="Arial" w:hAnsi="Arial" w:cs="Arial"/>
          <w:sz w:val="20"/>
          <w:szCs w:val="20"/>
        </w:rPr>
        <w:t>1.Norsk</w:t>
      </w:r>
      <w:proofErr w:type="gramEnd"/>
      <w:r>
        <w:rPr>
          <w:rFonts w:ascii="Arial" w:eastAsia="Arial" w:hAnsi="Arial" w:cs="Arial"/>
          <w:sz w:val="20"/>
          <w:szCs w:val="20"/>
        </w:rPr>
        <w:t xml:space="preserve"> Standard, 2014. </w:t>
      </w:r>
      <w:proofErr w:type="gramStart"/>
      <w:r>
        <w:rPr>
          <w:rFonts w:ascii="Arial" w:eastAsia="Arial" w:hAnsi="Arial" w:cs="Arial"/>
          <w:i/>
          <w:sz w:val="20"/>
          <w:szCs w:val="20"/>
        </w:rPr>
        <w:t>NS 8178:2014 Acoustic criteria for rooms and spaces for music rehearsal and performance.</w:t>
      </w:r>
      <w:proofErr w:type="gramEnd"/>
      <w:r>
        <w:rPr>
          <w:rFonts w:ascii="Arial" w:eastAsia="Arial" w:hAnsi="Arial" w:cs="Arial"/>
          <w:i/>
          <w:sz w:val="20"/>
          <w:szCs w:val="20"/>
        </w:rPr>
        <w:t xml:space="preserve"> </w:t>
      </w:r>
      <w:proofErr w:type="spellStart"/>
      <w:r>
        <w:rPr>
          <w:rFonts w:ascii="Arial" w:eastAsia="Arial" w:hAnsi="Arial" w:cs="Arial"/>
          <w:sz w:val="20"/>
          <w:szCs w:val="20"/>
        </w:rPr>
        <w:t>s.l.</w:t>
      </w:r>
      <w:proofErr w:type="gramStart"/>
      <w:r>
        <w:rPr>
          <w:rFonts w:ascii="Arial" w:eastAsia="Arial" w:hAnsi="Arial" w:cs="Arial"/>
          <w:sz w:val="20"/>
          <w:szCs w:val="20"/>
        </w:rPr>
        <w:t>:Standard</w:t>
      </w:r>
      <w:proofErr w:type="spellEnd"/>
      <w:proofErr w:type="gramEnd"/>
      <w:r>
        <w:rPr>
          <w:rFonts w:ascii="Arial" w:eastAsia="Arial" w:hAnsi="Arial" w:cs="Arial"/>
          <w:sz w:val="20"/>
          <w:szCs w:val="20"/>
        </w:rPr>
        <w:t xml:space="preserve"> </w:t>
      </w:r>
      <w:proofErr w:type="spellStart"/>
      <w:r>
        <w:rPr>
          <w:rFonts w:ascii="Arial" w:eastAsia="Arial" w:hAnsi="Arial" w:cs="Arial"/>
          <w:sz w:val="20"/>
          <w:szCs w:val="20"/>
        </w:rPr>
        <w:t>Norge</w:t>
      </w:r>
      <w:proofErr w:type="spellEnd"/>
      <w:r>
        <w:rPr>
          <w:rFonts w:ascii="Arial" w:eastAsia="Arial" w:hAnsi="Arial" w:cs="Arial"/>
          <w:sz w:val="20"/>
          <w:szCs w:val="20"/>
        </w:rPr>
        <w:t>.</w:t>
      </w:r>
    </w:p>
    <w:p w:rsidR="00DD0A31" w:rsidRDefault="0093068C" w:rsidP="009375E9">
      <w:pPr>
        <w:spacing w:after="0" w:line="240" w:lineRule="auto"/>
        <w:jc w:val="both"/>
        <w:rPr>
          <w:rFonts w:ascii="Arial" w:eastAsia="Arial" w:hAnsi="Arial" w:cs="Arial"/>
          <w:sz w:val="20"/>
          <w:szCs w:val="20"/>
        </w:rPr>
      </w:pPr>
      <w:proofErr w:type="gramStart"/>
      <w:r>
        <w:rPr>
          <w:rFonts w:ascii="Arial" w:eastAsia="Arial" w:hAnsi="Arial" w:cs="Arial"/>
          <w:sz w:val="20"/>
          <w:szCs w:val="20"/>
        </w:rPr>
        <w:t>2.Beranek</w:t>
      </w:r>
      <w:proofErr w:type="gramEnd"/>
      <w:r>
        <w:rPr>
          <w:rFonts w:ascii="Arial" w:eastAsia="Arial" w:hAnsi="Arial" w:cs="Arial"/>
          <w:sz w:val="20"/>
          <w:szCs w:val="20"/>
        </w:rPr>
        <w:t xml:space="preserve">, L., 1996. </w:t>
      </w:r>
      <w:proofErr w:type="gramStart"/>
      <w:r>
        <w:rPr>
          <w:rFonts w:ascii="Arial" w:eastAsia="Arial" w:hAnsi="Arial" w:cs="Arial"/>
          <w:i/>
          <w:sz w:val="20"/>
          <w:szCs w:val="20"/>
        </w:rPr>
        <w:t>Concert and Opera Halls.</w:t>
      </w:r>
      <w:proofErr w:type="gramEnd"/>
      <w:r>
        <w:rPr>
          <w:rFonts w:ascii="Arial" w:eastAsia="Arial" w:hAnsi="Arial" w:cs="Arial"/>
          <w:i/>
          <w:sz w:val="20"/>
          <w:szCs w:val="20"/>
        </w:rPr>
        <w:t xml:space="preserve"> </w:t>
      </w:r>
      <w:r>
        <w:rPr>
          <w:rFonts w:ascii="Arial" w:eastAsia="Arial" w:hAnsi="Arial" w:cs="Arial"/>
          <w:sz w:val="20"/>
          <w:szCs w:val="20"/>
        </w:rPr>
        <w:t>New York: Acoustical Society of America.</w:t>
      </w:r>
    </w:p>
    <w:p w:rsidR="00DD0A31" w:rsidRDefault="0093068C" w:rsidP="009375E9">
      <w:pPr>
        <w:spacing w:after="0" w:line="240" w:lineRule="auto"/>
        <w:jc w:val="both"/>
        <w:rPr>
          <w:rFonts w:ascii="Arial" w:eastAsia="Arial" w:hAnsi="Arial" w:cs="Arial"/>
          <w:sz w:val="20"/>
          <w:szCs w:val="20"/>
        </w:rPr>
      </w:pPr>
      <w:proofErr w:type="gramStart"/>
      <w:r>
        <w:rPr>
          <w:rFonts w:ascii="Arial" w:eastAsia="Arial" w:hAnsi="Arial" w:cs="Arial"/>
          <w:sz w:val="20"/>
          <w:szCs w:val="20"/>
        </w:rPr>
        <w:t>3.Sinal</w:t>
      </w:r>
      <w:proofErr w:type="gramEnd"/>
      <w:r>
        <w:rPr>
          <w:rFonts w:ascii="Arial" w:eastAsia="Arial" w:hAnsi="Arial" w:cs="Arial"/>
          <w:sz w:val="20"/>
          <w:szCs w:val="20"/>
        </w:rPr>
        <w:t xml:space="preserve">, O. &amp; </w:t>
      </w:r>
      <w:proofErr w:type="spellStart"/>
      <w:r>
        <w:rPr>
          <w:rFonts w:ascii="Arial" w:eastAsia="Arial" w:hAnsi="Arial" w:cs="Arial"/>
          <w:sz w:val="20"/>
          <w:szCs w:val="20"/>
        </w:rPr>
        <w:t>Yilmazer</w:t>
      </w:r>
      <w:proofErr w:type="spellEnd"/>
      <w:r>
        <w:rPr>
          <w:rFonts w:ascii="Arial" w:eastAsia="Arial" w:hAnsi="Arial" w:cs="Arial"/>
          <w:sz w:val="20"/>
          <w:szCs w:val="20"/>
        </w:rPr>
        <w:t xml:space="preserve">, S., 2015. A Comparative Study on Indoor Sound Quality of the Practice Rooms </w:t>
      </w:r>
      <w:proofErr w:type="gramStart"/>
      <w:r>
        <w:rPr>
          <w:rFonts w:ascii="Arial" w:eastAsia="Arial" w:hAnsi="Arial" w:cs="Arial"/>
          <w:sz w:val="20"/>
          <w:szCs w:val="20"/>
        </w:rPr>
        <w:t>Upon</w:t>
      </w:r>
      <w:proofErr w:type="gramEnd"/>
      <w:r>
        <w:rPr>
          <w:rFonts w:ascii="Arial" w:eastAsia="Arial" w:hAnsi="Arial" w:cs="Arial"/>
          <w:sz w:val="20"/>
          <w:szCs w:val="20"/>
        </w:rPr>
        <w:t xml:space="preserve"> Classical Singing Trainees' Preference. </w:t>
      </w:r>
      <w:r>
        <w:rPr>
          <w:rFonts w:ascii="Arial" w:eastAsia="Arial" w:hAnsi="Arial" w:cs="Arial"/>
          <w:i/>
          <w:sz w:val="20"/>
          <w:szCs w:val="20"/>
        </w:rPr>
        <w:t>Proc</w:t>
      </w:r>
      <w:r>
        <w:rPr>
          <w:rFonts w:ascii="Arial" w:eastAsia="Arial" w:hAnsi="Arial" w:cs="Arial"/>
          <w:sz w:val="20"/>
          <w:szCs w:val="20"/>
        </w:rPr>
        <w:t xml:space="preserve">. </w:t>
      </w:r>
      <w:r>
        <w:rPr>
          <w:rFonts w:ascii="Arial" w:eastAsia="Arial" w:hAnsi="Arial" w:cs="Arial"/>
          <w:i/>
          <w:sz w:val="20"/>
          <w:szCs w:val="20"/>
        </w:rPr>
        <w:t>EuroNoise.2015, Maastricht 2015</w:t>
      </w:r>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4. British Standards, 2009. </w:t>
      </w:r>
      <w:r>
        <w:rPr>
          <w:rFonts w:ascii="Arial" w:eastAsia="Arial" w:hAnsi="Arial" w:cs="Arial"/>
          <w:i/>
          <w:sz w:val="20"/>
          <w:szCs w:val="20"/>
        </w:rPr>
        <w:t xml:space="preserve">BS EN ISO 3382-1:2009 Acoustics - Measurement of room acoustic parameters - Part 1 Performance spaces. </w:t>
      </w:r>
      <w:r>
        <w:rPr>
          <w:rFonts w:ascii="Arial" w:eastAsia="Arial" w:hAnsi="Arial" w:cs="Arial"/>
          <w:sz w:val="20"/>
          <w:szCs w:val="20"/>
        </w:rPr>
        <w:t>London: British Standards.</w:t>
      </w:r>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5. Health and Safety Executive (2005). </w:t>
      </w:r>
      <w:proofErr w:type="gramStart"/>
      <w:r>
        <w:rPr>
          <w:rFonts w:ascii="Arial" w:eastAsia="Arial" w:hAnsi="Arial" w:cs="Arial"/>
          <w:i/>
          <w:sz w:val="20"/>
          <w:szCs w:val="20"/>
        </w:rPr>
        <w:t>Controlling noise at work</w:t>
      </w:r>
      <w:r>
        <w:rPr>
          <w:rFonts w:ascii="Arial" w:eastAsia="Arial" w:hAnsi="Arial" w:cs="Arial"/>
          <w:sz w:val="20"/>
          <w:szCs w:val="20"/>
        </w:rPr>
        <w:t>.</w:t>
      </w:r>
      <w:proofErr w:type="gramEnd"/>
      <w:r>
        <w:rPr>
          <w:rFonts w:ascii="Arial" w:eastAsia="Arial" w:hAnsi="Arial" w:cs="Arial"/>
          <w:sz w:val="20"/>
          <w:szCs w:val="20"/>
        </w:rPr>
        <w:t xml:space="preserve"> The control of noise at work Regulations 2005, Guidance on Regulations: HSE</w:t>
      </w:r>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6. </w:t>
      </w:r>
      <w:proofErr w:type="spellStart"/>
      <w:r>
        <w:rPr>
          <w:rFonts w:ascii="Arial" w:eastAsia="Arial" w:hAnsi="Arial" w:cs="Arial"/>
          <w:sz w:val="20"/>
          <w:szCs w:val="20"/>
        </w:rPr>
        <w:t>Zepidou</w:t>
      </w:r>
      <w:proofErr w:type="spellEnd"/>
      <w:r>
        <w:rPr>
          <w:rFonts w:ascii="Arial" w:eastAsia="Arial" w:hAnsi="Arial" w:cs="Arial"/>
          <w:sz w:val="20"/>
          <w:szCs w:val="20"/>
        </w:rPr>
        <w:t xml:space="preserve">, G., Dance, S. </w:t>
      </w:r>
      <w:proofErr w:type="gramStart"/>
      <w:r>
        <w:rPr>
          <w:rFonts w:ascii="Arial" w:eastAsia="Arial" w:hAnsi="Arial" w:cs="Arial"/>
          <w:i/>
          <w:sz w:val="20"/>
          <w:szCs w:val="20"/>
        </w:rPr>
        <w:t>An orchestra's noise exposure</w:t>
      </w:r>
      <w:r>
        <w:rPr>
          <w:rFonts w:ascii="Arial" w:eastAsia="Arial" w:hAnsi="Arial" w:cs="Arial"/>
          <w:sz w:val="20"/>
          <w:szCs w:val="20"/>
        </w:rPr>
        <w:t xml:space="preserve">, Proc </w:t>
      </w:r>
      <w:proofErr w:type="spellStart"/>
      <w:r>
        <w:rPr>
          <w:rFonts w:ascii="Arial" w:eastAsia="Arial" w:hAnsi="Arial" w:cs="Arial"/>
          <w:sz w:val="20"/>
          <w:szCs w:val="20"/>
        </w:rPr>
        <w:t>IoA</w:t>
      </w:r>
      <w:proofErr w:type="spellEnd"/>
      <w:r>
        <w:rPr>
          <w:rFonts w:ascii="Arial" w:eastAsia="Arial" w:hAnsi="Arial" w:cs="Arial"/>
          <w:sz w:val="20"/>
          <w:szCs w:val="20"/>
        </w:rPr>
        <w:t xml:space="preserve"> 32(3), Ghent 2010.</w:t>
      </w:r>
      <w:proofErr w:type="gramEnd"/>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7. </w:t>
      </w:r>
      <w:proofErr w:type="spellStart"/>
      <w:r>
        <w:rPr>
          <w:rFonts w:ascii="Arial" w:eastAsia="Arial" w:hAnsi="Arial" w:cs="Arial"/>
          <w:sz w:val="20"/>
          <w:szCs w:val="20"/>
        </w:rPr>
        <w:t>Ternström</w:t>
      </w:r>
      <w:proofErr w:type="spellEnd"/>
      <w:r>
        <w:rPr>
          <w:rFonts w:ascii="Arial" w:eastAsia="Arial" w:hAnsi="Arial" w:cs="Arial"/>
          <w:sz w:val="20"/>
          <w:szCs w:val="20"/>
        </w:rPr>
        <w:t xml:space="preserve">, S., Cabrera, D. and Davis, P., 2005. Self-to-other ratios measured in an opera chorus in performance. </w:t>
      </w:r>
      <w:r>
        <w:rPr>
          <w:rFonts w:ascii="Arial" w:eastAsia="Arial" w:hAnsi="Arial" w:cs="Arial"/>
          <w:i/>
          <w:sz w:val="20"/>
          <w:szCs w:val="20"/>
        </w:rPr>
        <w:t xml:space="preserve">The Journal of the Acoustical Society of </w:t>
      </w:r>
      <w:proofErr w:type="gramStart"/>
      <w:r>
        <w:rPr>
          <w:rFonts w:ascii="Arial" w:eastAsia="Arial" w:hAnsi="Arial" w:cs="Arial"/>
          <w:i/>
          <w:sz w:val="20"/>
          <w:szCs w:val="20"/>
        </w:rPr>
        <w:t>America ,</w:t>
      </w:r>
      <w:proofErr w:type="gramEnd"/>
      <w:r>
        <w:rPr>
          <w:rFonts w:ascii="Arial" w:eastAsia="Arial" w:hAnsi="Arial" w:cs="Arial"/>
          <w:i/>
          <w:sz w:val="20"/>
          <w:szCs w:val="20"/>
        </w:rPr>
        <w:t xml:space="preserve"> </w:t>
      </w:r>
      <w:r>
        <w:rPr>
          <w:rFonts w:ascii="Arial" w:eastAsia="Arial" w:hAnsi="Arial" w:cs="Arial"/>
          <w:sz w:val="20"/>
          <w:szCs w:val="20"/>
        </w:rPr>
        <w:t>Volume 118, pp. 3903-3911.</w:t>
      </w:r>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8. Howard, D., 2015. </w:t>
      </w:r>
      <w:proofErr w:type="gramStart"/>
      <w:r>
        <w:rPr>
          <w:rFonts w:ascii="Arial" w:eastAsia="Arial" w:hAnsi="Arial" w:cs="Arial"/>
          <w:i/>
          <w:sz w:val="20"/>
          <w:szCs w:val="20"/>
        </w:rPr>
        <w:t>Choral Singing and Healthy Voice Production.</w:t>
      </w:r>
      <w:proofErr w:type="gramEnd"/>
      <w:r>
        <w:rPr>
          <w:rFonts w:ascii="Arial" w:eastAsia="Arial" w:hAnsi="Arial" w:cs="Arial"/>
          <w:i/>
          <w:sz w:val="20"/>
          <w:szCs w:val="20"/>
        </w:rPr>
        <w:t xml:space="preserve"> </w:t>
      </w:r>
      <w:r>
        <w:rPr>
          <w:rFonts w:ascii="Arial" w:eastAsia="Arial" w:hAnsi="Arial" w:cs="Arial"/>
          <w:sz w:val="20"/>
          <w:szCs w:val="20"/>
        </w:rPr>
        <w:t>Tunbridge Wells: Willow Leaf Publishing.</w:t>
      </w:r>
    </w:p>
    <w:p w:rsidR="00DD0A31" w:rsidRDefault="0093068C" w:rsidP="009375E9">
      <w:pPr>
        <w:spacing w:after="0" w:line="240" w:lineRule="auto"/>
        <w:jc w:val="both"/>
        <w:rPr>
          <w:rFonts w:ascii="Arial" w:eastAsia="Arial" w:hAnsi="Arial" w:cs="Arial"/>
          <w:sz w:val="20"/>
          <w:szCs w:val="20"/>
        </w:rPr>
      </w:pPr>
      <w:r>
        <w:rPr>
          <w:rFonts w:ascii="Arial" w:eastAsia="Arial" w:hAnsi="Arial" w:cs="Arial"/>
          <w:sz w:val="20"/>
          <w:szCs w:val="20"/>
        </w:rPr>
        <w:t xml:space="preserve">9. Daugherty, J., 2005. </w:t>
      </w:r>
      <w:r>
        <w:rPr>
          <w:rFonts w:ascii="Arial" w:eastAsia="Arial" w:hAnsi="Arial" w:cs="Arial"/>
          <w:i/>
          <w:sz w:val="20"/>
          <w:szCs w:val="20"/>
        </w:rPr>
        <w:t xml:space="preserve">Choir Acoustics, </w:t>
      </w:r>
      <w:r>
        <w:rPr>
          <w:rFonts w:ascii="Arial" w:eastAsia="Arial" w:hAnsi="Arial" w:cs="Arial"/>
          <w:sz w:val="20"/>
          <w:szCs w:val="20"/>
        </w:rPr>
        <w:t>Kansas: The University of Kansas.</w:t>
      </w:r>
    </w:p>
    <w:p w:rsidR="00DD0A31" w:rsidRDefault="0093068C" w:rsidP="009375E9">
      <w:pPr>
        <w:spacing w:after="0" w:line="240" w:lineRule="auto"/>
        <w:jc w:val="both"/>
        <w:rPr>
          <w:rFonts w:ascii="Arial" w:eastAsia="Arial" w:hAnsi="Arial" w:cs="Arial"/>
          <w:sz w:val="24"/>
          <w:szCs w:val="24"/>
        </w:rPr>
      </w:pPr>
      <w:r>
        <w:rPr>
          <w:rFonts w:ascii="Arial" w:eastAsia="Arial" w:hAnsi="Arial" w:cs="Arial"/>
          <w:sz w:val="20"/>
          <w:szCs w:val="20"/>
        </w:rPr>
        <w:t>10. Liu, S. Acoustics of the Choral Rehearsal Room at the Royal Opera House, MSc Thesis, London South Bank University, 2018</w:t>
      </w:r>
    </w:p>
    <w:sectPr w:rsidR="00DD0A31" w:rsidSect="00DD0A31">
      <w:headerReference w:type="default" r:id="rId18"/>
      <w:footerReference w:type="default" r:id="rId19"/>
      <w:pgSz w:w="11906" w:h="16838"/>
      <w:pgMar w:top="2268" w:right="1531" w:bottom="1418" w:left="1531"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79E8" w:rsidRDefault="00C179E8" w:rsidP="00C65FEA">
      <w:pPr>
        <w:spacing w:after="0" w:line="240" w:lineRule="auto"/>
      </w:pPr>
      <w:r>
        <w:separator/>
      </w:r>
    </w:p>
  </w:endnote>
  <w:endnote w:type="continuationSeparator" w:id="0">
    <w:p w:rsidR="00C179E8" w:rsidRDefault="00C179E8" w:rsidP="00C65F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FEA" w:rsidRDefault="00C65FEA" w:rsidP="00C65FEA">
    <w:pPr>
      <w:pStyle w:val="Footer"/>
      <w:rPr>
        <w:b/>
        <w:sz w:val="20"/>
      </w:rPr>
    </w:pPr>
    <w:r>
      <w:rPr>
        <w:b/>
        <w:sz w:val="20"/>
      </w:rPr>
      <w:t>Vol. 40. Pt. 1. 2018</w:t>
    </w:r>
  </w:p>
  <w:p w:rsidR="00C65FEA" w:rsidRDefault="00C65FEA">
    <w:pPr>
      <w:pStyle w:val="Footer"/>
    </w:pPr>
  </w:p>
  <w:p w:rsidR="00C65FEA" w:rsidRDefault="00C65F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79E8" w:rsidRDefault="00C179E8" w:rsidP="00C65FEA">
      <w:pPr>
        <w:spacing w:after="0" w:line="240" w:lineRule="auto"/>
      </w:pPr>
      <w:r>
        <w:separator/>
      </w:r>
    </w:p>
  </w:footnote>
  <w:footnote w:type="continuationSeparator" w:id="0">
    <w:p w:rsidR="00C179E8" w:rsidRDefault="00C179E8" w:rsidP="00C65F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FEA" w:rsidRDefault="00C65FEA" w:rsidP="00C65FEA">
    <w:pPr>
      <w:pStyle w:val="Header"/>
      <w:rPr>
        <w:b/>
      </w:rPr>
    </w:pPr>
    <w:r>
      <w:rPr>
        <w:b/>
      </w:rPr>
      <w:t xml:space="preserve">Proceedings of the </w:t>
    </w:r>
    <w:smartTag w:uri="urn:schemas-microsoft-com:office:smarttags" w:element="place">
      <w:smartTag w:uri="urn:schemas-microsoft-com:office:smarttags" w:element="PlaceType">
        <w:r>
          <w:rPr>
            <w:b/>
          </w:rPr>
          <w:t>Institute</w:t>
        </w:r>
      </w:smartTag>
      <w:r>
        <w:rPr>
          <w:b/>
        </w:rPr>
        <w:t xml:space="preserve"> of </w:t>
      </w:r>
      <w:smartTag w:uri="urn:schemas-microsoft-com:office:smarttags" w:element="PlaceName">
        <w:r>
          <w:rPr>
            <w:b/>
          </w:rPr>
          <w:t>Acoustics</w:t>
        </w:r>
      </w:smartTag>
    </w:smartTag>
  </w:p>
  <w:p w:rsidR="00C65FEA" w:rsidRDefault="00C65FEA">
    <w:pPr>
      <w:pStyle w:val="Header"/>
    </w:pPr>
  </w:p>
  <w:p w:rsidR="00C65FEA" w:rsidRDefault="00C65FE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15438"/>
    <w:multiLevelType w:val="multilevel"/>
    <w:tmpl w:val="4EDEF840"/>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8E54F28"/>
    <w:multiLevelType w:val="multilevel"/>
    <w:tmpl w:val="CD70ECF4"/>
    <w:lvl w:ilvl="0">
      <w:start w:val="3"/>
      <w:numFmt w:val="decimal"/>
      <w:lvlText w:val="%1"/>
      <w:lvlJc w:val="left"/>
      <w:pPr>
        <w:ind w:left="360" w:hanging="360"/>
      </w:pPr>
    </w:lvl>
    <w:lvl w:ilvl="1">
      <w:start w:val="3"/>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
    <w:nsid w:val="31C5063D"/>
    <w:multiLevelType w:val="multilevel"/>
    <w:tmpl w:val="F59A9BD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characterSpacingControl w:val="doNotCompress"/>
  <w:footnotePr>
    <w:footnote w:id="-1"/>
    <w:footnote w:id="0"/>
  </w:footnotePr>
  <w:endnotePr>
    <w:endnote w:id="-1"/>
    <w:endnote w:id="0"/>
  </w:endnotePr>
  <w:compat/>
  <w:rsids>
    <w:rsidRoot w:val="00DD0A31"/>
    <w:rsid w:val="00256ED7"/>
    <w:rsid w:val="003654E4"/>
    <w:rsid w:val="0072128D"/>
    <w:rsid w:val="0085210C"/>
    <w:rsid w:val="0093068C"/>
    <w:rsid w:val="009375E9"/>
    <w:rsid w:val="00974ED3"/>
    <w:rsid w:val="009D2D00"/>
    <w:rsid w:val="00C179E8"/>
    <w:rsid w:val="00C65FEA"/>
    <w:rsid w:val="00DA1BA6"/>
    <w:rsid w:val="00DD0A31"/>
    <w:rsid w:val="00DE69F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48A"/>
  </w:style>
  <w:style w:type="paragraph" w:styleId="Heading1">
    <w:name w:val="heading 1"/>
    <w:basedOn w:val="normal0"/>
    <w:next w:val="normal0"/>
    <w:rsid w:val="00DD0A31"/>
    <w:pPr>
      <w:keepNext/>
      <w:keepLines/>
      <w:spacing w:before="480" w:after="120"/>
      <w:outlineLvl w:val="0"/>
    </w:pPr>
    <w:rPr>
      <w:b/>
      <w:sz w:val="48"/>
      <w:szCs w:val="48"/>
    </w:rPr>
  </w:style>
  <w:style w:type="paragraph" w:styleId="Heading2">
    <w:name w:val="heading 2"/>
    <w:basedOn w:val="normal0"/>
    <w:next w:val="normal0"/>
    <w:rsid w:val="00DD0A31"/>
    <w:pPr>
      <w:keepNext/>
      <w:keepLines/>
      <w:spacing w:before="360" w:after="80"/>
      <w:outlineLvl w:val="1"/>
    </w:pPr>
    <w:rPr>
      <w:b/>
      <w:sz w:val="36"/>
      <w:szCs w:val="36"/>
    </w:rPr>
  </w:style>
  <w:style w:type="paragraph" w:styleId="Heading3">
    <w:name w:val="heading 3"/>
    <w:basedOn w:val="normal0"/>
    <w:next w:val="normal0"/>
    <w:rsid w:val="00DD0A31"/>
    <w:pPr>
      <w:keepNext/>
      <w:keepLines/>
      <w:spacing w:before="280" w:after="80"/>
      <w:outlineLvl w:val="2"/>
    </w:pPr>
    <w:rPr>
      <w:b/>
      <w:sz w:val="28"/>
      <w:szCs w:val="28"/>
    </w:rPr>
  </w:style>
  <w:style w:type="paragraph" w:styleId="Heading4">
    <w:name w:val="heading 4"/>
    <w:basedOn w:val="normal0"/>
    <w:next w:val="normal0"/>
    <w:rsid w:val="00DD0A31"/>
    <w:pPr>
      <w:keepNext/>
      <w:keepLines/>
      <w:spacing w:before="240" w:after="40"/>
      <w:outlineLvl w:val="3"/>
    </w:pPr>
    <w:rPr>
      <w:b/>
      <w:sz w:val="24"/>
      <w:szCs w:val="24"/>
    </w:rPr>
  </w:style>
  <w:style w:type="paragraph" w:styleId="Heading5">
    <w:name w:val="heading 5"/>
    <w:basedOn w:val="normal0"/>
    <w:next w:val="normal0"/>
    <w:rsid w:val="00DD0A31"/>
    <w:pPr>
      <w:keepNext/>
      <w:keepLines/>
      <w:spacing w:before="220" w:after="40"/>
      <w:outlineLvl w:val="4"/>
    </w:pPr>
    <w:rPr>
      <w:b/>
    </w:rPr>
  </w:style>
  <w:style w:type="paragraph" w:styleId="Heading6">
    <w:name w:val="heading 6"/>
    <w:basedOn w:val="normal0"/>
    <w:next w:val="normal0"/>
    <w:rsid w:val="00DD0A3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
    <w:rsid w:val="00DD0A31"/>
  </w:style>
  <w:style w:type="paragraph" w:styleId="Title">
    <w:name w:val="Title"/>
    <w:basedOn w:val="normal0"/>
    <w:next w:val="normal0"/>
    <w:rsid w:val="00DD0A31"/>
    <w:pPr>
      <w:keepNext/>
      <w:keepLines/>
      <w:spacing w:before="480" w:after="120"/>
    </w:pPr>
    <w:rPr>
      <w:b/>
      <w:sz w:val="72"/>
      <w:szCs w:val="72"/>
    </w:rPr>
  </w:style>
  <w:style w:type="paragraph" w:customStyle="1" w:styleId="normal2">
    <w:name w:val="normal"/>
    <w:rsid w:val="00DD0A31"/>
  </w:style>
  <w:style w:type="paragraph" w:customStyle="1" w:styleId="normal0">
    <w:name w:val="normal"/>
    <w:rsid w:val="00DD0A31"/>
  </w:style>
  <w:style w:type="paragraph" w:customStyle="1" w:styleId="Default">
    <w:name w:val="Default"/>
    <w:rsid w:val="00E76E1F"/>
    <w:pPr>
      <w:autoSpaceDE w:val="0"/>
      <w:autoSpaceDN w:val="0"/>
      <w:adjustRightInd w:val="0"/>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085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D32"/>
    <w:rPr>
      <w:rFonts w:ascii="Tahoma" w:hAnsi="Tahoma" w:cs="Tahoma"/>
      <w:sz w:val="16"/>
      <w:szCs w:val="16"/>
    </w:rPr>
  </w:style>
  <w:style w:type="paragraph" w:styleId="ListParagraph">
    <w:name w:val="List Paragraph"/>
    <w:basedOn w:val="Normal"/>
    <w:uiPriority w:val="34"/>
    <w:qFormat/>
    <w:rsid w:val="006D0FCA"/>
    <w:pPr>
      <w:ind w:left="720"/>
      <w:contextualSpacing/>
    </w:pPr>
  </w:style>
  <w:style w:type="table" w:styleId="TableGrid">
    <w:name w:val="Table Grid"/>
    <w:basedOn w:val="TableNormal"/>
    <w:uiPriority w:val="59"/>
    <w:rsid w:val="006D0F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966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90"/>
  </w:style>
  <w:style w:type="paragraph" w:styleId="Footer">
    <w:name w:val="footer"/>
    <w:basedOn w:val="Normal"/>
    <w:link w:val="FooterChar"/>
    <w:unhideWhenUsed/>
    <w:rsid w:val="00966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90"/>
  </w:style>
  <w:style w:type="paragraph" w:styleId="Subtitle">
    <w:name w:val="Subtitle"/>
    <w:basedOn w:val="Normal"/>
    <w:next w:val="Normal"/>
    <w:rsid w:val="00DD0A31"/>
    <w:pPr>
      <w:keepNext/>
      <w:keepLines/>
      <w:spacing w:before="360" w:after="80"/>
    </w:pPr>
    <w:rPr>
      <w:rFonts w:ascii="Georgia" w:eastAsia="Georgia" w:hAnsi="Georgia" w:cs="Georgia"/>
      <w:i/>
      <w:color w:val="666666"/>
      <w:sz w:val="48"/>
      <w:szCs w:val="48"/>
    </w:rPr>
  </w:style>
  <w:style w:type="table" w:customStyle="1" w:styleId="a">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rsid w:val="00DD0A31"/>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F:\work2\excel\2017\roh\choral%20rehearsal.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F:\work2\excel\2017\roh\Easter%20song%20in%207%20versions%20_170321_161847.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work2\excel\2017\roh\Easter%20song%20in%207%20versions%20_170321_161847.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F:\work2\excel\2017\roh\Easter%20song%20in%207%20versions%20_170321_161847.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plotArea>
      <c:layout/>
      <c:lineChart>
        <c:grouping val="standard"/>
        <c:ser>
          <c:idx val="0"/>
          <c:order val="0"/>
          <c:tx>
            <c:strRef>
              <c:f>'1-3 analysis'!$A$35</c:f>
              <c:strCache>
                <c:ptCount val="1"/>
                <c:pt idx="0">
                  <c:v>T30</c:v>
                </c:pt>
              </c:strCache>
            </c:strRef>
          </c:tx>
          <c:cat>
            <c:numRef>
              <c:f>'1-3 analysis'!$B$34:$Y$34</c:f>
              <c:numCache>
                <c:formatCode>General</c:formatCode>
                <c:ptCount val="24"/>
                <c:pt idx="0">
                  <c:v>50</c:v>
                </c:pt>
                <c:pt idx="1">
                  <c:v>63</c:v>
                </c:pt>
                <c:pt idx="2">
                  <c:v>80</c:v>
                </c:pt>
                <c:pt idx="3">
                  <c:v>100</c:v>
                </c:pt>
                <c:pt idx="4">
                  <c:v>125</c:v>
                </c:pt>
                <c:pt idx="5">
                  <c:v>160</c:v>
                </c:pt>
                <c:pt idx="6">
                  <c:v>200</c:v>
                </c:pt>
                <c:pt idx="7">
                  <c:v>250</c:v>
                </c:pt>
                <c:pt idx="8">
                  <c:v>315</c:v>
                </c:pt>
                <c:pt idx="9">
                  <c:v>400</c:v>
                </c:pt>
                <c:pt idx="10">
                  <c:v>500</c:v>
                </c:pt>
                <c:pt idx="11">
                  <c:v>630</c:v>
                </c:pt>
                <c:pt idx="12">
                  <c:v>800</c:v>
                </c:pt>
                <c:pt idx="13">
                  <c:v>1000</c:v>
                </c:pt>
                <c:pt idx="14">
                  <c:v>1260</c:v>
                </c:pt>
                <c:pt idx="15">
                  <c:v>1600</c:v>
                </c:pt>
                <c:pt idx="16">
                  <c:v>2000</c:v>
                </c:pt>
                <c:pt idx="17">
                  <c:v>2500</c:v>
                </c:pt>
                <c:pt idx="18">
                  <c:v>3160</c:v>
                </c:pt>
                <c:pt idx="19">
                  <c:v>4000</c:v>
                </c:pt>
                <c:pt idx="20">
                  <c:v>5000</c:v>
                </c:pt>
                <c:pt idx="21">
                  <c:v>6300</c:v>
                </c:pt>
                <c:pt idx="22">
                  <c:v>8000</c:v>
                </c:pt>
                <c:pt idx="23">
                  <c:v>10000</c:v>
                </c:pt>
              </c:numCache>
            </c:numRef>
          </c:cat>
          <c:val>
            <c:numRef>
              <c:f>'1-3 analysis'!$B$35:$Y$35</c:f>
              <c:numCache>
                <c:formatCode>General</c:formatCode>
                <c:ptCount val="24"/>
                <c:pt idx="0">
                  <c:v>1.1400000000000001</c:v>
                </c:pt>
                <c:pt idx="1">
                  <c:v>0.77200000000000146</c:v>
                </c:pt>
                <c:pt idx="2">
                  <c:v>1.0116666666666658</c:v>
                </c:pt>
                <c:pt idx="3">
                  <c:v>0.91416666666666657</c:v>
                </c:pt>
                <c:pt idx="4">
                  <c:v>0.91083333333333361</c:v>
                </c:pt>
                <c:pt idx="5">
                  <c:v>0.95999999999999985</c:v>
                </c:pt>
                <c:pt idx="6">
                  <c:v>1.0858333333333332</c:v>
                </c:pt>
                <c:pt idx="7">
                  <c:v>1.1208333333333333</c:v>
                </c:pt>
                <c:pt idx="8">
                  <c:v>1.0383333333333333</c:v>
                </c:pt>
                <c:pt idx="9">
                  <c:v>0.95166666666666666</c:v>
                </c:pt>
                <c:pt idx="10">
                  <c:v>0.84416666666666651</c:v>
                </c:pt>
                <c:pt idx="11">
                  <c:v>0.83083333333333365</c:v>
                </c:pt>
                <c:pt idx="12">
                  <c:v>0.80083333333333362</c:v>
                </c:pt>
                <c:pt idx="13">
                  <c:v>0.75249999999999995</c:v>
                </c:pt>
                <c:pt idx="14">
                  <c:v>0.75000000000000211</c:v>
                </c:pt>
                <c:pt idx="15">
                  <c:v>0.74249999999999983</c:v>
                </c:pt>
                <c:pt idx="16">
                  <c:v>0.71166666666666667</c:v>
                </c:pt>
                <c:pt idx="17">
                  <c:v>0.68333333333333424</c:v>
                </c:pt>
                <c:pt idx="18">
                  <c:v>0.68750000000000044</c:v>
                </c:pt>
                <c:pt idx="19">
                  <c:v>0.67000000000000226</c:v>
                </c:pt>
                <c:pt idx="20">
                  <c:v>0.64916666666666678</c:v>
                </c:pt>
                <c:pt idx="21">
                  <c:v>0.60249999999999992</c:v>
                </c:pt>
                <c:pt idx="22">
                  <c:v>0.54333333333333333</c:v>
                </c:pt>
                <c:pt idx="23">
                  <c:v>0.47500000000000031</c:v>
                </c:pt>
              </c:numCache>
            </c:numRef>
          </c:val>
        </c:ser>
        <c:ser>
          <c:idx val="1"/>
          <c:order val="1"/>
          <c:tx>
            <c:strRef>
              <c:f>'1-3 analysis'!$A$36</c:f>
              <c:strCache>
                <c:ptCount val="1"/>
                <c:pt idx="0">
                  <c:v>T20</c:v>
                </c:pt>
              </c:strCache>
            </c:strRef>
          </c:tx>
          <c:cat>
            <c:numRef>
              <c:f>'1-3 analysis'!$B$34:$Y$34</c:f>
              <c:numCache>
                <c:formatCode>General</c:formatCode>
                <c:ptCount val="24"/>
                <c:pt idx="0">
                  <c:v>50</c:v>
                </c:pt>
                <c:pt idx="1">
                  <c:v>63</c:v>
                </c:pt>
                <c:pt idx="2">
                  <c:v>80</c:v>
                </c:pt>
                <c:pt idx="3">
                  <c:v>100</c:v>
                </c:pt>
                <c:pt idx="4">
                  <c:v>125</c:v>
                </c:pt>
                <c:pt idx="5">
                  <c:v>160</c:v>
                </c:pt>
                <c:pt idx="6">
                  <c:v>200</c:v>
                </c:pt>
                <c:pt idx="7">
                  <c:v>250</c:v>
                </c:pt>
                <c:pt idx="8">
                  <c:v>315</c:v>
                </c:pt>
                <c:pt idx="9">
                  <c:v>400</c:v>
                </c:pt>
                <c:pt idx="10">
                  <c:v>500</c:v>
                </c:pt>
                <c:pt idx="11">
                  <c:v>630</c:v>
                </c:pt>
                <c:pt idx="12">
                  <c:v>800</c:v>
                </c:pt>
                <c:pt idx="13">
                  <c:v>1000</c:v>
                </c:pt>
                <c:pt idx="14">
                  <c:v>1260</c:v>
                </c:pt>
                <c:pt idx="15">
                  <c:v>1600</c:v>
                </c:pt>
                <c:pt idx="16">
                  <c:v>2000</c:v>
                </c:pt>
                <c:pt idx="17">
                  <c:v>2500</c:v>
                </c:pt>
                <c:pt idx="18">
                  <c:v>3160</c:v>
                </c:pt>
                <c:pt idx="19">
                  <c:v>4000</c:v>
                </c:pt>
                <c:pt idx="20">
                  <c:v>5000</c:v>
                </c:pt>
                <c:pt idx="21">
                  <c:v>6300</c:v>
                </c:pt>
                <c:pt idx="22">
                  <c:v>8000</c:v>
                </c:pt>
                <c:pt idx="23">
                  <c:v>10000</c:v>
                </c:pt>
              </c:numCache>
            </c:numRef>
          </c:cat>
          <c:val>
            <c:numRef>
              <c:f>'1-3 analysis'!$B$36:$Y$36</c:f>
              <c:numCache>
                <c:formatCode>General</c:formatCode>
                <c:ptCount val="24"/>
                <c:pt idx="0">
                  <c:v>1.1499999999999957</c:v>
                </c:pt>
                <c:pt idx="1">
                  <c:v>0.77400000000000146</c:v>
                </c:pt>
                <c:pt idx="2">
                  <c:v>1.0999999999999952</c:v>
                </c:pt>
                <c:pt idx="3">
                  <c:v>0.86833333333333362</c:v>
                </c:pt>
                <c:pt idx="4">
                  <c:v>0.96083333333333365</c:v>
                </c:pt>
                <c:pt idx="5">
                  <c:v>0.9008333333333336</c:v>
                </c:pt>
                <c:pt idx="6">
                  <c:v>1.0941666666666667</c:v>
                </c:pt>
                <c:pt idx="7">
                  <c:v>1.105</c:v>
                </c:pt>
                <c:pt idx="8">
                  <c:v>1.0158333333333334</c:v>
                </c:pt>
                <c:pt idx="9">
                  <c:v>0.95250000000000001</c:v>
                </c:pt>
                <c:pt idx="10">
                  <c:v>0.84083333333333365</c:v>
                </c:pt>
                <c:pt idx="11">
                  <c:v>0.84166666666666667</c:v>
                </c:pt>
                <c:pt idx="12">
                  <c:v>0.81583333333333363</c:v>
                </c:pt>
                <c:pt idx="13">
                  <c:v>0.76583333333333581</c:v>
                </c:pt>
                <c:pt idx="14">
                  <c:v>0.74333333333333362</c:v>
                </c:pt>
                <c:pt idx="15">
                  <c:v>0.7183333333333336</c:v>
                </c:pt>
                <c:pt idx="16">
                  <c:v>0.68333333333333401</c:v>
                </c:pt>
                <c:pt idx="17">
                  <c:v>0.65833333333333521</c:v>
                </c:pt>
                <c:pt idx="18">
                  <c:v>0.68083333333333462</c:v>
                </c:pt>
                <c:pt idx="19">
                  <c:v>0.66416666666666668</c:v>
                </c:pt>
                <c:pt idx="20">
                  <c:v>0.64666666666666661</c:v>
                </c:pt>
                <c:pt idx="21">
                  <c:v>0.59749999999999959</c:v>
                </c:pt>
                <c:pt idx="22">
                  <c:v>0.53000000000000014</c:v>
                </c:pt>
                <c:pt idx="23">
                  <c:v>0.46833333333333327</c:v>
                </c:pt>
              </c:numCache>
            </c:numRef>
          </c:val>
        </c:ser>
        <c:marker val="1"/>
        <c:axId val="67412736"/>
        <c:axId val="67414656"/>
      </c:lineChart>
      <c:catAx>
        <c:axId val="67412736"/>
        <c:scaling>
          <c:orientation val="minMax"/>
        </c:scaling>
        <c:axPos val="b"/>
        <c:title>
          <c:tx>
            <c:rich>
              <a:bodyPr/>
              <a:lstStyle/>
              <a:p>
                <a:pPr>
                  <a:defRPr/>
                </a:pPr>
                <a:r>
                  <a:rPr lang="en-US"/>
                  <a:t>Frequency (Hz)</a:t>
                </a:r>
              </a:p>
            </c:rich>
          </c:tx>
        </c:title>
        <c:numFmt formatCode="General" sourceLinked="1"/>
        <c:majorTickMark val="none"/>
        <c:tickLblPos val="nextTo"/>
        <c:crossAx val="67414656"/>
        <c:crosses val="autoZero"/>
        <c:auto val="1"/>
        <c:lblAlgn val="ctr"/>
        <c:lblOffset val="100"/>
      </c:catAx>
      <c:valAx>
        <c:axId val="67414656"/>
        <c:scaling>
          <c:orientation val="minMax"/>
        </c:scaling>
        <c:axPos val="l"/>
        <c:majorGridlines/>
        <c:title>
          <c:tx>
            <c:rich>
              <a:bodyPr/>
              <a:lstStyle/>
              <a:p>
                <a:pPr>
                  <a:defRPr/>
                </a:pPr>
                <a:r>
                  <a:rPr lang="en-US"/>
                  <a:t>Reverberation Time (sec)</a:t>
                </a:r>
              </a:p>
            </c:rich>
          </c:tx>
        </c:title>
        <c:numFmt formatCode="General" sourceLinked="1"/>
        <c:tickLblPos val="nextTo"/>
        <c:crossAx val="67412736"/>
        <c:crosses val="autoZero"/>
        <c:crossBetween val="between"/>
      </c:valAx>
    </c:plotArea>
    <c:legend>
      <c:legendPos val="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26148293963293E-2"/>
          <c:y val="3.5238781198390197E-2"/>
          <c:w val="0.49993066169519595"/>
          <c:h val="0.74950354208942915"/>
        </c:manualLayout>
      </c:layout>
      <c:lineChart>
        <c:grouping val="standard"/>
        <c:ser>
          <c:idx val="0"/>
          <c:order val="0"/>
          <c:tx>
            <c:strRef>
              <c:f>Global!$F$14</c:f>
              <c:strCache>
                <c:ptCount val="1"/>
                <c:pt idx="0">
                  <c:v>Control 87.8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Global!$G$14:$AE$14</c:f>
              <c:numCache>
                <c:formatCode>General</c:formatCode>
                <c:ptCount val="25"/>
                <c:pt idx="0">
                  <c:v>39.800000000000004</c:v>
                </c:pt>
                <c:pt idx="1">
                  <c:v>46.2</c:v>
                </c:pt>
                <c:pt idx="2">
                  <c:v>44.5</c:v>
                </c:pt>
                <c:pt idx="3">
                  <c:v>56.4</c:v>
                </c:pt>
                <c:pt idx="4">
                  <c:v>60</c:v>
                </c:pt>
                <c:pt idx="5">
                  <c:v>59</c:v>
                </c:pt>
                <c:pt idx="6">
                  <c:v>65.8</c:v>
                </c:pt>
                <c:pt idx="7">
                  <c:v>67.5</c:v>
                </c:pt>
                <c:pt idx="8">
                  <c:v>71.400000000000006</c:v>
                </c:pt>
                <c:pt idx="9">
                  <c:v>73.7</c:v>
                </c:pt>
                <c:pt idx="10">
                  <c:v>75.099999999999994</c:v>
                </c:pt>
                <c:pt idx="11">
                  <c:v>80.5</c:v>
                </c:pt>
                <c:pt idx="12">
                  <c:v>84.6</c:v>
                </c:pt>
                <c:pt idx="13">
                  <c:v>83</c:v>
                </c:pt>
                <c:pt idx="14">
                  <c:v>77.099999999999994</c:v>
                </c:pt>
                <c:pt idx="15">
                  <c:v>77.2</c:v>
                </c:pt>
                <c:pt idx="16">
                  <c:v>72.2</c:v>
                </c:pt>
                <c:pt idx="17">
                  <c:v>68</c:v>
                </c:pt>
                <c:pt idx="18">
                  <c:v>73.2</c:v>
                </c:pt>
                <c:pt idx="19">
                  <c:v>69.599999999999994</c:v>
                </c:pt>
                <c:pt idx="20">
                  <c:v>58.1</c:v>
                </c:pt>
                <c:pt idx="21">
                  <c:v>48</c:v>
                </c:pt>
                <c:pt idx="22">
                  <c:v>46.4</c:v>
                </c:pt>
                <c:pt idx="23">
                  <c:v>44.2</c:v>
                </c:pt>
                <c:pt idx="24">
                  <c:v>39.200000000000003</c:v>
                </c:pt>
              </c:numCache>
            </c:numRef>
          </c:val>
          <c:extLst xmlns:c16r2="http://schemas.microsoft.com/office/drawing/2015/06/chart">
            <c:ext xmlns:c16="http://schemas.microsoft.com/office/drawing/2014/chart" uri="{C3380CC4-5D6E-409C-BE32-E72D297353CC}">
              <c16:uniqueId val="{00000000-7D36-45CA-B7C4-D2B5B7F02832}"/>
            </c:ext>
          </c:extLst>
        </c:ser>
        <c:ser>
          <c:idx val="1"/>
          <c:order val="1"/>
          <c:tx>
            <c:strRef>
              <c:f>Global!$F$15</c:f>
              <c:strCache>
                <c:ptCount val="1"/>
                <c:pt idx="0">
                  <c:v>Control 88.0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Global!$G$15:$AE$15</c:f>
              <c:numCache>
                <c:formatCode>General</c:formatCode>
                <c:ptCount val="25"/>
                <c:pt idx="0">
                  <c:v>42.9</c:v>
                </c:pt>
                <c:pt idx="1">
                  <c:v>46</c:v>
                </c:pt>
                <c:pt idx="2">
                  <c:v>46.9</c:v>
                </c:pt>
                <c:pt idx="3">
                  <c:v>57.8</c:v>
                </c:pt>
                <c:pt idx="4">
                  <c:v>61.7</c:v>
                </c:pt>
                <c:pt idx="5">
                  <c:v>60.3</c:v>
                </c:pt>
                <c:pt idx="6">
                  <c:v>66.5</c:v>
                </c:pt>
                <c:pt idx="7">
                  <c:v>68.5</c:v>
                </c:pt>
                <c:pt idx="8">
                  <c:v>72.099999999999994</c:v>
                </c:pt>
                <c:pt idx="9">
                  <c:v>73.599999999999994</c:v>
                </c:pt>
                <c:pt idx="10">
                  <c:v>75.2</c:v>
                </c:pt>
                <c:pt idx="11">
                  <c:v>80.599999999999994</c:v>
                </c:pt>
                <c:pt idx="12">
                  <c:v>84.7</c:v>
                </c:pt>
                <c:pt idx="13">
                  <c:v>83.3</c:v>
                </c:pt>
                <c:pt idx="14">
                  <c:v>77.8</c:v>
                </c:pt>
                <c:pt idx="15">
                  <c:v>77.400000000000006</c:v>
                </c:pt>
                <c:pt idx="16">
                  <c:v>72.599999999999994</c:v>
                </c:pt>
                <c:pt idx="17">
                  <c:v>68.099999999999994</c:v>
                </c:pt>
                <c:pt idx="18">
                  <c:v>73.2</c:v>
                </c:pt>
                <c:pt idx="19">
                  <c:v>69.900000000000006</c:v>
                </c:pt>
                <c:pt idx="20">
                  <c:v>58.6</c:v>
                </c:pt>
                <c:pt idx="21">
                  <c:v>48.8</c:v>
                </c:pt>
                <c:pt idx="22">
                  <c:v>47.5</c:v>
                </c:pt>
                <c:pt idx="23">
                  <c:v>44.9</c:v>
                </c:pt>
                <c:pt idx="24">
                  <c:v>39.800000000000004</c:v>
                </c:pt>
              </c:numCache>
            </c:numRef>
          </c:val>
          <c:extLst xmlns:c16r2="http://schemas.microsoft.com/office/drawing/2015/06/chart">
            <c:ext xmlns:c16="http://schemas.microsoft.com/office/drawing/2014/chart" uri="{C3380CC4-5D6E-409C-BE32-E72D297353CC}">
              <c16:uniqueId val="{00000001-7D36-45CA-B7C4-D2B5B7F02832}"/>
            </c:ext>
          </c:extLst>
        </c:ser>
        <c:ser>
          <c:idx val="2"/>
          <c:order val="2"/>
          <c:tx>
            <c:strRef>
              <c:f>Global!$F$16</c:f>
              <c:strCache>
                <c:ptCount val="1"/>
                <c:pt idx="0">
                  <c:v>Spread 1m 88.3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Global!$G$16:$AE$16</c:f>
              <c:numCache>
                <c:formatCode>General</c:formatCode>
                <c:ptCount val="25"/>
                <c:pt idx="0">
                  <c:v>42.6</c:v>
                </c:pt>
                <c:pt idx="1">
                  <c:v>44.7</c:v>
                </c:pt>
                <c:pt idx="2">
                  <c:v>45.8</c:v>
                </c:pt>
                <c:pt idx="3">
                  <c:v>57.6</c:v>
                </c:pt>
                <c:pt idx="4">
                  <c:v>60.1</c:v>
                </c:pt>
                <c:pt idx="5">
                  <c:v>59.1</c:v>
                </c:pt>
                <c:pt idx="6">
                  <c:v>65.599999999999994</c:v>
                </c:pt>
                <c:pt idx="7">
                  <c:v>68.900000000000006</c:v>
                </c:pt>
                <c:pt idx="8">
                  <c:v>72.599999999999994</c:v>
                </c:pt>
                <c:pt idx="9">
                  <c:v>73.5</c:v>
                </c:pt>
                <c:pt idx="10">
                  <c:v>74.7</c:v>
                </c:pt>
                <c:pt idx="11">
                  <c:v>81.2</c:v>
                </c:pt>
                <c:pt idx="12">
                  <c:v>85.1</c:v>
                </c:pt>
                <c:pt idx="13">
                  <c:v>83.4</c:v>
                </c:pt>
                <c:pt idx="14">
                  <c:v>78.099999999999994</c:v>
                </c:pt>
                <c:pt idx="15">
                  <c:v>78</c:v>
                </c:pt>
                <c:pt idx="16">
                  <c:v>72.8</c:v>
                </c:pt>
                <c:pt idx="17">
                  <c:v>68</c:v>
                </c:pt>
                <c:pt idx="18">
                  <c:v>73.599999999999994</c:v>
                </c:pt>
                <c:pt idx="19">
                  <c:v>70.2</c:v>
                </c:pt>
                <c:pt idx="20">
                  <c:v>58.8</c:v>
                </c:pt>
                <c:pt idx="21">
                  <c:v>49.2</c:v>
                </c:pt>
                <c:pt idx="22">
                  <c:v>47.8</c:v>
                </c:pt>
                <c:pt idx="23">
                  <c:v>44.7</c:v>
                </c:pt>
                <c:pt idx="24">
                  <c:v>39.9</c:v>
                </c:pt>
              </c:numCache>
            </c:numRef>
          </c:val>
          <c:extLst xmlns:c16r2="http://schemas.microsoft.com/office/drawing/2015/06/chart">
            <c:ext xmlns:c16="http://schemas.microsoft.com/office/drawing/2014/chart" uri="{C3380CC4-5D6E-409C-BE32-E72D297353CC}">
              <c16:uniqueId val="{00000002-7D36-45CA-B7C4-D2B5B7F02832}"/>
            </c:ext>
          </c:extLst>
        </c:ser>
        <c:ser>
          <c:idx val="3"/>
          <c:order val="3"/>
          <c:tx>
            <c:strRef>
              <c:f>Global!$F$17</c:f>
              <c:strCache>
                <c:ptCount val="1"/>
                <c:pt idx="0">
                  <c:v>Swap Mezzo-Tenors 88.6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Global!$G$17:$AE$17</c:f>
              <c:numCache>
                <c:formatCode>General</c:formatCode>
                <c:ptCount val="25"/>
                <c:pt idx="0">
                  <c:v>41.1</c:v>
                </c:pt>
                <c:pt idx="1">
                  <c:v>45.3</c:v>
                </c:pt>
                <c:pt idx="2">
                  <c:v>46.2</c:v>
                </c:pt>
                <c:pt idx="3">
                  <c:v>55.5</c:v>
                </c:pt>
                <c:pt idx="4">
                  <c:v>61.4</c:v>
                </c:pt>
                <c:pt idx="5">
                  <c:v>59.3</c:v>
                </c:pt>
                <c:pt idx="6">
                  <c:v>66.400000000000006</c:v>
                </c:pt>
                <c:pt idx="7">
                  <c:v>69.2</c:v>
                </c:pt>
                <c:pt idx="8">
                  <c:v>72.7</c:v>
                </c:pt>
                <c:pt idx="9">
                  <c:v>72.8</c:v>
                </c:pt>
                <c:pt idx="10">
                  <c:v>75.5</c:v>
                </c:pt>
                <c:pt idx="11">
                  <c:v>81.099999999999994</c:v>
                </c:pt>
                <c:pt idx="12">
                  <c:v>85.4</c:v>
                </c:pt>
                <c:pt idx="13">
                  <c:v>84</c:v>
                </c:pt>
                <c:pt idx="14">
                  <c:v>77.8</c:v>
                </c:pt>
                <c:pt idx="15">
                  <c:v>77.7</c:v>
                </c:pt>
                <c:pt idx="16">
                  <c:v>73.400000000000006</c:v>
                </c:pt>
                <c:pt idx="17">
                  <c:v>68.8</c:v>
                </c:pt>
                <c:pt idx="18">
                  <c:v>74</c:v>
                </c:pt>
                <c:pt idx="19">
                  <c:v>70.900000000000006</c:v>
                </c:pt>
                <c:pt idx="20">
                  <c:v>59.4</c:v>
                </c:pt>
                <c:pt idx="21">
                  <c:v>49.8</c:v>
                </c:pt>
                <c:pt idx="22">
                  <c:v>47.9</c:v>
                </c:pt>
                <c:pt idx="23">
                  <c:v>45.2</c:v>
                </c:pt>
                <c:pt idx="24">
                  <c:v>40.200000000000003</c:v>
                </c:pt>
              </c:numCache>
            </c:numRef>
          </c:val>
          <c:extLst xmlns:c16r2="http://schemas.microsoft.com/office/drawing/2015/06/chart">
            <c:ext xmlns:c16="http://schemas.microsoft.com/office/drawing/2014/chart" uri="{C3380CC4-5D6E-409C-BE32-E72D297353CC}">
              <c16:uniqueId val="{00000003-7D36-45CA-B7C4-D2B5B7F02832}"/>
            </c:ext>
          </c:extLst>
        </c:ser>
        <c:ser>
          <c:idx val="4"/>
          <c:order val="4"/>
          <c:tx>
            <c:strRef>
              <c:f>Global!$F$18</c:f>
              <c:strCache>
                <c:ptCount val="1"/>
                <c:pt idx="0">
                  <c:v>Blocks Sop-Mezzo-Tenor-Bass 88.7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Global!$G$18:$AE$18</c:f>
              <c:numCache>
                <c:formatCode>General</c:formatCode>
                <c:ptCount val="25"/>
                <c:pt idx="0">
                  <c:v>42.1</c:v>
                </c:pt>
                <c:pt idx="1">
                  <c:v>46.1</c:v>
                </c:pt>
                <c:pt idx="2">
                  <c:v>46</c:v>
                </c:pt>
                <c:pt idx="3">
                  <c:v>57</c:v>
                </c:pt>
                <c:pt idx="4">
                  <c:v>62.3</c:v>
                </c:pt>
                <c:pt idx="5">
                  <c:v>60.5</c:v>
                </c:pt>
                <c:pt idx="6">
                  <c:v>66.400000000000006</c:v>
                </c:pt>
                <c:pt idx="7">
                  <c:v>68.7</c:v>
                </c:pt>
                <c:pt idx="8">
                  <c:v>72.8</c:v>
                </c:pt>
                <c:pt idx="9">
                  <c:v>73.400000000000006</c:v>
                </c:pt>
                <c:pt idx="10">
                  <c:v>75.5</c:v>
                </c:pt>
                <c:pt idx="11">
                  <c:v>80.599999999999994</c:v>
                </c:pt>
                <c:pt idx="12">
                  <c:v>85.2</c:v>
                </c:pt>
                <c:pt idx="13">
                  <c:v>84.4</c:v>
                </c:pt>
                <c:pt idx="14">
                  <c:v>78.2</c:v>
                </c:pt>
                <c:pt idx="15">
                  <c:v>78.2</c:v>
                </c:pt>
                <c:pt idx="16">
                  <c:v>73.400000000000006</c:v>
                </c:pt>
                <c:pt idx="17">
                  <c:v>68.7</c:v>
                </c:pt>
                <c:pt idx="18">
                  <c:v>73.5</c:v>
                </c:pt>
                <c:pt idx="19">
                  <c:v>70.3</c:v>
                </c:pt>
                <c:pt idx="20">
                  <c:v>59.6</c:v>
                </c:pt>
                <c:pt idx="21">
                  <c:v>49.2</c:v>
                </c:pt>
                <c:pt idx="22">
                  <c:v>47.8</c:v>
                </c:pt>
                <c:pt idx="23">
                  <c:v>44.7</c:v>
                </c:pt>
                <c:pt idx="24">
                  <c:v>39.800000000000004</c:v>
                </c:pt>
              </c:numCache>
            </c:numRef>
          </c:val>
          <c:extLst xmlns:c16r2="http://schemas.microsoft.com/office/drawing/2015/06/chart">
            <c:ext xmlns:c16="http://schemas.microsoft.com/office/drawing/2014/chart" uri="{C3380CC4-5D6E-409C-BE32-E72D297353CC}">
              <c16:uniqueId val="{00000004-7D36-45CA-B7C4-D2B5B7F02832}"/>
            </c:ext>
          </c:extLst>
        </c:ser>
        <c:ser>
          <c:idx val="5"/>
          <c:order val="5"/>
          <c:tx>
            <c:strRef>
              <c:f>Global!$F$19</c:f>
              <c:strCache>
                <c:ptCount val="1"/>
                <c:pt idx="0">
                  <c:v>Control 50 Vol 79.9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Global!$G$19:$AE$19</c:f>
              <c:numCache>
                <c:formatCode>General</c:formatCode>
                <c:ptCount val="25"/>
                <c:pt idx="0">
                  <c:v>39</c:v>
                </c:pt>
                <c:pt idx="1">
                  <c:v>44.9</c:v>
                </c:pt>
                <c:pt idx="2">
                  <c:v>41.3</c:v>
                </c:pt>
                <c:pt idx="3">
                  <c:v>51.8</c:v>
                </c:pt>
                <c:pt idx="4">
                  <c:v>55</c:v>
                </c:pt>
                <c:pt idx="5">
                  <c:v>54.3</c:v>
                </c:pt>
                <c:pt idx="6">
                  <c:v>61.5</c:v>
                </c:pt>
                <c:pt idx="7">
                  <c:v>64.8</c:v>
                </c:pt>
                <c:pt idx="8">
                  <c:v>67.8</c:v>
                </c:pt>
                <c:pt idx="9">
                  <c:v>68.5</c:v>
                </c:pt>
                <c:pt idx="10">
                  <c:v>70.2</c:v>
                </c:pt>
                <c:pt idx="11">
                  <c:v>73.900000000000006</c:v>
                </c:pt>
                <c:pt idx="12">
                  <c:v>76.8</c:v>
                </c:pt>
                <c:pt idx="13">
                  <c:v>75.400000000000006</c:v>
                </c:pt>
                <c:pt idx="14">
                  <c:v>68.8</c:v>
                </c:pt>
                <c:pt idx="15">
                  <c:v>67.8</c:v>
                </c:pt>
                <c:pt idx="16">
                  <c:v>62.9</c:v>
                </c:pt>
                <c:pt idx="17">
                  <c:v>57.6</c:v>
                </c:pt>
                <c:pt idx="18">
                  <c:v>60.2</c:v>
                </c:pt>
                <c:pt idx="19">
                  <c:v>56.3</c:v>
                </c:pt>
                <c:pt idx="20">
                  <c:v>45.6</c:v>
                </c:pt>
                <c:pt idx="21">
                  <c:v>38.5</c:v>
                </c:pt>
                <c:pt idx="22">
                  <c:v>37.200000000000003</c:v>
                </c:pt>
                <c:pt idx="23">
                  <c:v>35.1</c:v>
                </c:pt>
                <c:pt idx="24">
                  <c:v>31.9</c:v>
                </c:pt>
              </c:numCache>
            </c:numRef>
          </c:val>
          <c:extLst xmlns:c16r2="http://schemas.microsoft.com/office/drawing/2015/06/chart">
            <c:ext xmlns:c16="http://schemas.microsoft.com/office/drawing/2014/chart" uri="{C3380CC4-5D6E-409C-BE32-E72D297353CC}">
              <c16:uniqueId val="{00000005-7D36-45CA-B7C4-D2B5B7F02832}"/>
            </c:ext>
          </c:extLst>
        </c:ser>
        <c:ser>
          <c:idx val="6"/>
          <c:order val="6"/>
          <c:tx>
            <c:strRef>
              <c:f>Global!$F$20</c:f>
              <c:strCache>
                <c:ptCount val="1"/>
                <c:pt idx="0">
                  <c:v>Control Stands 88.2 dBA</c:v>
                </c:pt>
              </c:strCache>
            </c:strRef>
          </c:tx>
          <c:cat>
            <c:strRef>
              <c:f>Global!$G$13:$AE$13</c:f>
              <c:strCache>
                <c:ptCount val="25"/>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strCache>
            </c:strRef>
          </c:cat>
          <c:val>
            <c:numRef>
              <c:f>Global!$G$20:$AE$20</c:f>
              <c:numCache>
                <c:formatCode>General</c:formatCode>
                <c:ptCount val="25"/>
                <c:pt idx="0">
                  <c:v>40.4</c:v>
                </c:pt>
                <c:pt idx="1">
                  <c:v>45.5</c:v>
                </c:pt>
                <c:pt idx="2">
                  <c:v>45.5</c:v>
                </c:pt>
                <c:pt idx="3">
                  <c:v>54.7</c:v>
                </c:pt>
                <c:pt idx="4">
                  <c:v>60.4</c:v>
                </c:pt>
                <c:pt idx="5">
                  <c:v>59.7</c:v>
                </c:pt>
                <c:pt idx="6">
                  <c:v>65.599999999999994</c:v>
                </c:pt>
                <c:pt idx="7">
                  <c:v>69.099999999999994</c:v>
                </c:pt>
                <c:pt idx="8">
                  <c:v>71.5</c:v>
                </c:pt>
                <c:pt idx="9">
                  <c:v>72.2</c:v>
                </c:pt>
                <c:pt idx="10">
                  <c:v>75</c:v>
                </c:pt>
                <c:pt idx="11">
                  <c:v>81.3</c:v>
                </c:pt>
                <c:pt idx="12">
                  <c:v>84.1</c:v>
                </c:pt>
                <c:pt idx="13">
                  <c:v>84.4</c:v>
                </c:pt>
                <c:pt idx="14">
                  <c:v>77.5</c:v>
                </c:pt>
                <c:pt idx="15">
                  <c:v>77.3</c:v>
                </c:pt>
                <c:pt idx="16">
                  <c:v>72</c:v>
                </c:pt>
                <c:pt idx="17">
                  <c:v>68</c:v>
                </c:pt>
                <c:pt idx="18">
                  <c:v>73.2</c:v>
                </c:pt>
                <c:pt idx="19">
                  <c:v>69.7</c:v>
                </c:pt>
                <c:pt idx="20">
                  <c:v>59.3</c:v>
                </c:pt>
                <c:pt idx="21">
                  <c:v>48.9</c:v>
                </c:pt>
                <c:pt idx="22">
                  <c:v>47.5</c:v>
                </c:pt>
                <c:pt idx="23">
                  <c:v>44.7</c:v>
                </c:pt>
                <c:pt idx="24">
                  <c:v>39.700000000000003</c:v>
                </c:pt>
              </c:numCache>
            </c:numRef>
          </c:val>
          <c:extLst xmlns:c16r2="http://schemas.microsoft.com/office/drawing/2015/06/chart">
            <c:ext xmlns:c16="http://schemas.microsoft.com/office/drawing/2014/chart" uri="{C3380CC4-5D6E-409C-BE32-E72D297353CC}">
              <c16:uniqueId val="{00000006-7D36-45CA-B7C4-D2B5B7F02832}"/>
            </c:ext>
          </c:extLst>
        </c:ser>
        <c:marker val="1"/>
        <c:axId val="67804160"/>
        <c:axId val="68634880"/>
      </c:lineChart>
      <c:catAx>
        <c:axId val="67804160"/>
        <c:scaling>
          <c:orientation val="minMax"/>
        </c:scaling>
        <c:axPos val="b"/>
        <c:title>
          <c:tx>
            <c:rich>
              <a:bodyPr/>
              <a:lstStyle/>
              <a:p>
                <a:pPr>
                  <a:defRPr lang="en-US" sz="1000"/>
                </a:pPr>
                <a:r>
                  <a:rPr lang="en-GB" sz="1000"/>
                  <a:t>Frequency</a:t>
                </a:r>
                <a:r>
                  <a:rPr lang="en-GB" sz="1000" baseline="0"/>
                  <a:t> (Hz)</a:t>
                </a:r>
                <a:endParaRPr lang="en-GB" sz="1000"/>
              </a:p>
            </c:rich>
          </c:tx>
        </c:title>
        <c:numFmt formatCode="General" sourceLinked="0"/>
        <c:majorTickMark val="none"/>
        <c:tickLblPos val="nextTo"/>
        <c:txPr>
          <a:bodyPr/>
          <a:lstStyle/>
          <a:p>
            <a:pPr>
              <a:defRPr lang="en-US" sz="1000"/>
            </a:pPr>
            <a:endParaRPr lang="en-US"/>
          </a:p>
        </c:txPr>
        <c:crossAx val="68634880"/>
        <c:crosses val="autoZero"/>
        <c:auto val="1"/>
        <c:lblAlgn val="l"/>
        <c:lblOffset val="100"/>
      </c:catAx>
      <c:valAx>
        <c:axId val="68634880"/>
        <c:scaling>
          <c:orientation val="minMax"/>
          <c:min val="30"/>
        </c:scaling>
        <c:axPos val="l"/>
        <c:majorGridlines/>
        <c:title>
          <c:tx>
            <c:rich>
              <a:bodyPr/>
              <a:lstStyle/>
              <a:p>
                <a:pPr>
                  <a:defRPr lang="en-US" sz="1000"/>
                </a:pPr>
                <a:r>
                  <a:rPr lang="en-GB" sz="1000"/>
                  <a:t>Sound</a:t>
                </a:r>
                <a:r>
                  <a:rPr lang="en-GB" sz="1000" baseline="0"/>
                  <a:t> Pressure Level (dB)</a:t>
                </a:r>
                <a:endParaRPr lang="en-GB" sz="1000"/>
              </a:p>
            </c:rich>
          </c:tx>
          <c:layout>
            <c:manualLayout>
              <c:xMode val="edge"/>
              <c:yMode val="edge"/>
              <c:x val="0"/>
              <c:y val="0.1310996550031302"/>
            </c:manualLayout>
          </c:layout>
        </c:title>
        <c:numFmt formatCode="General" sourceLinked="1"/>
        <c:tickLblPos val="nextTo"/>
        <c:txPr>
          <a:bodyPr/>
          <a:lstStyle/>
          <a:p>
            <a:pPr>
              <a:defRPr lang="en-US" sz="1050"/>
            </a:pPr>
            <a:endParaRPr lang="en-US"/>
          </a:p>
        </c:txPr>
        <c:crossAx val="67804160"/>
        <c:crosses val="autoZero"/>
        <c:crossBetween val="between"/>
      </c:valAx>
    </c:plotArea>
    <c:legend>
      <c:legendPos val="r"/>
      <c:layout>
        <c:manualLayout>
          <c:xMode val="edge"/>
          <c:yMode val="edge"/>
          <c:x val="0.61456279189488749"/>
          <c:y val="6.9325341956753814E-2"/>
          <c:w val="0.31009062788514602"/>
          <c:h val="0.86849921857758827"/>
        </c:manualLayout>
      </c:layout>
      <c:txPr>
        <a:bodyPr/>
        <a:lstStyle/>
        <a:p>
          <a:pPr>
            <a:defRPr lang="en-US" sz="1100"/>
          </a:pPr>
          <a:endParaRPr lang="en-US"/>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1892434748234502"/>
          <c:y val="4.5244329432746574E-2"/>
          <c:w val="0.56509862997111793"/>
          <c:h val="0.65259466348774775"/>
        </c:manualLayout>
      </c:layout>
      <c:lineChart>
        <c:grouping val="standard"/>
        <c:ser>
          <c:idx val="0"/>
          <c:order val="0"/>
          <c:tx>
            <c:strRef>
              <c:f>Analysis!$A$3</c:f>
              <c:strCache>
                <c:ptCount val="1"/>
                <c:pt idx="0">
                  <c:v>Control 88.0 dBA</c:v>
                </c:pt>
              </c:strCache>
            </c:strRef>
          </c:tx>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Analysis!$B$3:$AC$3</c:f>
              <c:numCache>
                <c:formatCode>General</c:formatCode>
                <c:ptCount val="28"/>
                <c:pt idx="0">
                  <c:v>42.9</c:v>
                </c:pt>
                <c:pt idx="1">
                  <c:v>46</c:v>
                </c:pt>
                <c:pt idx="2">
                  <c:v>46.9</c:v>
                </c:pt>
                <c:pt idx="3">
                  <c:v>57.8</c:v>
                </c:pt>
                <c:pt idx="4">
                  <c:v>61.7</c:v>
                </c:pt>
                <c:pt idx="5">
                  <c:v>60.3</c:v>
                </c:pt>
                <c:pt idx="6">
                  <c:v>66.5</c:v>
                </c:pt>
                <c:pt idx="7">
                  <c:v>68.5</c:v>
                </c:pt>
                <c:pt idx="8">
                  <c:v>72.099999999999994</c:v>
                </c:pt>
                <c:pt idx="9">
                  <c:v>73.599999999999994</c:v>
                </c:pt>
                <c:pt idx="10">
                  <c:v>75.2</c:v>
                </c:pt>
                <c:pt idx="11">
                  <c:v>80.599999999999994</c:v>
                </c:pt>
                <c:pt idx="12">
                  <c:v>84.7</c:v>
                </c:pt>
                <c:pt idx="13">
                  <c:v>83.3</c:v>
                </c:pt>
                <c:pt idx="14">
                  <c:v>77.8</c:v>
                </c:pt>
                <c:pt idx="15">
                  <c:v>77.400000000000006</c:v>
                </c:pt>
                <c:pt idx="16">
                  <c:v>72.599999999999994</c:v>
                </c:pt>
                <c:pt idx="17">
                  <c:v>68.099999999999994</c:v>
                </c:pt>
                <c:pt idx="18">
                  <c:v>73.2</c:v>
                </c:pt>
                <c:pt idx="19">
                  <c:v>69.900000000000006</c:v>
                </c:pt>
                <c:pt idx="20">
                  <c:v>58.6</c:v>
                </c:pt>
                <c:pt idx="21">
                  <c:v>48.8</c:v>
                </c:pt>
                <c:pt idx="22">
                  <c:v>47.5</c:v>
                </c:pt>
                <c:pt idx="23">
                  <c:v>44.9</c:v>
                </c:pt>
                <c:pt idx="24">
                  <c:v>39.800000000000004</c:v>
                </c:pt>
                <c:pt idx="25">
                  <c:v>34.4</c:v>
                </c:pt>
                <c:pt idx="26">
                  <c:v>30.4</c:v>
                </c:pt>
                <c:pt idx="27">
                  <c:v>28.8</c:v>
                </c:pt>
              </c:numCache>
            </c:numRef>
          </c:val>
        </c:ser>
        <c:ser>
          <c:idx val="1"/>
          <c:order val="1"/>
          <c:tx>
            <c:strRef>
              <c:f>Analysis!$A$4</c:f>
              <c:strCache>
                <c:ptCount val="1"/>
                <c:pt idx="0">
                  <c:v>Control 50 Vol 79.9 dBA</c:v>
                </c:pt>
              </c:strCache>
            </c:strRef>
          </c:tx>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Analysis!$B$4:$AC$4</c:f>
              <c:numCache>
                <c:formatCode>General</c:formatCode>
                <c:ptCount val="28"/>
                <c:pt idx="0">
                  <c:v>39</c:v>
                </c:pt>
                <c:pt idx="1">
                  <c:v>44.9</c:v>
                </c:pt>
                <c:pt idx="2">
                  <c:v>41.3</c:v>
                </c:pt>
                <c:pt idx="3">
                  <c:v>51.8</c:v>
                </c:pt>
                <c:pt idx="4">
                  <c:v>55</c:v>
                </c:pt>
                <c:pt idx="5">
                  <c:v>54.3</c:v>
                </c:pt>
                <c:pt idx="6">
                  <c:v>61.5</c:v>
                </c:pt>
                <c:pt idx="7">
                  <c:v>64.8</c:v>
                </c:pt>
                <c:pt idx="8">
                  <c:v>67.8</c:v>
                </c:pt>
                <c:pt idx="9">
                  <c:v>68.5</c:v>
                </c:pt>
                <c:pt idx="10">
                  <c:v>70.2</c:v>
                </c:pt>
                <c:pt idx="11">
                  <c:v>73.900000000000006</c:v>
                </c:pt>
                <c:pt idx="12">
                  <c:v>76.8</c:v>
                </c:pt>
                <c:pt idx="13">
                  <c:v>75.400000000000006</c:v>
                </c:pt>
                <c:pt idx="14">
                  <c:v>68.8</c:v>
                </c:pt>
                <c:pt idx="15">
                  <c:v>67.8</c:v>
                </c:pt>
                <c:pt idx="16">
                  <c:v>62.9</c:v>
                </c:pt>
                <c:pt idx="17">
                  <c:v>57.6</c:v>
                </c:pt>
                <c:pt idx="18">
                  <c:v>60.2</c:v>
                </c:pt>
                <c:pt idx="19">
                  <c:v>56.3</c:v>
                </c:pt>
                <c:pt idx="20">
                  <c:v>45.6</c:v>
                </c:pt>
                <c:pt idx="21">
                  <c:v>38.5</c:v>
                </c:pt>
                <c:pt idx="22">
                  <c:v>37.200000000000003</c:v>
                </c:pt>
                <c:pt idx="23">
                  <c:v>35.1</c:v>
                </c:pt>
                <c:pt idx="24">
                  <c:v>31.9</c:v>
                </c:pt>
                <c:pt idx="25">
                  <c:v>27</c:v>
                </c:pt>
                <c:pt idx="26">
                  <c:v>22.2</c:v>
                </c:pt>
                <c:pt idx="27">
                  <c:v>19.399999999999999</c:v>
                </c:pt>
              </c:numCache>
            </c:numRef>
          </c:val>
        </c:ser>
        <c:ser>
          <c:idx val="2"/>
          <c:order val="2"/>
          <c:tx>
            <c:strRef>
              <c:f>Analysis!$A$5</c:f>
              <c:strCache>
                <c:ptCount val="1"/>
                <c:pt idx="0">
                  <c:v>SPL Difference</c:v>
                </c:pt>
              </c:strCache>
            </c:strRef>
          </c:tx>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Analysis!$B$5:$AC$5</c:f>
              <c:numCache>
                <c:formatCode>General</c:formatCode>
                <c:ptCount val="28"/>
                <c:pt idx="0">
                  <c:v>3.8999999999999977</c:v>
                </c:pt>
                <c:pt idx="1">
                  <c:v>1.1000000000000021</c:v>
                </c:pt>
                <c:pt idx="2">
                  <c:v>5.6000000000000005</c:v>
                </c:pt>
                <c:pt idx="3">
                  <c:v>6</c:v>
                </c:pt>
                <c:pt idx="4">
                  <c:v>6.7000000000000028</c:v>
                </c:pt>
                <c:pt idx="5">
                  <c:v>6</c:v>
                </c:pt>
                <c:pt idx="6">
                  <c:v>5</c:v>
                </c:pt>
                <c:pt idx="7">
                  <c:v>3.7000000000000042</c:v>
                </c:pt>
                <c:pt idx="8">
                  <c:v>4.2999999999999972</c:v>
                </c:pt>
                <c:pt idx="9">
                  <c:v>5.0999999999999943</c:v>
                </c:pt>
                <c:pt idx="10">
                  <c:v>5</c:v>
                </c:pt>
                <c:pt idx="11">
                  <c:v>6.6999999999999886</c:v>
                </c:pt>
                <c:pt idx="12">
                  <c:v>7.9000000000000083</c:v>
                </c:pt>
                <c:pt idx="13">
                  <c:v>7.8999999999999915</c:v>
                </c:pt>
                <c:pt idx="14">
                  <c:v>9</c:v>
                </c:pt>
                <c:pt idx="15">
                  <c:v>9.6000000000000085</c:v>
                </c:pt>
                <c:pt idx="16">
                  <c:v>9.7000000000000011</c:v>
                </c:pt>
                <c:pt idx="17">
                  <c:v>10.500000000000002</c:v>
                </c:pt>
                <c:pt idx="18">
                  <c:v>13</c:v>
                </c:pt>
                <c:pt idx="19">
                  <c:v>13.600000000000009</c:v>
                </c:pt>
                <c:pt idx="20">
                  <c:v>13</c:v>
                </c:pt>
                <c:pt idx="21">
                  <c:v>10.3</c:v>
                </c:pt>
                <c:pt idx="22">
                  <c:v>10.3</c:v>
                </c:pt>
                <c:pt idx="23">
                  <c:v>9.8000000000000025</c:v>
                </c:pt>
                <c:pt idx="24">
                  <c:v>7.8999999999999986</c:v>
                </c:pt>
                <c:pt idx="25">
                  <c:v>7.3999999999999986</c:v>
                </c:pt>
                <c:pt idx="26">
                  <c:v>8.2000000000000011</c:v>
                </c:pt>
                <c:pt idx="27">
                  <c:v>9.4000000000000021</c:v>
                </c:pt>
              </c:numCache>
            </c:numRef>
          </c:val>
        </c:ser>
        <c:marker val="1"/>
        <c:axId val="70842624"/>
        <c:axId val="72288128"/>
      </c:lineChart>
      <c:catAx>
        <c:axId val="70842624"/>
        <c:scaling>
          <c:orientation val="minMax"/>
        </c:scaling>
        <c:axPos val="b"/>
        <c:title>
          <c:tx>
            <c:rich>
              <a:bodyPr/>
              <a:lstStyle/>
              <a:p>
                <a:pPr>
                  <a:defRPr sz="1000"/>
                </a:pPr>
                <a:r>
                  <a:rPr lang="en-US" sz="1000"/>
                  <a:t>Frequency (Hz)</a:t>
                </a:r>
              </a:p>
            </c:rich>
          </c:tx>
        </c:title>
        <c:majorTickMark val="none"/>
        <c:tickLblPos val="nextTo"/>
        <c:txPr>
          <a:bodyPr/>
          <a:lstStyle/>
          <a:p>
            <a:pPr>
              <a:defRPr sz="1000"/>
            </a:pPr>
            <a:endParaRPr lang="en-US"/>
          </a:p>
        </c:txPr>
        <c:crossAx val="72288128"/>
        <c:crosses val="autoZero"/>
        <c:auto val="1"/>
        <c:lblAlgn val="ctr"/>
        <c:lblOffset val="100"/>
      </c:catAx>
      <c:valAx>
        <c:axId val="72288128"/>
        <c:scaling>
          <c:orientation val="minMax"/>
        </c:scaling>
        <c:axPos val="l"/>
        <c:majorGridlines/>
        <c:title>
          <c:tx>
            <c:rich>
              <a:bodyPr/>
              <a:lstStyle/>
              <a:p>
                <a:pPr>
                  <a:defRPr sz="1000"/>
                </a:pPr>
                <a:r>
                  <a:rPr lang="en-US" sz="1000"/>
                  <a:t>Sound pressure level (dB)</a:t>
                </a:r>
              </a:p>
            </c:rich>
          </c:tx>
        </c:title>
        <c:numFmt formatCode="General" sourceLinked="1"/>
        <c:tickLblPos val="nextTo"/>
        <c:txPr>
          <a:bodyPr/>
          <a:lstStyle/>
          <a:p>
            <a:pPr>
              <a:defRPr sz="1050"/>
            </a:pPr>
            <a:endParaRPr lang="en-US"/>
          </a:p>
        </c:txPr>
        <c:crossAx val="70842624"/>
        <c:crosses val="autoZero"/>
        <c:crossBetween val="between"/>
      </c:valAx>
    </c:plotArea>
    <c:legend>
      <c:legendPos val="r"/>
      <c:txPr>
        <a:bodyPr/>
        <a:lstStyle/>
        <a:p>
          <a:pPr>
            <a:defRPr sz="1050"/>
          </a:pPr>
          <a:endParaRPr lang="en-US"/>
        </a:p>
      </c:txPr>
    </c:legend>
    <c:plotVisOnly val="1"/>
  </c:chart>
  <c:spPr>
    <a:ln>
      <a:noFill/>
    </a:ln>
  </c:spPr>
  <c:txPr>
    <a:bodyPr/>
    <a:lstStyle/>
    <a:p>
      <a:pPr>
        <a:defRPr sz="1400"/>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lrMapOvr bg1="lt1" tx1="dk1" bg2="lt2" tx2="dk2" accent1="accent1" accent2="accent2" accent3="accent3" accent4="accent4" accent5="accent5" accent6="accent6" hlink="hlink" folHlink="folHlink"/>
  <c:chart>
    <c:plotArea>
      <c:layout>
        <c:manualLayout>
          <c:layoutTarget val="inner"/>
          <c:xMode val="edge"/>
          <c:yMode val="edge"/>
          <c:x val="0.13195517378648144"/>
          <c:y val="5.0502139179820812E-2"/>
          <c:w val="0.52199254257498862"/>
          <c:h val="0.62103478031759463"/>
        </c:manualLayout>
      </c:layout>
      <c:lineChart>
        <c:grouping val="standard"/>
        <c:ser>
          <c:idx val="2"/>
          <c:order val="0"/>
          <c:tx>
            <c:strRef>
              <c:f>Analysis!$A$5</c:f>
              <c:strCache>
                <c:ptCount val="1"/>
                <c:pt idx="0">
                  <c:v>SPL Difference</c:v>
                </c:pt>
              </c:strCache>
            </c:strRef>
          </c:tx>
          <c:spPr>
            <a:ln>
              <a:solidFill>
                <a:schemeClr val="tx1"/>
              </a:solidFill>
            </a:ln>
          </c:spPr>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Analysis!$B$5:$AC$5</c:f>
              <c:numCache>
                <c:formatCode>General</c:formatCode>
                <c:ptCount val="28"/>
                <c:pt idx="0">
                  <c:v>3.8999999999999977</c:v>
                </c:pt>
                <c:pt idx="1">
                  <c:v>1.1000000000000021</c:v>
                </c:pt>
                <c:pt idx="2">
                  <c:v>5.6000000000000005</c:v>
                </c:pt>
                <c:pt idx="3">
                  <c:v>6</c:v>
                </c:pt>
                <c:pt idx="4">
                  <c:v>6.7000000000000028</c:v>
                </c:pt>
                <c:pt idx="5">
                  <c:v>6</c:v>
                </c:pt>
                <c:pt idx="6">
                  <c:v>5</c:v>
                </c:pt>
                <c:pt idx="7">
                  <c:v>3.7000000000000042</c:v>
                </c:pt>
                <c:pt idx="8">
                  <c:v>4.2999999999999972</c:v>
                </c:pt>
                <c:pt idx="9">
                  <c:v>5.0999999999999943</c:v>
                </c:pt>
                <c:pt idx="10">
                  <c:v>5</c:v>
                </c:pt>
                <c:pt idx="11">
                  <c:v>6.6999999999999886</c:v>
                </c:pt>
                <c:pt idx="12">
                  <c:v>7.9000000000000083</c:v>
                </c:pt>
                <c:pt idx="13">
                  <c:v>7.8999999999999915</c:v>
                </c:pt>
                <c:pt idx="14">
                  <c:v>9</c:v>
                </c:pt>
                <c:pt idx="15">
                  <c:v>9.6000000000000085</c:v>
                </c:pt>
                <c:pt idx="16">
                  <c:v>9.7000000000000011</c:v>
                </c:pt>
                <c:pt idx="17">
                  <c:v>10.500000000000002</c:v>
                </c:pt>
                <c:pt idx="18">
                  <c:v>13</c:v>
                </c:pt>
                <c:pt idx="19">
                  <c:v>13.600000000000009</c:v>
                </c:pt>
                <c:pt idx="20">
                  <c:v>13</c:v>
                </c:pt>
                <c:pt idx="21">
                  <c:v>10.3</c:v>
                </c:pt>
                <c:pt idx="22">
                  <c:v>10.3</c:v>
                </c:pt>
                <c:pt idx="23">
                  <c:v>9.8000000000000025</c:v>
                </c:pt>
                <c:pt idx="24">
                  <c:v>7.8999999999999986</c:v>
                </c:pt>
                <c:pt idx="25">
                  <c:v>7.3999999999999986</c:v>
                </c:pt>
                <c:pt idx="26">
                  <c:v>8.2000000000000011</c:v>
                </c:pt>
                <c:pt idx="27">
                  <c:v>9.4000000000000021</c:v>
                </c:pt>
              </c:numCache>
            </c:numRef>
          </c:val>
        </c:ser>
        <c:ser>
          <c:idx val="3"/>
          <c:order val="1"/>
          <c:tx>
            <c:strRef>
              <c:f>Analysis!$A$6</c:f>
              <c:strCache>
                <c:ptCount val="1"/>
                <c:pt idx="0">
                  <c:v>C weighting normalised to 10 dB loudness decrease</c:v>
                </c:pt>
              </c:strCache>
            </c:strRef>
          </c:tx>
          <c:spPr>
            <a:ln>
              <a:solidFill>
                <a:srgbClr val="FFC000"/>
              </a:solidFill>
            </a:ln>
          </c:spPr>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Analysis!$B$6:$AC$6</c:f>
              <c:numCache>
                <c:formatCode>General</c:formatCode>
                <c:ptCount val="28"/>
                <c:pt idx="0">
                  <c:v>8</c:v>
                </c:pt>
                <c:pt idx="1">
                  <c:v>8.7000000000000011</c:v>
                </c:pt>
                <c:pt idx="2">
                  <c:v>9.2000000000000011</c:v>
                </c:pt>
                <c:pt idx="3">
                  <c:v>9.7000000000000011</c:v>
                </c:pt>
                <c:pt idx="4">
                  <c:v>9.8000000000000007</c:v>
                </c:pt>
                <c:pt idx="5">
                  <c:v>9.9</c:v>
                </c:pt>
                <c:pt idx="6">
                  <c:v>10</c:v>
                </c:pt>
                <c:pt idx="7">
                  <c:v>10</c:v>
                </c:pt>
                <c:pt idx="8">
                  <c:v>10</c:v>
                </c:pt>
                <c:pt idx="9">
                  <c:v>10</c:v>
                </c:pt>
                <c:pt idx="10">
                  <c:v>10</c:v>
                </c:pt>
                <c:pt idx="11">
                  <c:v>10</c:v>
                </c:pt>
                <c:pt idx="12">
                  <c:v>10</c:v>
                </c:pt>
                <c:pt idx="13">
                  <c:v>10</c:v>
                </c:pt>
                <c:pt idx="14">
                  <c:v>10</c:v>
                </c:pt>
                <c:pt idx="15">
                  <c:v>10</c:v>
                </c:pt>
                <c:pt idx="16">
                  <c:v>9.9</c:v>
                </c:pt>
                <c:pt idx="17">
                  <c:v>9.8000000000000007</c:v>
                </c:pt>
                <c:pt idx="18">
                  <c:v>9.7000000000000011</c:v>
                </c:pt>
                <c:pt idx="19">
                  <c:v>9.5</c:v>
                </c:pt>
                <c:pt idx="20">
                  <c:v>9.2000000000000011</c:v>
                </c:pt>
                <c:pt idx="21">
                  <c:v>8.7000000000000011</c:v>
                </c:pt>
                <c:pt idx="22">
                  <c:v>8</c:v>
                </c:pt>
                <c:pt idx="23">
                  <c:v>7</c:v>
                </c:pt>
                <c:pt idx="24">
                  <c:v>5.6</c:v>
                </c:pt>
                <c:pt idx="25">
                  <c:v>3.8</c:v>
                </c:pt>
                <c:pt idx="26">
                  <c:v>1.5</c:v>
                </c:pt>
                <c:pt idx="27">
                  <c:v>-1.2</c:v>
                </c:pt>
              </c:numCache>
            </c:numRef>
          </c:val>
        </c:ser>
        <c:ser>
          <c:idx val="4"/>
          <c:order val="2"/>
          <c:tx>
            <c:strRef>
              <c:f>Analysis!$A$7</c:f>
              <c:strCache>
                <c:ptCount val="1"/>
                <c:pt idx="0">
                  <c:v>B weighting n normalised to 10 dB loudness decrease </c:v>
                </c:pt>
              </c:strCache>
            </c:strRef>
          </c:tx>
          <c:spPr>
            <a:ln>
              <a:solidFill>
                <a:srgbClr val="7030A0"/>
              </a:solidFill>
            </a:ln>
          </c:spPr>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Analysis!$B$7:$AC$7</c:f>
              <c:numCache>
                <c:formatCode>General</c:formatCode>
                <c:ptCount val="28"/>
                <c:pt idx="0">
                  <c:v>-4.2</c:v>
                </c:pt>
                <c:pt idx="1">
                  <c:v>-1.6</c:v>
                </c:pt>
                <c:pt idx="2">
                  <c:v>0.70000000000000062</c:v>
                </c:pt>
                <c:pt idx="3">
                  <c:v>2.6</c:v>
                </c:pt>
                <c:pt idx="4">
                  <c:v>4.5999999999999996</c:v>
                </c:pt>
                <c:pt idx="5">
                  <c:v>5.8</c:v>
                </c:pt>
                <c:pt idx="6">
                  <c:v>7</c:v>
                </c:pt>
                <c:pt idx="7">
                  <c:v>8</c:v>
                </c:pt>
                <c:pt idx="8">
                  <c:v>8.7000000000000011</c:v>
                </c:pt>
                <c:pt idx="9">
                  <c:v>9.2000000000000011</c:v>
                </c:pt>
                <c:pt idx="10">
                  <c:v>9.5</c:v>
                </c:pt>
                <c:pt idx="11">
                  <c:v>9.7000000000000011</c:v>
                </c:pt>
                <c:pt idx="12">
                  <c:v>9.9</c:v>
                </c:pt>
                <c:pt idx="13">
                  <c:v>10</c:v>
                </c:pt>
                <c:pt idx="14">
                  <c:v>10</c:v>
                </c:pt>
                <c:pt idx="15">
                  <c:v>10</c:v>
                </c:pt>
                <c:pt idx="16">
                  <c:v>10</c:v>
                </c:pt>
                <c:pt idx="17">
                  <c:v>9.9</c:v>
                </c:pt>
                <c:pt idx="18">
                  <c:v>9.8000000000000007</c:v>
                </c:pt>
                <c:pt idx="19">
                  <c:v>9.6</c:v>
                </c:pt>
                <c:pt idx="20">
                  <c:v>9.3000000000000007</c:v>
                </c:pt>
                <c:pt idx="21">
                  <c:v>8.8000000000000007</c:v>
                </c:pt>
                <c:pt idx="22">
                  <c:v>8.1</c:v>
                </c:pt>
                <c:pt idx="23">
                  <c:v>7.1</c:v>
                </c:pt>
                <c:pt idx="24">
                  <c:v>5.7</c:v>
                </c:pt>
                <c:pt idx="25">
                  <c:v>3.9</c:v>
                </c:pt>
                <c:pt idx="26">
                  <c:v>1.6</c:v>
                </c:pt>
                <c:pt idx="27">
                  <c:v>-1.1000000000000001</c:v>
                </c:pt>
              </c:numCache>
            </c:numRef>
          </c:val>
        </c:ser>
        <c:ser>
          <c:idx val="6"/>
          <c:order val="3"/>
          <c:tx>
            <c:strRef>
              <c:f>Analysis!$A$9</c:f>
              <c:strCache>
                <c:ptCount val="1"/>
                <c:pt idx="0">
                  <c:v>Loudness 90 Phon</c:v>
                </c:pt>
              </c:strCache>
            </c:strRef>
          </c:tx>
          <c:spPr>
            <a:ln>
              <a:solidFill>
                <a:srgbClr val="00B050"/>
              </a:solidFill>
            </a:ln>
          </c:spPr>
          <c:marker>
            <c:symbol val="none"/>
          </c:marker>
          <c:cat>
            <c:strRef>
              <c:f>Analysis!$B$2:$AC$2</c:f>
              <c:strCache>
                <c:ptCount val="28"/>
                <c:pt idx="0">
                  <c:v>40 Hz</c:v>
                </c:pt>
                <c:pt idx="1">
                  <c:v>50 Hz</c:v>
                </c:pt>
                <c:pt idx="2">
                  <c:v>63 Hz</c:v>
                </c:pt>
                <c:pt idx="3">
                  <c:v>80 Hz</c:v>
                </c:pt>
                <c:pt idx="4">
                  <c:v>100 Hz</c:v>
                </c:pt>
                <c:pt idx="5">
                  <c:v>125 Hz</c:v>
                </c:pt>
                <c:pt idx="6">
                  <c:v>160 Hz</c:v>
                </c:pt>
                <c:pt idx="7">
                  <c:v>200 Hz</c:v>
                </c:pt>
                <c:pt idx="8">
                  <c:v>250 Hz</c:v>
                </c:pt>
                <c:pt idx="9">
                  <c:v>315 Hz</c:v>
                </c:pt>
                <c:pt idx="10">
                  <c:v>400 Hz</c:v>
                </c:pt>
                <c:pt idx="11">
                  <c:v>500 Hz</c:v>
                </c:pt>
                <c:pt idx="12">
                  <c:v>630 Hz</c:v>
                </c:pt>
                <c:pt idx="13">
                  <c:v>800 Hz</c:v>
                </c:pt>
                <c:pt idx="14">
                  <c:v>1.0 kHz</c:v>
                </c:pt>
                <c:pt idx="15">
                  <c:v>1.25 kHz</c:v>
                </c:pt>
                <c:pt idx="16">
                  <c:v>1.6 kHz</c:v>
                </c:pt>
                <c:pt idx="17">
                  <c:v>2.0 kHz</c:v>
                </c:pt>
                <c:pt idx="18">
                  <c:v>2.5 kHz</c:v>
                </c:pt>
                <c:pt idx="19">
                  <c:v>3.15 kHz</c:v>
                </c:pt>
                <c:pt idx="20">
                  <c:v>4.0 kHz</c:v>
                </c:pt>
                <c:pt idx="21">
                  <c:v>5.0 kHz</c:v>
                </c:pt>
                <c:pt idx="22">
                  <c:v>6.3 kHz</c:v>
                </c:pt>
                <c:pt idx="23">
                  <c:v>8.0 kHz</c:v>
                </c:pt>
                <c:pt idx="24">
                  <c:v>10.0 kHz</c:v>
                </c:pt>
                <c:pt idx="25">
                  <c:v>12.5 kHz</c:v>
                </c:pt>
                <c:pt idx="26">
                  <c:v>16.0 kHz</c:v>
                </c:pt>
                <c:pt idx="27">
                  <c:v>20.0 kHz</c:v>
                </c:pt>
              </c:strCache>
            </c:strRef>
          </c:cat>
          <c:val>
            <c:numRef>
              <c:f>Analysis!$B$9:$AC$9</c:f>
              <c:numCache>
                <c:formatCode>General</c:formatCode>
                <c:ptCount val="28"/>
                <c:pt idx="0">
                  <c:v>-5</c:v>
                </c:pt>
                <c:pt idx="1">
                  <c:v>-3</c:v>
                </c:pt>
                <c:pt idx="2">
                  <c:v>0</c:v>
                </c:pt>
                <c:pt idx="3">
                  <c:v>2</c:v>
                </c:pt>
                <c:pt idx="4">
                  <c:v>5</c:v>
                </c:pt>
                <c:pt idx="5">
                  <c:v>7</c:v>
                </c:pt>
                <c:pt idx="6">
                  <c:v>8</c:v>
                </c:pt>
                <c:pt idx="7">
                  <c:v>9.75</c:v>
                </c:pt>
                <c:pt idx="8">
                  <c:v>11.25</c:v>
                </c:pt>
                <c:pt idx="9">
                  <c:v>12</c:v>
                </c:pt>
                <c:pt idx="10">
                  <c:v>12</c:v>
                </c:pt>
                <c:pt idx="11">
                  <c:v>12</c:v>
                </c:pt>
                <c:pt idx="12">
                  <c:v>11</c:v>
                </c:pt>
                <c:pt idx="13">
                  <c:v>10.5</c:v>
                </c:pt>
                <c:pt idx="14">
                  <c:v>10</c:v>
                </c:pt>
                <c:pt idx="15">
                  <c:v>10</c:v>
                </c:pt>
                <c:pt idx="16">
                  <c:v>11</c:v>
                </c:pt>
                <c:pt idx="17">
                  <c:v>13.5</c:v>
                </c:pt>
                <c:pt idx="18">
                  <c:v>16</c:v>
                </c:pt>
                <c:pt idx="19">
                  <c:v>19</c:v>
                </c:pt>
                <c:pt idx="20">
                  <c:v>20</c:v>
                </c:pt>
                <c:pt idx="21">
                  <c:v>17</c:v>
                </c:pt>
                <c:pt idx="22">
                  <c:v>10</c:v>
                </c:pt>
                <c:pt idx="23">
                  <c:v>5</c:v>
                </c:pt>
                <c:pt idx="24">
                  <c:v>6</c:v>
                </c:pt>
                <c:pt idx="25">
                  <c:v>10</c:v>
                </c:pt>
                <c:pt idx="26">
                  <c:v>11</c:v>
                </c:pt>
                <c:pt idx="27">
                  <c:v>10</c:v>
                </c:pt>
              </c:numCache>
            </c:numRef>
          </c:val>
        </c:ser>
        <c:marker val="1"/>
        <c:axId val="73064832"/>
        <c:axId val="77246848"/>
      </c:lineChart>
      <c:catAx>
        <c:axId val="73064832"/>
        <c:scaling>
          <c:orientation val="minMax"/>
        </c:scaling>
        <c:axPos val="b"/>
        <c:title>
          <c:tx>
            <c:rich>
              <a:bodyPr/>
              <a:lstStyle/>
              <a:p>
                <a:pPr>
                  <a:defRPr sz="1000"/>
                </a:pPr>
                <a:r>
                  <a:rPr lang="en-US" sz="1000"/>
                  <a:t>Frequency (Hz)</a:t>
                </a:r>
              </a:p>
            </c:rich>
          </c:tx>
        </c:title>
        <c:majorTickMark val="none"/>
        <c:tickLblPos val="nextTo"/>
        <c:txPr>
          <a:bodyPr/>
          <a:lstStyle/>
          <a:p>
            <a:pPr>
              <a:defRPr sz="1000"/>
            </a:pPr>
            <a:endParaRPr lang="en-US"/>
          </a:p>
        </c:txPr>
        <c:crossAx val="77246848"/>
        <c:crossesAt val="-10"/>
        <c:auto val="1"/>
        <c:lblAlgn val="ctr"/>
        <c:lblOffset val="100"/>
      </c:catAx>
      <c:valAx>
        <c:axId val="77246848"/>
        <c:scaling>
          <c:orientation val="minMax"/>
        </c:scaling>
        <c:axPos val="l"/>
        <c:majorGridlines/>
        <c:title>
          <c:tx>
            <c:rich>
              <a:bodyPr/>
              <a:lstStyle/>
              <a:p>
                <a:pPr>
                  <a:defRPr sz="1000"/>
                </a:pPr>
                <a:r>
                  <a:rPr lang="en-US" sz="1000"/>
                  <a:t>Sound pressure level (dB)</a:t>
                </a:r>
              </a:p>
            </c:rich>
          </c:tx>
        </c:title>
        <c:numFmt formatCode="General" sourceLinked="1"/>
        <c:tickLblPos val="nextTo"/>
        <c:txPr>
          <a:bodyPr/>
          <a:lstStyle/>
          <a:p>
            <a:pPr>
              <a:defRPr sz="1050"/>
            </a:pPr>
            <a:endParaRPr lang="en-US"/>
          </a:p>
        </c:txPr>
        <c:crossAx val="73064832"/>
        <c:crosses val="autoZero"/>
        <c:crossBetween val="between"/>
      </c:valAx>
      <c:spPr>
        <a:ln>
          <a:solidFill>
            <a:srgbClr val="00B050"/>
          </a:solidFill>
        </a:ln>
      </c:spPr>
    </c:plotArea>
    <c:legend>
      <c:legendPos val="r"/>
      <c:layout>
        <c:manualLayout>
          <c:xMode val="edge"/>
          <c:yMode val="edge"/>
          <c:x val="0.66002757327467798"/>
          <c:y val="0.16907187895127912"/>
          <c:w val="0.33997241162029912"/>
          <c:h val="0.55562913076390164"/>
        </c:manualLayout>
      </c:layout>
      <c:txPr>
        <a:bodyPr/>
        <a:lstStyle/>
        <a:p>
          <a:pPr>
            <a:defRPr sz="1050"/>
          </a:pPr>
          <a:endParaRPr lang="en-US"/>
        </a:p>
      </c:txPr>
    </c:legend>
    <c:plotVisOnly val="1"/>
  </c:chart>
  <c:spPr>
    <a:ln>
      <a:noFill/>
    </a:ln>
  </c:spPr>
  <c:txPr>
    <a:bodyPr/>
    <a:lstStyle/>
    <a:p>
      <a:pPr>
        <a:defRPr sz="1400"/>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8</Pages>
  <Words>2333</Words>
  <Characters>13304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Sarah</cp:lastModifiedBy>
  <cp:revision>2</cp:revision>
  <dcterms:created xsi:type="dcterms:W3CDTF">2018-02-25T11:08:00Z</dcterms:created>
  <dcterms:modified xsi:type="dcterms:W3CDTF">2018-02-25T11:08:00Z</dcterms:modified>
</cp:coreProperties>
</file>