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A06F" w14:textId="316A2F10" w:rsidR="00536006" w:rsidRPr="00C827B9" w:rsidRDefault="001930D4" w:rsidP="00536006">
      <w:pPr>
        <w:spacing w:after="0"/>
        <w:rPr>
          <w:b/>
        </w:rPr>
      </w:pPr>
      <w:r w:rsidRPr="00C827B9">
        <w:rPr>
          <w:b/>
          <w:lang w:val="en-US"/>
        </w:rPr>
        <w:t xml:space="preserve">Retention of gait stability improvements over 1.5 </w:t>
      </w:r>
      <w:r w:rsidR="002A7328" w:rsidRPr="00C827B9">
        <w:rPr>
          <w:b/>
          <w:lang w:val="en-US"/>
        </w:rPr>
        <w:t>y</w:t>
      </w:r>
      <w:r w:rsidR="000869B9" w:rsidRPr="00C827B9">
        <w:rPr>
          <w:b/>
          <w:lang w:val="en-US"/>
        </w:rPr>
        <w:t>ea</w:t>
      </w:r>
      <w:r w:rsidR="002A7328" w:rsidRPr="00C827B9">
        <w:rPr>
          <w:b/>
          <w:lang w:val="en-US"/>
        </w:rPr>
        <w:t>rs</w:t>
      </w:r>
      <w:r w:rsidRPr="00C827B9">
        <w:rPr>
          <w:b/>
          <w:lang w:val="en-US"/>
        </w:rPr>
        <w:t xml:space="preserve"> in older adults: effects of perturbation exposure and triceps sura</w:t>
      </w:r>
      <w:r w:rsidRPr="0098792F">
        <w:rPr>
          <w:b/>
          <w:color w:val="000000" w:themeColor="text1"/>
          <w:lang w:val="en-US"/>
        </w:rPr>
        <w:t xml:space="preserve">e </w:t>
      </w:r>
      <w:r w:rsidR="002670D4" w:rsidRPr="0098792F">
        <w:rPr>
          <w:b/>
          <w:color w:val="000000" w:themeColor="text1"/>
          <w:lang w:val="en-US"/>
        </w:rPr>
        <w:t xml:space="preserve">neuromuscular </w:t>
      </w:r>
      <w:r w:rsidRPr="0098792F">
        <w:rPr>
          <w:b/>
          <w:color w:val="000000" w:themeColor="text1"/>
          <w:lang w:val="en-US"/>
        </w:rPr>
        <w:t>exe</w:t>
      </w:r>
      <w:r w:rsidRPr="00C827B9">
        <w:rPr>
          <w:b/>
          <w:lang w:val="en-US"/>
        </w:rPr>
        <w:t>rcise</w:t>
      </w:r>
    </w:p>
    <w:p w14:paraId="673FB27D" w14:textId="77777777" w:rsidR="00536006" w:rsidRPr="00C827B9" w:rsidRDefault="00536006" w:rsidP="00536006">
      <w:pPr>
        <w:spacing w:after="0"/>
        <w:jc w:val="both"/>
        <w:rPr>
          <w:b/>
          <w:lang w:val="en-US"/>
        </w:rPr>
      </w:pPr>
    </w:p>
    <w:p w14:paraId="11AF6278" w14:textId="77777777" w:rsidR="00536006" w:rsidRPr="00C827B9" w:rsidRDefault="00536006" w:rsidP="00536006">
      <w:pPr>
        <w:pStyle w:val="Default"/>
        <w:spacing w:line="480" w:lineRule="auto"/>
        <w:rPr>
          <w:rFonts w:ascii="Times New Roman" w:hAnsi="Times New Roman" w:cs="Times New Roman"/>
          <w:lang w:val="de-DE"/>
        </w:rPr>
      </w:pPr>
      <w:r w:rsidRPr="00C827B9">
        <w:rPr>
          <w:rFonts w:ascii="Times New Roman" w:hAnsi="Times New Roman" w:cs="Times New Roman"/>
          <w:lang w:val="de-DE"/>
        </w:rPr>
        <w:t>Epro G</w:t>
      </w:r>
      <w:r w:rsidRPr="00C827B9">
        <w:rPr>
          <w:rFonts w:ascii="Times New Roman" w:hAnsi="Times New Roman" w:cs="Times New Roman"/>
          <w:vertAlign w:val="superscript"/>
          <w:lang w:val="de-DE"/>
        </w:rPr>
        <w:t>1,2</w:t>
      </w:r>
      <w:r w:rsidRPr="00C827B9">
        <w:rPr>
          <w:rFonts w:ascii="Times New Roman" w:hAnsi="Times New Roman" w:cs="Times New Roman"/>
          <w:lang w:val="de-DE"/>
        </w:rPr>
        <w:t>, Mierau A</w:t>
      </w:r>
      <w:r w:rsidRPr="00C827B9">
        <w:rPr>
          <w:rFonts w:ascii="Times New Roman" w:hAnsi="Times New Roman" w:cs="Times New Roman"/>
          <w:vertAlign w:val="superscript"/>
          <w:lang w:val="de-DE"/>
        </w:rPr>
        <w:t>3,4</w:t>
      </w:r>
      <w:r w:rsidRPr="00C827B9">
        <w:rPr>
          <w:rFonts w:ascii="Times New Roman" w:hAnsi="Times New Roman" w:cs="Times New Roman"/>
          <w:lang w:val="de-DE"/>
        </w:rPr>
        <w:t>, McCrum C</w:t>
      </w:r>
      <w:r w:rsidRPr="00C827B9">
        <w:rPr>
          <w:rFonts w:ascii="Times New Roman" w:hAnsi="Times New Roman" w:cs="Times New Roman"/>
          <w:vertAlign w:val="superscript"/>
          <w:lang w:val="de-DE"/>
        </w:rPr>
        <w:t>5,6</w:t>
      </w:r>
      <w:r w:rsidRPr="00C827B9">
        <w:rPr>
          <w:rFonts w:ascii="Times New Roman" w:hAnsi="Times New Roman" w:cs="Times New Roman"/>
          <w:lang w:val="de-DE"/>
        </w:rPr>
        <w:t>, Leyendecker M</w:t>
      </w:r>
      <w:r w:rsidRPr="00C827B9">
        <w:rPr>
          <w:rFonts w:ascii="Times New Roman" w:hAnsi="Times New Roman" w:cs="Times New Roman"/>
          <w:vertAlign w:val="superscript"/>
          <w:lang w:val="de-DE"/>
        </w:rPr>
        <w:t>4</w:t>
      </w:r>
      <w:r w:rsidRPr="00C827B9">
        <w:rPr>
          <w:rFonts w:ascii="Times New Roman" w:hAnsi="Times New Roman" w:cs="Times New Roman"/>
          <w:lang w:val="de-DE"/>
        </w:rPr>
        <w:t>, Brüggemann G-P</w:t>
      </w:r>
      <w:r w:rsidRPr="00C827B9">
        <w:rPr>
          <w:rFonts w:ascii="Times New Roman" w:hAnsi="Times New Roman" w:cs="Times New Roman"/>
          <w:vertAlign w:val="superscript"/>
          <w:lang w:val="de-DE"/>
        </w:rPr>
        <w:t>2,7</w:t>
      </w:r>
      <w:r w:rsidRPr="00C827B9">
        <w:rPr>
          <w:rFonts w:ascii="Times New Roman" w:hAnsi="Times New Roman" w:cs="Times New Roman"/>
          <w:lang w:val="de-DE"/>
        </w:rPr>
        <w:t>, Karamanidis K</w:t>
      </w:r>
      <w:r w:rsidRPr="00C827B9">
        <w:rPr>
          <w:rFonts w:ascii="Times New Roman" w:hAnsi="Times New Roman" w:cs="Times New Roman"/>
          <w:vertAlign w:val="superscript"/>
          <w:lang w:val="de-DE"/>
        </w:rPr>
        <w:t>1</w:t>
      </w:r>
    </w:p>
    <w:p w14:paraId="10614F24" w14:textId="77777777" w:rsidR="00536006" w:rsidRPr="00C827B9" w:rsidRDefault="00536006" w:rsidP="002E7ABC">
      <w:pPr>
        <w:spacing w:after="0"/>
        <w:jc w:val="both"/>
        <w:rPr>
          <w:szCs w:val="24"/>
          <w:lang w:val="de-DE"/>
        </w:rPr>
      </w:pPr>
    </w:p>
    <w:p w14:paraId="0025DEBD" w14:textId="473BF414" w:rsidR="00536006" w:rsidRPr="00C827B9" w:rsidRDefault="00536006" w:rsidP="00536006">
      <w:pPr>
        <w:spacing w:after="0"/>
        <w:jc w:val="both"/>
        <w:rPr>
          <w:szCs w:val="24"/>
          <w:lang w:val="en-US"/>
        </w:rPr>
      </w:pPr>
      <w:r w:rsidRPr="00C827B9">
        <w:rPr>
          <w:szCs w:val="24"/>
          <w:vertAlign w:val="superscript"/>
          <w:lang w:val="en-US"/>
        </w:rPr>
        <w:t>1</w:t>
      </w:r>
      <w:r w:rsidRPr="00C827B9">
        <w:rPr>
          <w:szCs w:val="24"/>
          <w:lang w:val="en-US"/>
        </w:rPr>
        <w:t>Sport and Exercise Science Research Centre, School of Applied Sciences, London South Bank</w:t>
      </w:r>
      <w:r w:rsidR="00475EA2" w:rsidRPr="00C827B9">
        <w:rPr>
          <w:szCs w:val="24"/>
          <w:lang w:val="en-US"/>
        </w:rPr>
        <w:t xml:space="preserve"> </w:t>
      </w:r>
      <w:r w:rsidRPr="00C827B9">
        <w:rPr>
          <w:szCs w:val="24"/>
          <w:lang w:val="en-US"/>
        </w:rPr>
        <w:t xml:space="preserve">University, United Kingdom; </w:t>
      </w:r>
      <w:r w:rsidRPr="00C827B9">
        <w:rPr>
          <w:szCs w:val="24"/>
          <w:vertAlign w:val="superscript"/>
          <w:lang w:val="en-US"/>
        </w:rPr>
        <w:t>2</w:t>
      </w:r>
      <w:r w:rsidRPr="00C827B9">
        <w:rPr>
          <w:szCs w:val="24"/>
          <w:lang w:val="en-US"/>
        </w:rPr>
        <w:t>Institute of Biomechanics and Orthopaedics, German Sport University Cologne, Germany;</w:t>
      </w:r>
      <w:r w:rsidRPr="00C827B9">
        <w:rPr>
          <w:szCs w:val="24"/>
          <w:vertAlign w:val="superscript"/>
          <w:lang w:val="en-US"/>
        </w:rPr>
        <w:t xml:space="preserve"> 3</w:t>
      </w:r>
      <w:r w:rsidRPr="00C827B9">
        <w:rPr>
          <w:szCs w:val="24"/>
          <w:lang w:val="en-US"/>
        </w:rPr>
        <w:t xml:space="preserve">Institute of Movement and Neurosciences, German Sport University Cologne, Germany; </w:t>
      </w:r>
      <w:r w:rsidRPr="00C827B9">
        <w:rPr>
          <w:szCs w:val="24"/>
          <w:vertAlign w:val="superscript"/>
          <w:lang w:val="en-US"/>
        </w:rPr>
        <w:t>4</w:t>
      </w:r>
      <w:r w:rsidRPr="00C827B9">
        <w:rPr>
          <w:szCs w:val="24"/>
          <w:lang w:val="en-US"/>
        </w:rPr>
        <w:t>Department of Exercise and Sport Science, LUNEX International University of Health, Exercise and Sports, Differdange, Luxembourg;</w:t>
      </w:r>
      <w:r w:rsidRPr="00C827B9">
        <w:rPr>
          <w:szCs w:val="24"/>
          <w:vertAlign w:val="superscript"/>
          <w:lang w:val="en-US"/>
        </w:rPr>
        <w:t xml:space="preserve"> 5</w:t>
      </w:r>
      <w:r w:rsidRPr="00C827B9">
        <w:rPr>
          <w:szCs w:val="24"/>
          <w:lang w:val="en-US"/>
        </w:rPr>
        <w:t xml:space="preserve">NUTRIM School of Nutrition and Translational Research in Metabolism, Maastricht University Medical Centre+, Department of </w:t>
      </w:r>
      <w:r w:rsidR="007810C4">
        <w:rPr>
          <w:szCs w:val="24"/>
          <w:lang w:val="en-US"/>
        </w:rPr>
        <w:t xml:space="preserve">Nutrition and </w:t>
      </w:r>
      <w:r w:rsidRPr="00C827B9">
        <w:rPr>
          <w:szCs w:val="24"/>
          <w:lang w:val="en-US"/>
        </w:rPr>
        <w:t>Movement Science</w:t>
      </w:r>
      <w:r w:rsidR="007810C4">
        <w:rPr>
          <w:szCs w:val="24"/>
          <w:lang w:val="en-US"/>
        </w:rPr>
        <w:t>s</w:t>
      </w:r>
      <w:r w:rsidRPr="00C827B9">
        <w:rPr>
          <w:szCs w:val="24"/>
          <w:lang w:val="en-US"/>
        </w:rPr>
        <w:t xml:space="preserve">, Maastricht, The Netherlands; </w:t>
      </w:r>
      <w:r w:rsidRPr="00C827B9">
        <w:rPr>
          <w:vertAlign w:val="superscript"/>
          <w:lang w:val="en-US"/>
        </w:rPr>
        <w:t>6</w:t>
      </w:r>
      <w:r w:rsidRPr="00C827B9">
        <w:rPr>
          <w:szCs w:val="24"/>
          <w:lang w:val="en-US"/>
        </w:rPr>
        <w:t xml:space="preserve">Institute of Movement and Sport Gerontology, German Sport University Cologne, Germany; </w:t>
      </w:r>
      <w:r w:rsidRPr="00C827B9">
        <w:rPr>
          <w:szCs w:val="24"/>
          <w:vertAlign w:val="superscript"/>
          <w:lang w:val="en-US"/>
        </w:rPr>
        <w:t>7</w:t>
      </w:r>
      <w:r w:rsidRPr="00C827B9">
        <w:rPr>
          <w:szCs w:val="24"/>
          <w:lang w:val="en-US"/>
        </w:rPr>
        <w:t>Cologne Center for Musculoskeletal Biomechanics, Medical Faculty, University of Cologne, Cologne, Germany</w:t>
      </w:r>
    </w:p>
    <w:p w14:paraId="47DEB726" w14:textId="77777777" w:rsidR="00536006" w:rsidRPr="00C827B9" w:rsidRDefault="00536006" w:rsidP="00536006">
      <w:pPr>
        <w:spacing w:after="0"/>
        <w:rPr>
          <w:szCs w:val="24"/>
          <w:lang w:val="en-US"/>
        </w:rPr>
      </w:pPr>
    </w:p>
    <w:p w14:paraId="46251961" w14:textId="77777777" w:rsidR="00536006" w:rsidRPr="00C827B9" w:rsidRDefault="00536006" w:rsidP="00536006">
      <w:pPr>
        <w:spacing w:after="0"/>
        <w:rPr>
          <w:b/>
          <w:szCs w:val="24"/>
          <w:lang w:val="en-US"/>
        </w:rPr>
      </w:pPr>
      <w:r w:rsidRPr="00C827B9">
        <w:rPr>
          <w:b/>
          <w:szCs w:val="24"/>
          <w:lang w:val="en-US"/>
        </w:rPr>
        <w:t>Corresponding Author:</w:t>
      </w:r>
    </w:p>
    <w:p w14:paraId="184B67AC" w14:textId="77777777" w:rsidR="00536006" w:rsidRPr="00C827B9" w:rsidRDefault="00536006" w:rsidP="00536006">
      <w:pPr>
        <w:spacing w:after="0"/>
        <w:rPr>
          <w:szCs w:val="24"/>
          <w:lang w:val="en-US"/>
        </w:rPr>
      </w:pPr>
      <w:r w:rsidRPr="00C827B9">
        <w:rPr>
          <w:szCs w:val="24"/>
          <w:lang w:val="en-US"/>
        </w:rPr>
        <w:t>Gaspar Epro</w:t>
      </w:r>
    </w:p>
    <w:p w14:paraId="1FD4E543" w14:textId="77777777" w:rsidR="00536006" w:rsidRPr="00C827B9" w:rsidRDefault="00536006" w:rsidP="00536006">
      <w:pPr>
        <w:spacing w:after="0"/>
        <w:rPr>
          <w:szCs w:val="24"/>
          <w:lang w:val="en-US"/>
        </w:rPr>
      </w:pPr>
      <w:r w:rsidRPr="00C827B9">
        <w:rPr>
          <w:szCs w:val="24"/>
          <w:lang w:val="en-US"/>
        </w:rPr>
        <w:t>Sport and Exercise Science Research Centre</w:t>
      </w:r>
    </w:p>
    <w:p w14:paraId="456C0286" w14:textId="77777777" w:rsidR="00536006" w:rsidRPr="00C827B9" w:rsidRDefault="00536006" w:rsidP="00536006">
      <w:pPr>
        <w:spacing w:after="0"/>
        <w:rPr>
          <w:szCs w:val="24"/>
          <w:lang w:val="en-US"/>
        </w:rPr>
      </w:pPr>
      <w:r w:rsidRPr="00C827B9">
        <w:rPr>
          <w:szCs w:val="24"/>
          <w:lang w:val="en-US"/>
        </w:rPr>
        <w:t>School of Applied Sciences, London South Bank University</w:t>
      </w:r>
    </w:p>
    <w:p w14:paraId="5BA99795" w14:textId="77777777" w:rsidR="00536006" w:rsidRPr="00C827B9" w:rsidRDefault="00536006" w:rsidP="00536006">
      <w:pPr>
        <w:spacing w:after="0"/>
        <w:rPr>
          <w:szCs w:val="24"/>
          <w:lang w:val="en-US"/>
        </w:rPr>
      </w:pPr>
      <w:r w:rsidRPr="00C827B9">
        <w:rPr>
          <w:szCs w:val="24"/>
          <w:lang w:val="en-US"/>
        </w:rPr>
        <w:t>103 Borough Road, London SE1 0AA, United Kingdom</w:t>
      </w:r>
    </w:p>
    <w:p w14:paraId="14292538" w14:textId="77777777" w:rsidR="00536006" w:rsidRPr="00C827B9" w:rsidRDefault="00536006" w:rsidP="00536006">
      <w:pPr>
        <w:spacing w:after="0"/>
        <w:rPr>
          <w:szCs w:val="24"/>
          <w:lang w:val="de-DE"/>
        </w:rPr>
      </w:pPr>
      <w:r w:rsidRPr="00C827B9">
        <w:rPr>
          <w:szCs w:val="24"/>
          <w:lang w:val="de-DE"/>
        </w:rPr>
        <w:t>E-mail: g.epro@lsbu.ac.uk</w:t>
      </w:r>
    </w:p>
    <w:p w14:paraId="09859303" w14:textId="77777777" w:rsidR="00536006" w:rsidRPr="00C827B9" w:rsidRDefault="00536006" w:rsidP="00536006">
      <w:pPr>
        <w:spacing w:after="0"/>
        <w:rPr>
          <w:szCs w:val="24"/>
          <w:lang w:val="en-US"/>
        </w:rPr>
      </w:pPr>
      <w:r w:rsidRPr="00C827B9">
        <w:rPr>
          <w:szCs w:val="24"/>
          <w:lang w:val="en-US"/>
        </w:rPr>
        <w:t>Tel: +44 20 7815 7935</w:t>
      </w:r>
    </w:p>
    <w:p w14:paraId="6465A05F" w14:textId="46067FF5" w:rsidR="00536006" w:rsidRPr="00C827B9" w:rsidRDefault="00536006" w:rsidP="00536006">
      <w:pPr>
        <w:rPr>
          <w:lang w:val="en-US"/>
        </w:rPr>
      </w:pPr>
      <w:r w:rsidRPr="00C827B9">
        <w:rPr>
          <w:b/>
          <w:lang w:val="en-US"/>
        </w:rPr>
        <w:t>Keywords:</w:t>
      </w:r>
      <w:r w:rsidRPr="00C827B9">
        <w:rPr>
          <w:lang w:val="en-US"/>
        </w:rPr>
        <w:t xml:space="preserve"> aging, margin of stability, muscle strength, tendon stiffness, </w:t>
      </w:r>
      <w:r w:rsidR="00036C31" w:rsidRPr="00036C31">
        <w:rPr>
          <w:lang w:val="en-US"/>
        </w:rPr>
        <w:t>neuromuscular exercise</w:t>
      </w:r>
    </w:p>
    <w:p w14:paraId="29C644E3" w14:textId="77777777" w:rsidR="00536006" w:rsidRPr="00C827B9" w:rsidRDefault="00536006" w:rsidP="00614FE2">
      <w:pPr>
        <w:pStyle w:val="Heading1"/>
        <w:rPr>
          <w:lang w:val="en-US"/>
        </w:rPr>
      </w:pPr>
      <w:r w:rsidRPr="00C827B9">
        <w:rPr>
          <w:lang w:val="en-US"/>
        </w:rPr>
        <w:lastRenderedPageBreak/>
        <w:t>Abstract</w:t>
      </w:r>
    </w:p>
    <w:p w14:paraId="364D9347" w14:textId="59514EE6" w:rsidR="00536006" w:rsidRPr="00C827B9" w:rsidRDefault="00CC1C33" w:rsidP="00B84D2E">
      <w:pPr>
        <w:jc w:val="both"/>
        <w:rPr>
          <w:lang w:val="en-US"/>
        </w:rPr>
      </w:pPr>
      <w:r w:rsidRPr="00C827B9">
        <w:rPr>
          <w:lang w:val="en-US"/>
        </w:rPr>
        <w:t>T</w:t>
      </w:r>
      <w:r w:rsidR="00536006" w:rsidRPr="00C827B9">
        <w:rPr>
          <w:lang w:val="en-US"/>
        </w:rPr>
        <w:t>he plantar</w:t>
      </w:r>
      <w:r w:rsidRPr="00C827B9">
        <w:rPr>
          <w:lang w:val="en-US"/>
        </w:rPr>
        <w:t xml:space="preserve"> </w:t>
      </w:r>
      <w:r w:rsidR="00536006" w:rsidRPr="00C827B9">
        <w:rPr>
          <w:lang w:val="en-US"/>
        </w:rPr>
        <w:t xml:space="preserve">flexors </w:t>
      </w:r>
      <w:r w:rsidR="00DB6575" w:rsidRPr="00C827B9">
        <w:rPr>
          <w:lang w:val="en-US"/>
        </w:rPr>
        <w:t xml:space="preserve">play </w:t>
      </w:r>
      <w:r w:rsidR="00E0738D" w:rsidRPr="00C827B9">
        <w:rPr>
          <w:lang w:val="en-US"/>
        </w:rPr>
        <w:t>a crucial role in</w:t>
      </w:r>
      <w:r w:rsidRPr="00C827B9">
        <w:rPr>
          <w:lang w:val="en-US"/>
        </w:rPr>
        <w:t xml:space="preserve"> recovery from sudden disturbances </w:t>
      </w:r>
      <w:r w:rsidR="00536006" w:rsidRPr="00C827B9">
        <w:rPr>
          <w:lang w:val="en-US"/>
        </w:rPr>
        <w:t xml:space="preserve">to gait. The objective of </w:t>
      </w:r>
      <w:r w:rsidR="0061120E" w:rsidRPr="00C827B9">
        <w:rPr>
          <w:lang w:val="en-US"/>
        </w:rPr>
        <w:t>this</w:t>
      </w:r>
      <w:r w:rsidR="00536006" w:rsidRPr="00C827B9">
        <w:rPr>
          <w:lang w:val="en-US"/>
        </w:rPr>
        <w:t xml:space="preserve"> study was to </w:t>
      </w:r>
      <w:r w:rsidR="00536006" w:rsidRPr="0091662D">
        <w:rPr>
          <w:color w:val="000000" w:themeColor="text1"/>
          <w:lang w:val="en-US"/>
        </w:rPr>
        <w:t>investigate whether medium (months) or long-term (years) exercise</w:t>
      </w:r>
      <w:r w:rsidR="00C34D00" w:rsidRPr="0091662D">
        <w:rPr>
          <w:color w:val="000000" w:themeColor="text1"/>
          <w:lang w:val="en-US"/>
        </w:rPr>
        <w:t>-</w:t>
      </w:r>
      <w:r w:rsidR="000F1E29" w:rsidRPr="0091662D">
        <w:rPr>
          <w:color w:val="000000" w:themeColor="text1"/>
          <w:lang w:val="en-US"/>
        </w:rPr>
        <w:t>induced enhancement of</w:t>
      </w:r>
      <w:r w:rsidR="007B2DD3" w:rsidRPr="0091662D">
        <w:rPr>
          <w:color w:val="000000" w:themeColor="text1"/>
          <w:lang w:val="en-US"/>
        </w:rPr>
        <w:t xml:space="preserve"> </w:t>
      </w:r>
      <w:r w:rsidR="000F1E29" w:rsidRPr="0091662D">
        <w:rPr>
          <w:color w:val="000000" w:themeColor="text1"/>
          <w:lang w:val="en-US"/>
        </w:rPr>
        <w:t xml:space="preserve">triceps surae (TS) </w:t>
      </w:r>
      <w:r w:rsidR="003A2D2C" w:rsidRPr="0091662D">
        <w:rPr>
          <w:color w:val="000000" w:themeColor="text1"/>
          <w:lang w:val="en-US"/>
        </w:rPr>
        <w:t xml:space="preserve">neuromuscular </w:t>
      </w:r>
      <w:r w:rsidR="00536006" w:rsidRPr="0091662D">
        <w:rPr>
          <w:color w:val="000000" w:themeColor="text1"/>
          <w:lang w:val="en-US"/>
        </w:rPr>
        <w:t xml:space="preserve">capacities affects older adults’ ability to retain improvements in reactive </w:t>
      </w:r>
      <w:r w:rsidR="00847C82" w:rsidRPr="0091662D">
        <w:rPr>
          <w:color w:val="000000" w:themeColor="text1"/>
          <w:lang w:val="en-US"/>
        </w:rPr>
        <w:t>gait</w:t>
      </w:r>
      <w:r w:rsidR="00536006" w:rsidRPr="0091662D">
        <w:rPr>
          <w:color w:val="000000" w:themeColor="text1"/>
          <w:lang w:val="en-US"/>
        </w:rPr>
        <w:t xml:space="preserve"> stability during perturbed walking acquired from perturbation training sessions. </w:t>
      </w:r>
      <w:r w:rsidR="000C2CF5" w:rsidRPr="0091662D">
        <w:rPr>
          <w:color w:val="000000" w:themeColor="text1"/>
          <w:lang w:val="en-US"/>
        </w:rPr>
        <w:t>T</w:t>
      </w:r>
      <w:r w:rsidR="00536006" w:rsidRPr="0091662D">
        <w:rPr>
          <w:color w:val="000000" w:themeColor="text1"/>
          <w:lang w:val="en-US"/>
        </w:rPr>
        <w:t>hirty-four female adults (65±7y) were recruited to a perturbation training group (n=</w:t>
      </w:r>
      <w:r w:rsidR="000C2CF5" w:rsidRPr="0091662D">
        <w:rPr>
          <w:color w:val="000000" w:themeColor="text1"/>
          <w:lang w:val="en-US"/>
        </w:rPr>
        <w:t xml:space="preserve">13) or </w:t>
      </w:r>
      <w:r w:rsidR="00536006" w:rsidRPr="0091662D">
        <w:rPr>
          <w:color w:val="000000" w:themeColor="text1"/>
          <w:lang w:val="en-US"/>
        </w:rPr>
        <w:t xml:space="preserve">a group </w:t>
      </w:r>
      <w:r w:rsidR="00DB6575" w:rsidRPr="0091662D">
        <w:rPr>
          <w:color w:val="000000" w:themeColor="text1"/>
          <w:lang w:val="en-US"/>
        </w:rPr>
        <w:t xml:space="preserve">which </w:t>
      </w:r>
      <w:r w:rsidR="00536006" w:rsidRPr="0091662D">
        <w:rPr>
          <w:color w:val="000000" w:themeColor="text1"/>
          <w:lang w:val="en-US"/>
        </w:rPr>
        <w:t>additionally complet</w:t>
      </w:r>
      <w:r w:rsidR="00DB6575" w:rsidRPr="0091662D">
        <w:rPr>
          <w:color w:val="000000" w:themeColor="text1"/>
          <w:lang w:val="en-US"/>
        </w:rPr>
        <w:t>ed</w:t>
      </w:r>
      <w:r w:rsidR="00536006" w:rsidRPr="0091662D">
        <w:rPr>
          <w:color w:val="000000" w:themeColor="text1"/>
          <w:lang w:val="en-US"/>
        </w:rPr>
        <w:t xml:space="preserve"> 14 weeks of TS </w:t>
      </w:r>
      <w:r w:rsidR="008958B1" w:rsidRPr="0091662D">
        <w:rPr>
          <w:color w:val="000000" w:themeColor="text1"/>
          <w:lang w:val="en-US"/>
        </w:rPr>
        <w:t>neuromuscular</w:t>
      </w:r>
      <w:r w:rsidR="00536006" w:rsidRPr="0091662D">
        <w:rPr>
          <w:color w:val="000000" w:themeColor="text1"/>
          <w:lang w:val="en-US"/>
        </w:rPr>
        <w:t xml:space="preserve"> exercise (n=21</w:t>
      </w:r>
      <w:r w:rsidR="00437B88" w:rsidRPr="0091662D">
        <w:rPr>
          <w:color w:val="000000" w:themeColor="text1"/>
          <w:lang w:val="en-US"/>
        </w:rPr>
        <w:t>),</w:t>
      </w:r>
      <w:r w:rsidR="00536006" w:rsidRPr="0091662D">
        <w:rPr>
          <w:color w:val="000000" w:themeColor="text1"/>
          <w:lang w:val="en-US"/>
        </w:rPr>
        <w:t xml:space="preserve"> 12 of </w:t>
      </w:r>
      <w:r w:rsidR="00DB6575" w:rsidRPr="0091662D">
        <w:rPr>
          <w:color w:val="000000" w:themeColor="text1"/>
          <w:lang w:val="en-US"/>
        </w:rPr>
        <w:t xml:space="preserve">whom </w:t>
      </w:r>
      <w:r w:rsidR="00536006" w:rsidRPr="0091662D">
        <w:rPr>
          <w:color w:val="000000" w:themeColor="text1"/>
          <w:lang w:val="en-US"/>
        </w:rPr>
        <w:t>cont</w:t>
      </w:r>
      <w:r w:rsidR="002509A5" w:rsidRPr="0091662D">
        <w:rPr>
          <w:color w:val="000000" w:themeColor="text1"/>
          <w:lang w:val="en-US"/>
        </w:rPr>
        <w:t>inu</w:t>
      </w:r>
      <w:r w:rsidR="00DB6575" w:rsidRPr="0091662D">
        <w:rPr>
          <w:color w:val="000000" w:themeColor="text1"/>
          <w:lang w:val="en-US"/>
        </w:rPr>
        <w:t>ed</w:t>
      </w:r>
      <w:r w:rsidR="00536006" w:rsidRPr="0091662D">
        <w:rPr>
          <w:color w:val="000000" w:themeColor="text1"/>
          <w:lang w:val="en-US"/>
        </w:rPr>
        <w:t xml:space="preserve"> </w:t>
      </w:r>
      <w:r w:rsidR="00096DAC" w:rsidRPr="0091662D">
        <w:rPr>
          <w:color w:val="000000" w:themeColor="text1"/>
          <w:lang w:val="en-US"/>
        </w:rPr>
        <w:t xml:space="preserve">with the exercise </w:t>
      </w:r>
      <w:r w:rsidR="00536006" w:rsidRPr="0091662D">
        <w:rPr>
          <w:color w:val="000000" w:themeColor="text1"/>
          <w:lang w:val="en-US"/>
        </w:rPr>
        <w:t>for 1.5 years. The margin of stability (MoS)</w:t>
      </w:r>
      <w:r w:rsidR="00226361" w:rsidRPr="0091662D">
        <w:rPr>
          <w:color w:val="000000" w:themeColor="text1"/>
          <w:lang w:val="en-US"/>
        </w:rPr>
        <w:t xml:space="preserve"> was analy</w:t>
      </w:r>
      <w:r w:rsidR="00C54050" w:rsidRPr="0091662D">
        <w:rPr>
          <w:color w:val="000000" w:themeColor="text1"/>
          <w:lang w:val="en-US"/>
        </w:rPr>
        <w:t>z</w:t>
      </w:r>
      <w:r w:rsidR="00226361" w:rsidRPr="0091662D">
        <w:rPr>
          <w:color w:val="000000" w:themeColor="text1"/>
          <w:lang w:val="en-US"/>
        </w:rPr>
        <w:t xml:space="preserve">ed at touchdown </w:t>
      </w:r>
      <w:r w:rsidR="00536006" w:rsidRPr="0091662D">
        <w:rPr>
          <w:color w:val="000000" w:themeColor="text1"/>
          <w:lang w:val="en-US"/>
        </w:rPr>
        <w:t xml:space="preserve">of the perturbed step and first recovery step following eight separate unexpected trip perturbations during treadmill walking. </w:t>
      </w:r>
      <w:r w:rsidR="000C2CF5" w:rsidRPr="0091662D">
        <w:rPr>
          <w:color w:val="000000" w:themeColor="text1"/>
          <w:lang w:val="en-US"/>
        </w:rPr>
        <w:t>TS</w:t>
      </w:r>
      <w:r w:rsidR="00C465B3" w:rsidRPr="0091662D">
        <w:rPr>
          <w:color w:val="000000" w:themeColor="text1"/>
          <w:lang w:val="en-US"/>
        </w:rPr>
        <w:t xml:space="preserve"> </w:t>
      </w:r>
      <w:r w:rsidR="00DD6680" w:rsidRPr="0091662D">
        <w:rPr>
          <w:color w:val="000000" w:themeColor="text1"/>
          <w:lang w:val="en-US"/>
        </w:rPr>
        <w:t>muscle-tendon unit</w:t>
      </w:r>
      <w:r w:rsidR="000C2CF5" w:rsidRPr="0091662D">
        <w:rPr>
          <w:color w:val="000000" w:themeColor="text1"/>
          <w:lang w:val="en-US"/>
        </w:rPr>
        <w:t xml:space="preserve"> mechanical properties and motor skill performance were assessed using ultrasonography and dynamometry.</w:t>
      </w:r>
      <w:r w:rsidR="006B2176" w:rsidRPr="0091662D">
        <w:rPr>
          <w:color w:val="000000" w:themeColor="text1"/>
          <w:lang w:val="en-US"/>
        </w:rPr>
        <w:t xml:space="preserve"> </w:t>
      </w:r>
      <w:r w:rsidR="00F456D3" w:rsidRPr="0091662D">
        <w:rPr>
          <w:color w:val="000000" w:themeColor="text1"/>
          <w:lang w:val="en-US"/>
        </w:rPr>
        <w:t xml:space="preserve">Two perturbation training sessions (baseline and after 14w) caused an improvement in the reactive gait stability to the perturbations (increased MoS) in both groups. </w:t>
      </w:r>
      <w:r w:rsidR="006B2176" w:rsidRPr="0091662D">
        <w:rPr>
          <w:color w:val="000000" w:themeColor="text1"/>
          <w:lang w:val="en-US"/>
        </w:rPr>
        <w:t xml:space="preserve">The perturbation training group </w:t>
      </w:r>
      <w:r w:rsidR="00867CFB" w:rsidRPr="0091662D">
        <w:rPr>
          <w:color w:val="000000" w:themeColor="text1"/>
          <w:lang w:val="en-US"/>
        </w:rPr>
        <w:t xml:space="preserve">retained </w:t>
      </w:r>
      <w:r w:rsidR="006B2176" w:rsidRPr="0091662D">
        <w:rPr>
          <w:color w:val="000000" w:themeColor="text1"/>
          <w:lang w:val="en-US"/>
        </w:rPr>
        <w:t xml:space="preserve">the </w:t>
      </w:r>
      <w:r w:rsidR="004714E4" w:rsidRPr="0091662D">
        <w:rPr>
          <w:color w:val="000000" w:themeColor="text1"/>
          <w:lang w:val="en-US"/>
        </w:rPr>
        <w:t>reactive gait stability</w:t>
      </w:r>
      <w:r w:rsidR="006B2176" w:rsidRPr="0091662D">
        <w:rPr>
          <w:color w:val="000000" w:themeColor="text1"/>
          <w:lang w:val="en-US"/>
        </w:rPr>
        <w:t xml:space="preserve"> improvements acquired over </w:t>
      </w:r>
      <w:r w:rsidR="00867CFB" w:rsidRPr="0091662D">
        <w:rPr>
          <w:color w:val="000000" w:themeColor="text1"/>
          <w:lang w:val="en-US"/>
        </w:rPr>
        <w:t>1</w:t>
      </w:r>
      <w:r w:rsidR="006B2176" w:rsidRPr="0091662D">
        <w:rPr>
          <w:color w:val="000000" w:themeColor="text1"/>
          <w:lang w:val="en-US"/>
        </w:rPr>
        <w:t xml:space="preserve">4 weeks </w:t>
      </w:r>
      <w:r w:rsidR="00DB6575" w:rsidRPr="0091662D">
        <w:rPr>
          <w:color w:val="000000" w:themeColor="text1"/>
          <w:lang w:val="en-US"/>
        </w:rPr>
        <w:t>and</w:t>
      </w:r>
      <w:r w:rsidR="006B2176" w:rsidRPr="0091662D">
        <w:rPr>
          <w:color w:val="000000" w:themeColor="text1"/>
          <w:lang w:val="en-US"/>
        </w:rPr>
        <w:t xml:space="preserve"> over 1.5 years, with a minor decay over time. Despite the improvements in TS capacities</w:t>
      </w:r>
      <w:r w:rsidR="00A75562" w:rsidRPr="0091662D">
        <w:rPr>
          <w:color w:val="000000" w:themeColor="text1"/>
          <w:lang w:val="en-US"/>
        </w:rPr>
        <w:t xml:space="preserve"> in the additional exercis</w:t>
      </w:r>
      <w:r w:rsidR="00A75562" w:rsidRPr="00C827B9">
        <w:rPr>
          <w:lang w:val="en-US"/>
        </w:rPr>
        <w:t>e group</w:t>
      </w:r>
      <w:r w:rsidR="006B2176" w:rsidRPr="00C827B9">
        <w:rPr>
          <w:lang w:val="en-US"/>
        </w:rPr>
        <w:t xml:space="preserve">, no benefits for the reactive </w:t>
      </w:r>
      <w:r w:rsidR="004714E4" w:rsidRPr="00C827B9">
        <w:rPr>
          <w:lang w:val="en-US"/>
        </w:rPr>
        <w:t>gait stability</w:t>
      </w:r>
      <w:r w:rsidR="006B2176" w:rsidRPr="00C827B9">
        <w:rPr>
          <w:lang w:val="en-US"/>
        </w:rPr>
        <w:t xml:space="preserve"> </w:t>
      </w:r>
      <w:r w:rsidR="00096DAC" w:rsidRPr="00C827B9">
        <w:rPr>
          <w:lang w:val="en-US"/>
        </w:rPr>
        <w:t xml:space="preserve">following </w:t>
      </w:r>
      <w:r w:rsidR="006B2176" w:rsidRPr="00C827B9">
        <w:rPr>
          <w:lang w:val="en-US"/>
        </w:rPr>
        <w:t xml:space="preserve">perturbations </w:t>
      </w:r>
      <w:r w:rsidR="00A75562" w:rsidRPr="00C827B9">
        <w:rPr>
          <w:lang w:val="en-US"/>
        </w:rPr>
        <w:t>were</w:t>
      </w:r>
      <w:r w:rsidR="006B2176" w:rsidRPr="00C827B9">
        <w:rPr>
          <w:lang w:val="en-US"/>
        </w:rPr>
        <w:t xml:space="preserve"> identified. </w:t>
      </w:r>
      <w:r w:rsidR="00177C2A" w:rsidRPr="00C827B9">
        <w:rPr>
          <w:lang w:val="en-US"/>
        </w:rPr>
        <w:t>Therefore, older adults</w:t>
      </w:r>
      <w:r w:rsidR="003E7AAE" w:rsidRPr="00C827B9">
        <w:rPr>
          <w:lang w:val="en-US"/>
        </w:rPr>
        <w:t>’</w:t>
      </w:r>
      <w:r w:rsidR="00177C2A" w:rsidRPr="00C827B9">
        <w:rPr>
          <w:lang w:val="en-US"/>
        </w:rPr>
        <w:t xml:space="preserve"> </w:t>
      </w:r>
      <w:r w:rsidR="00F713BE" w:rsidRPr="00C827B9">
        <w:t xml:space="preserve">neuromotor system </w:t>
      </w:r>
      <w:r w:rsidR="00177C2A" w:rsidRPr="00C827B9">
        <w:rPr>
          <w:lang w:val="en-US"/>
        </w:rPr>
        <w:t>show</w:t>
      </w:r>
      <w:r w:rsidR="003056A4" w:rsidRPr="00C827B9">
        <w:rPr>
          <w:lang w:val="en-US"/>
        </w:rPr>
        <w:t>s</w:t>
      </w:r>
      <w:r w:rsidR="006B2176" w:rsidRPr="00C827B9">
        <w:rPr>
          <w:lang w:val="en-US"/>
        </w:rPr>
        <w:t xml:space="preserve"> rapid plasticity to repeated unexpected perturbations and an ability to retain these adaptations in </w:t>
      </w:r>
      <w:r w:rsidR="00C53BB8" w:rsidRPr="00C827B9">
        <w:rPr>
          <w:lang w:val="en-US"/>
        </w:rPr>
        <w:t xml:space="preserve">reactive gait stability </w:t>
      </w:r>
      <w:r w:rsidR="006B2176" w:rsidRPr="00C827B9">
        <w:rPr>
          <w:lang w:val="en-US"/>
        </w:rPr>
        <w:t xml:space="preserve">over a </w:t>
      </w:r>
      <w:r w:rsidR="00177C2A" w:rsidRPr="00C827B9">
        <w:rPr>
          <w:lang w:val="en-US"/>
        </w:rPr>
        <w:t>long</w:t>
      </w:r>
      <w:r w:rsidR="006B2176" w:rsidRPr="00C827B9">
        <w:rPr>
          <w:lang w:val="en-US"/>
        </w:rPr>
        <w:t xml:space="preserve"> time period</w:t>
      </w:r>
      <w:r w:rsidR="00DB7A56" w:rsidRPr="00C827B9">
        <w:rPr>
          <w:lang w:val="en-US"/>
        </w:rPr>
        <w:t>,</w:t>
      </w:r>
      <w:r w:rsidR="0061120E" w:rsidRPr="00C827B9">
        <w:rPr>
          <w:lang w:val="en-US"/>
        </w:rPr>
        <w:t xml:space="preserve"> but</w:t>
      </w:r>
      <w:r w:rsidR="009E7EE3" w:rsidRPr="00C827B9">
        <w:rPr>
          <w:lang w:val="en-US"/>
        </w:rPr>
        <w:t xml:space="preserve"> an additional exercise-</w:t>
      </w:r>
      <w:r w:rsidR="006B2176" w:rsidRPr="00C827B9">
        <w:rPr>
          <w:lang w:val="en-US"/>
        </w:rPr>
        <w:t xml:space="preserve">related enhancement of TS capacities </w:t>
      </w:r>
      <w:r w:rsidR="00D45865" w:rsidRPr="00C827B9">
        <w:rPr>
          <w:lang w:val="en-US"/>
        </w:rPr>
        <w:t>seems</w:t>
      </w:r>
      <w:r w:rsidR="00177C2A" w:rsidRPr="00C827B9">
        <w:rPr>
          <w:lang w:val="en-US"/>
        </w:rPr>
        <w:t xml:space="preserve"> </w:t>
      </w:r>
      <w:r w:rsidR="0061120E" w:rsidRPr="00C827B9">
        <w:rPr>
          <w:lang w:val="en-US"/>
        </w:rPr>
        <w:t xml:space="preserve">not </w:t>
      </w:r>
      <w:r w:rsidR="00D45865" w:rsidRPr="00C827B9">
        <w:rPr>
          <w:lang w:val="en-US"/>
        </w:rPr>
        <w:t xml:space="preserve">to </w:t>
      </w:r>
      <w:r w:rsidR="0061120E" w:rsidRPr="00C827B9">
        <w:rPr>
          <w:lang w:val="en-US"/>
        </w:rPr>
        <w:t>further improve</w:t>
      </w:r>
      <w:r w:rsidR="006B2176" w:rsidRPr="00C827B9">
        <w:rPr>
          <w:lang w:val="en-US"/>
        </w:rPr>
        <w:t xml:space="preserve"> </w:t>
      </w:r>
      <w:r w:rsidR="00AC1DE9" w:rsidRPr="00C827B9">
        <w:rPr>
          <w:lang w:val="en-US"/>
        </w:rPr>
        <w:t>t</w:t>
      </w:r>
      <w:r w:rsidR="002D79C7" w:rsidRPr="00C827B9">
        <w:rPr>
          <w:lang w:val="en-US"/>
        </w:rPr>
        <w:t>hese effects</w:t>
      </w:r>
      <w:r w:rsidR="006B2176" w:rsidRPr="00C827B9">
        <w:rPr>
          <w:lang w:val="en-US"/>
        </w:rPr>
        <w:t>.</w:t>
      </w:r>
    </w:p>
    <w:p w14:paraId="5917EA53" w14:textId="77777777" w:rsidR="00B84D2E" w:rsidRPr="00C827B9" w:rsidRDefault="00B84D2E">
      <w:pPr>
        <w:spacing w:after="0" w:line="240" w:lineRule="auto"/>
        <w:rPr>
          <w:rFonts w:eastAsia="Times New Roman"/>
          <w:b/>
          <w:szCs w:val="24"/>
          <w:lang w:val="en-US"/>
        </w:rPr>
      </w:pPr>
      <w:r w:rsidRPr="00C827B9">
        <w:rPr>
          <w:szCs w:val="24"/>
          <w:lang w:val="en-US"/>
        </w:rPr>
        <w:br w:type="page"/>
      </w:r>
    </w:p>
    <w:p w14:paraId="058562B3" w14:textId="77777777" w:rsidR="00614FE2" w:rsidRPr="00C827B9" w:rsidRDefault="00614FE2" w:rsidP="00614FE2">
      <w:pPr>
        <w:pStyle w:val="Heading1"/>
        <w:spacing w:before="0"/>
        <w:jc w:val="both"/>
        <w:rPr>
          <w:szCs w:val="24"/>
          <w:lang w:val="en-US"/>
        </w:rPr>
      </w:pPr>
      <w:r w:rsidRPr="00C827B9">
        <w:rPr>
          <w:szCs w:val="24"/>
          <w:lang w:val="en-US"/>
        </w:rPr>
        <w:lastRenderedPageBreak/>
        <w:t>Introduction</w:t>
      </w:r>
    </w:p>
    <w:p w14:paraId="692819C2" w14:textId="4727A438" w:rsidR="00536006" w:rsidRPr="0091662D" w:rsidRDefault="00536006" w:rsidP="00536006">
      <w:pPr>
        <w:spacing w:after="0"/>
        <w:jc w:val="both"/>
        <w:rPr>
          <w:color w:val="000000" w:themeColor="text1"/>
          <w:lang w:val="en-US"/>
        </w:rPr>
      </w:pPr>
      <w:r w:rsidRPr="00C827B9">
        <w:rPr>
          <w:szCs w:val="24"/>
          <w:lang w:val="en-US"/>
        </w:rPr>
        <w:t>Falls are a leading cause of injurie</w:t>
      </w:r>
      <w:r w:rsidRPr="0091662D">
        <w:rPr>
          <w:color w:val="000000" w:themeColor="text1"/>
          <w:szCs w:val="24"/>
          <w:lang w:val="en-US"/>
        </w:rPr>
        <w:t xml:space="preserve">s among elderly populations </w:t>
      </w:r>
      <w:bookmarkStart w:id="0" w:name="Mendeley_Bookmark_e9Ny1IL5qZ"/>
      <w:r w:rsidRPr="0091662D">
        <w:rPr>
          <w:color w:val="000000" w:themeColor="text1"/>
          <w:szCs w:val="24"/>
          <w:lang w:val="en-US"/>
        </w:rPr>
        <w:t>(Terroso et al. 2014; MacAulay et al. 2015)</w:t>
      </w:r>
      <w:bookmarkEnd w:id="0"/>
      <w:r w:rsidRPr="0091662D">
        <w:rPr>
          <w:color w:val="000000" w:themeColor="text1"/>
          <w:lang w:val="en-US"/>
        </w:rPr>
        <w:t xml:space="preserve">. Approximately one third of older adults fall at least once a year, with the </w:t>
      </w:r>
      <w:r w:rsidRPr="0091662D">
        <w:rPr>
          <w:color w:val="000000" w:themeColor="text1"/>
          <w:szCs w:val="24"/>
          <w:lang w:val="en-US"/>
        </w:rPr>
        <w:t xml:space="preserve">majority of the falls occurring during locomotion, usually as a result of tripping or slipping </w:t>
      </w:r>
      <w:bookmarkStart w:id="1" w:name="Mendeley_Bookmark_aMHkrJJBBj"/>
      <w:r w:rsidRPr="0091662D">
        <w:rPr>
          <w:color w:val="000000" w:themeColor="text1"/>
          <w:szCs w:val="24"/>
          <w:lang w:val="en-US"/>
        </w:rPr>
        <w:t>(Berg et al. 1997; Talbot et al. 2005)</w:t>
      </w:r>
      <w:bookmarkEnd w:id="1"/>
      <w:r w:rsidRPr="0091662D">
        <w:rPr>
          <w:color w:val="000000" w:themeColor="text1"/>
          <w:szCs w:val="24"/>
          <w:lang w:val="en-US"/>
        </w:rPr>
        <w:t>. Due to a higher life expectancy and the</w:t>
      </w:r>
      <w:r w:rsidR="00BC2D47" w:rsidRPr="0091662D">
        <w:rPr>
          <w:color w:val="000000" w:themeColor="text1"/>
          <w:szCs w:val="24"/>
          <w:lang w:val="en-US"/>
        </w:rPr>
        <w:t xml:space="preserve"> </w:t>
      </w:r>
      <w:r w:rsidR="00BB492A" w:rsidRPr="0091662D">
        <w:rPr>
          <w:color w:val="000000" w:themeColor="text1"/>
          <w:szCs w:val="24"/>
          <w:lang w:val="en-US"/>
        </w:rPr>
        <w:t>desire</w:t>
      </w:r>
      <w:r w:rsidR="005218C7" w:rsidRPr="0091662D">
        <w:rPr>
          <w:color w:val="000000" w:themeColor="text1"/>
          <w:szCs w:val="24"/>
          <w:lang w:val="en-US"/>
        </w:rPr>
        <w:t xml:space="preserve"> </w:t>
      </w:r>
      <w:r w:rsidRPr="0091662D">
        <w:rPr>
          <w:color w:val="000000" w:themeColor="text1"/>
          <w:szCs w:val="24"/>
          <w:lang w:val="en-US"/>
        </w:rPr>
        <w:t>for older adults to remain physically active, developing effective intervention strategies for reducing the risk of falls during locomotion should be one of the major aims of health care.</w:t>
      </w:r>
    </w:p>
    <w:p w14:paraId="4271122D" w14:textId="40D9BDD5" w:rsidR="00536006" w:rsidRPr="0091662D" w:rsidRDefault="00536006" w:rsidP="00536006">
      <w:pPr>
        <w:spacing w:after="0"/>
        <w:jc w:val="both"/>
        <w:rPr>
          <w:color w:val="000000" w:themeColor="text1"/>
          <w:szCs w:val="24"/>
          <w:lang w:val="en-US"/>
        </w:rPr>
      </w:pPr>
      <w:r w:rsidRPr="0091662D">
        <w:rPr>
          <w:color w:val="000000" w:themeColor="text1"/>
          <w:szCs w:val="24"/>
          <w:lang w:val="en-US"/>
        </w:rPr>
        <w:t xml:space="preserve">Balance control during human gait can be characterised using an inverted pendulum model, whereby a loss of </w:t>
      </w:r>
      <w:r w:rsidR="00C35CA1" w:rsidRPr="0091662D">
        <w:rPr>
          <w:color w:val="000000" w:themeColor="text1"/>
          <w:szCs w:val="24"/>
          <w:lang w:val="en-US"/>
        </w:rPr>
        <w:t xml:space="preserve">stability occurs when the </w:t>
      </w:r>
      <w:r w:rsidR="000B574D" w:rsidRPr="0091662D">
        <w:rPr>
          <w:color w:val="000000" w:themeColor="text1"/>
          <w:szCs w:val="24"/>
          <w:lang w:val="en-US"/>
        </w:rPr>
        <w:t xml:space="preserve">extrapolated </w:t>
      </w:r>
      <w:bookmarkStart w:id="2" w:name="OLE_LINK1"/>
      <w:bookmarkStart w:id="3" w:name="OLE_LINK2"/>
      <w:r w:rsidR="00C35CA1" w:rsidRPr="0091662D">
        <w:rPr>
          <w:color w:val="000000" w:themeColor="text1"/>
          <w:szCs w:val="24"/>
          <w:lang w:val="en-US"/>
        </w:rPr>
        <w:t>center</w:t>
      </w:r>
      <w:r w:rsidRPr="0091662D">
        <w:rPr>
          <w:color w:val="000000" w:themeColor="text1"/>
          <w:szCs w:val="24"/>
          <w:lang w:val="en-US"/>
        </w:rPr>
        <w:t xml:space="preserve"> of mass</w:t>
      </w:r>
      <w:bookmarkEnd w:id="2"/>
      <w:bookmarkEnd w:id="3"/>
      <w:r w:rsidRPr="0091662D">
        <w:rPr>
          <w:color w:val="000000" w:themeColor="text1"/>
          <w:szCs w:val="24"/>
          <w:lang w:val="en-US"/>
        </w:rPr>
        <w:t xml:space="preserve"> exceeds the boundar</w:t>
      </w:r>
      <w:r w:rsidR="00634C70" w:rsidRPr="0091662D">
        <w:rPr>
          <w:color w:val="000000" w:themeColor="text1"/>
          <w:szCs w:val="24"/>
          <w:lang w:val="en-US"/>
        </w:rPr>
        <w:t>ies of the base of support</w:t>
      </w:r>
      <w:r w:rsidR="0019283F" w:rsidRPr="0091662D">
        <w:rPr>
          <w:color w:val="000000" w:themeColor="text1"/>
          <w:szCs w:val="24"/>
          <w:lang w:val="en-US"/>
        </w:rPr>
        <w:t xml:space="preserve"> (Hof et al. 2005)</w:t>
      </w:r>
      <w:r w:rsidRPr="0091662D">
        <w:rPr>
          <w:color w:val="000000" w:themeColor="text1"/>
          <w:szCs w:val="24"/>
          <w:lang w:val="en-US"/>
        </w:rPr>
        <w:t xml:space="preserve">. In order to prevent a fall in such an unstable position, the </w:t>
      </w:r>
      <w:r w:rsidR="00045372" w:rsidRPr="0091662D">
        <w:rPr>
          <w:color w:val="000000" w:themeColor="text1"/>
          <w:szCs w:val="24"/>
          <w:lang w:val="en-US"/>
        </w:rPr>
        <w:t xml:space="preserve">neuromuscular </w:t>
      </w:r>
      <w:r w:rsidRPr="0091662D">
        <w:rPr>
          <w:color w:val="000000" w:themeColor="text1"/>
          <w:szCs w:val="24"/>
          <w:lang w:val="en-US"/>
        </w:rPr>
        <w:t xml:space="preserve">system must execute postural </w:t>
      </w:r>
      <w:r w:rsidR="00067FB2" w:rsidRPr="0091662D">
        <w:rPr>
          <w:color w:val="000000" w:themeColor="text1"/>
          <w:szCs w:val="24"/>
          <w:lang w:val="en-US"/>
        </w:rPr>
        <w:t xml:space="preserve">adjustments </w:t>
      </w:r>
      <w:r w:rsidRPr="0091662D">
        <w:rPr>
          <w:color w:val="000000" w:themeColor="text1"/>
          <w:szCs w:val="24"/>
          <w:lang w:val="en-US"/>
        </w:rPr>
        <w:t xml:space="preserve">to control the velocity and position of the </w:t>
      </w:r>
      <w:r w:rsidR="00337A2D" w:rsidRPr="0091662D">
        <w:rPr>
          <w:color w:val="000000" w:themeColor="text1"/>
          <w:szCs w:val="24"/>
          <w:lang w:val="en-US"/>
        </w:rPr>
        <w:t>center of mass</w:t>
      </w:r>
      <w:r w:rsidRPr="0091662D">
        <w:rPr>
          <w:color w:val="000000" w:themeColor="text1"/>
          <w:szCs w:val="24"/>
          <w:lang w:val="en-US"/>
        </w:rPr>
        <w:t xml:space="preserve"> in relation to the </w:t>
      </w:r>
      <w:r w:rsidR="00634C70" w:rsidRPr="0091662D">
        <w:rPr>
          <w:color w:val="000000" w:themeColor="text1"/>
          <w:szCs w:val="24"/>
          <w:lang w:val="en-US"/>
        </w:rPr>
        <w:t>base of support</w:t>
      </w:r>
      <w:r w:rsidRPr="0091662D">
        <w:rPr>
          <w:color w:val="000000" w:themeColor="text1"/>
          <w:szCs w:val="24"/>
          <w:lang w:val="en-US"/>
        </w:rPr>
        <w:t xml:space="preserve"> and thereby maintain dynamic stability. During gait, such adjustments can be </w:t>
      </w:r>
      <w:r w:rsidRPr="0091662D">
        <w:rPr>
          <w:color w:val="000000" w:themeColor="text1"/>
          <w:lang w:val="en-US"/>
        </w:rPr>
        <w:t xml:space="preserve">reactive (feedback-driven) or predictive (feedforward-driven) in nature </w:t>
      </w:r>
      <w:bookmarkStart w:id="4" w:name="Mendeley_Bookmark_CRtN9D04HR"/>
      <w:r w:rsidRPr="0091662D">
        <w:rPr>
          <w:color w:val="000000" w:themeColor="text1"/>
          <w:lang w:val="en-US"/>
        </w:rPr>
        <w:t>(</w:t>
      </w:r>
      <w:r w:rsidR="00B10C31" w:rsidRPr="0091662D">
        <w:rPr>
          <w:color w:val="000000" w:themeColor="text1"/>
          <w:lang w:val="en-US"/>
        </w:rPr>
        <w:t xml:space="preserve">for example see: </w:t>
      </w:r>
      <w:r w:rsidRPr="0091662D">
        <w:rPr>
          <w:color w:val="000000" w:themeColor="text1"/>
          <w:lang w:val="en-US"/>
        </w:rPr>
        <w:t>Bhatt et al. 2006b; MacLellan and Patla 2006; Arampatzis et al. 2011; Bierbaum et al. 2011a; Bohm et al. 2015)</w:t>
      </w:r>
      <w:bookmarkEnd w:id="4"/>
      <w:r w:rsidRPr="0091662D">
        <w:rPr>
          <w:color w:val="000000" w:themeColor="text1"/>
          <w:lang w:val="en-US"/>
        </w:rPr>
        <w:t xml:space="preserve">.  As falls often occur in the anterior direction during walking, it is not surprising that effectively </w:t>
      </w:r>
      <w:r w:rsidRPr="0091662D">
        <w:rPr>
          <w:color w:val="000000" w:themeColor="text1"/>
          <w:szCs w:val="24"/>
          <w:lang w:val="en-US"/>
        </w:rPr>
        <w:t xml:space="preserve">increasing the </w:t>
      </w:r>
      <w:r w:rsidR="00634C70" w:rsidRPr="0091662D">
        <w:rPr>
          <w:color w:val="000000" w:themeColor="text1"/>
          <w:szCs w:val="24"/>
          <w:lang w:val="en-US"/>
        </w:rPr>
        <w:t>base of support</w:t>
      </w:r>
      <w:r w:rsidRPr="0091662D">
        <w:rPr>
          <w:color w:val="000000" w:themeColor="text1"/>
          <w:szCs w:val="24"/>
          <w:lang w:val="en-US"/>
        </w:rPr>
        <w:t xml:space="preserve"> in response to a sudden external perturbation is vital for regaining dynamic stability </w:t>
      </w:r>
      <w:bookmarkStart w:id="5" w:name="Mendeley_Bookmark_kuphOpcsQK"/>
      <w:r w:rsidRPr="0091662D">
        <w:rPr>
          <w:color w:val="000000" w:themeColor="text1"/>
          <w:szCs w:val="24"/>
          <w:lang w:val="en-US"/>
        </w:rPr>
        <w:t>(Maki and McIlroy 2006; Hof 2007)</w:t>
      </w:r>
      <w:bookmarkEnd w:id="5"/>
      <w:r w:rsidRPr="0091662D">
        <w:rPr>
          <w:color w:val="000000" w:themeColor="text1"/>
          <w:szCs w:val="24"/>
          <w:lang w:val="en-US"/>
        </w:rPr>
        <w:t>.</w:t>
      </w:r>
    </w:p>
    <w:p w14:paraId="06D31501" w14:textId="013EE165" w:rsidR="00536006" w:rsidRPr="00C827B9" w:rsidRDefault="00536006" w:rsidP="00536006">
      <w:pPr>
        <w:spacing w:after="0"/>
        <w:jc w:val="both"/>
        <w:rPr>
          <w:lang w:val="en-US"/>
        </w:rPr>
      </w:pPr>
      <w:r w:rsidRPr="0091662D">
        <w:rPr>
          <w:color w:val="000000" w:themeColor="text1"/>
          <w:lang w:val="en-US"/>
        </w:rPr>
        <w:t>Given the significance of reactive stepping for maintaining stability, it is promising</w:t>
      </w:r>
      <w:r w:rsidRPr="00C827B9">
        <w:rPr>
          <w:lang w:val="en-US"/>
        </w:rPr>
        <w:t xml:space="preserve"> that older adults show improvement in reactive response to various repeated mechanical perturbations </w:t>
      </w:r>
      <w:bookmarkStart w:id="6" w:name="Mendeley_Bookmark_k1iSVVFBeP"/>
      <w:r w:rsidRPr="00C827B9">
        <w:rPr>
          <w:lang w:val="en-US"/>
        </w:rPr>
        <w:t xml:space="preserve">(Bierbaum et al. </w:t>
      </w:r>
      <w:r w:rsidR="00AE791E" w:rsidRPr="00C827B9">
        <w:rPr>
          <w:lang w:val="en-US"/>
        </w:rPr>
        <w:t>2011</w:t>
      </w:r>
      <w:r w:rsidRPr="00C827B9">
        <w:rPr>
          <w:lang w:val="en-US"/>
        </w:rPr>
        <w:t>; Pai et al. 2010; McCrum et al. 2017)</w:t>
      </w:r>
      <w:bookmarkEnd w:id="6"/>
      <w:r w:rsidRPr="00C827B9">
        <w:rPr>
          <w:lang w:val="en-US"/>
        </w:rPr>
        <w:t xml:space="preserve">. As well as acute adaptations, short-term (a few weeks) and long-term (up to 12 months) retention of reactive adaptations acquired during a single slip-perturbation training session have been seen in the same laboratory settings in older adults </w:t>
      </w:r>
      <w:bookmarkStart w:id="7" w:name="Mendeley_Bookmark_qnn8IlBMfg"/>
      <w:r w:rsidRPr="00C827B9">
        <w:rPr>
          <w:lang w:val="en-US"/>
        </w:rPr>
        <w:t>(Bhatt et al. 2006a, 2012; Pai et al. 2014b)</w:t>
      </w:r>
      <w:bookmarkEnd w:id="7"/>
      <w:r w:rsidRPr="00C827B9">
        <w:rPr>
          <w:lang w:val="en-US"/>
        </w:rPr>
        <w:t xml:space="preserve">. </w:t>
      </w:r>
      <w:r w:rsidR="00C311B3" w:rsidRPr="0098792F">
        <w:rPr>
          <w:color w:val="000000" w:themeColor="text1"/>
          <w:lang w:val="en-US"/>
        </w:rPr>
        <w:t xml:space="preserve">Furthermore, </w:t>
      </w:r>
      <w:r w:rsidRPr="00C827B9">
        <w:rPr>
          <w:color w:val="000000" w:themeColor="text1"/>
          <w:lang w:val="en-US"/>
        </w:rPr>
        <w:t xml:space="preserve">long term benefits of reduced </w:t>
      </w:r>
      <w:r w:rsidRPr="00C827B9">
        <w:rPr>
          <w:color w:val="000000" w:themeColor="text1"/>
          <w:lang w:val="en-US"/>
        </w:rPr>
        <w:lastRenderedPageBreak/>
        <w:t xml:space="preserve">falls incidence (up to 50%) have been observed in older adults up to one year following </w:t>
      </w:r>
      <w:r w:rsidR="00DE13D3" w:rsidRPr="00C827B9">
        <w:rPr>
          <w:color w:val="000000" w:themeColor="text1"/>
          <w:lang w:val="en-US"/>
        </w:rPr>
        <w:t xml:space="preserve">a </w:t>
      </w:r>
      <w:r w:rsidRPr="00C827B9">
        <w:rPr>
          <w:color w:val="000000" w:themeColor="text1"/>
          <w:lang w:val="en-US"/>
        </w:rPr>
        <w:t>single session of repeated gait perturbation</w:t>
      </w:r>
      <w:r w:rsidRPr="0098792F">
        <w:rPr>
          <w:color w:val="000000" w:themeColor="text1"/>
          <w:lang w:val="en-US"/>
        </w:rPr>
        <w:t>s</w:t>
      </w:r>
      <w:r w:rsidR="001561F5" w:rsidRPr="0098792F">
        <w:rPr>
          <w:color w:val="000000" w:themeColor="text1"/>
          <w:lang w:val="en-US"/>
        </w:rPr>
        <w:t xml:space="preserve">, </w:t>
      </w:r>
      <w:r w:rsidR="00DE13D3" w:rsidRPr="0098792F">
        <w:rPr>
          <w:color w:val="000000" w:themeColor="text1"/>
          <w:lang w:val="en-US"/>
        </w:rPr>
        <w:t xml:space="preserve">indicating </w:t>
      </w:r>
      <w:r w:rsidR="00DE13D3" w:rsidRPr="00C827B9">
        <w:rPr>
          <w:color w:val="000000" w:themeColor="text1"/>
          <w:lang w:val="en-US"/>
        </w:rPr>
        <w:t xml:space="preserve">that </w:t>
      </w:r>
      <w:r w:rsidRPr="00C827B9">
        <w:rPr>
          <w:color w:val="000000" w:themeColor="text1"/>
          <w:lang w:val="en-US"/>
        </w:rPr>
        <w:t xml:space="preserve">experiencing unexpected perturbations during gait results in task-specific retention in the locomotor system that can be generalized to daily life situations in older adults </w:t>
      </w:r>
      <w:bookmarkStart w:id="8" w:name="Mendeley_Bookmark_6X1YbUxd4F"/>
      <w:r w:rsidR="001561F5" w:rsidRPr="00C827B9">
        <w:rPr>
          <w:color w:val="000000" w:themeColor="text1"/>
          <w:lang w:val="en-US"/>
        </w:rPr>
        <w:t>(</w:t>
      </w:r>
      <w:r w:rsidRPr="00C827B9">
        <w:rPr>
          <w:color w:val="000000" w:themeColor="text1"/>
          <w:lang w:val="en-US"/>
        </w:rPr>
        <w:t>Pai et al. 2014a)</w:t>
      </w:r>
      <w:bookmarkEnd w:id="8"/>
      <w:r w:rsidRPr="00C827B9">
        <w:rPr>
          <w:color w:val="000000" w:themeColor="text1"/>
          <w:lang w:val="en-US"/>
        </w:rPr>
        <w:t>.</w:t>
      </w:r>
    </w:p>
    <w:p w14:paraId="6AD973DE" w14:textId="4C747851" w:rsidR="000B4625" w:rsidRPr="0091662D" w:rsidRDefault="00783C87" w:rsidP="00A53A8E">
      <w:pPr>
        <w:spacing w:after="0"/>
        <w:jc w:val="both"/>
        <w:rPr>
          <w:color w:val="000000" w:themeColor="text1"/>
          <w:lang w:val="en-US"/>
        </w:rPr>
      </w:pPr>
      <w:r w:rsidRPr="0098792F">
        <w:rPr>
          <w:color w:val="000000" w:themeColor="text1"/>
          <w:szCs w:val="24"/>
          <w:lang w:val="en-US"/>
        </w:rPr>
        <w:t xml:space="preserve">Given that the ability to create a large anterior step is important for maintaining dynamic stability during gait, it is not surprising that the age-related general degradation in the neuromuscular capacities of the </w:t>
      </w:r>
      <w:r w:rsidR="003A2D2C" w:rsidRPr="0098792F">
        <w:rPr>
          <w:color w:val="000000" w:themeColor="text1"/>
          <w:lang w:val="en-US"/>
        </w:rPr>
        <w:t>lower limbs</w:t>
      </w:r>
      <w:r w:rsidRPr="0098792F">
        <w:rPr>
          <w:color w:val="000000" w:themeColor="text1"/>
          <w:szCs w:val="24"/>
          <w:lang w:val="en-US"/>
        </w:rPr>
        <w:t xml:space="preserve"> (Aagaard et al. 2010; Csapo et al. 2014; Karamanidis and Arampatzis 2006;</w:t>
      </w:r>
      <w:r w:rsidRPr="0098792F" w:rsidDel="00190CFC">
        <w:rPr>
          <w:color w:val="000000" w:themeColor="text1"/>
          <w:szCs w:val="24"/>
          <w:lang w:val="en-US"/>
        </w:rPr>
        <w:t xml:space="preserve"> </w:t>
      </w:r>
      <w:r w:rsidRPr="0098792F">
        <w:rPr>
          <w:color w:val="000000" w:themeColor="text1"/>
          <w:szCs w:val="24"/>
          <w:lang w:val="en-US"/>
        </w:rPr>
        <w:t xml:space="preserve">Onambele-Pearson et al. 2006; Stenroth et al. 2012) are often linked to reduced locomotor </w:t>
      </w:r>
      <w:r w:rsidR="00EC11A0" w:rsidRPr="0098792F">
        <w:rPr>
          <w:color w:val="000000" w:themeColor="text1"/>
          <w:szCs w:val="24"/>
          <w:lang w:val="en-US"/>
        </w:rPr>
        <w:t>performance</w:t>
      </w:r>
      <w:r w:rsidRPr="0098792F">
        <w:rPr>
          <w:color w:val="000000" w:themeColor="text1"/>
          <w:szCs w:val="24"/>
          <w:lang w:val="en-US"/>
        </w:rPr>
        <w:t xml:space="preserve"> </w:t>
      </w:r>
      <w:r w:rsidR="00CF4115" w:rsidRPr="0098792F">
        <w:rPr>
          <w:color w:val="000000" w:themeColor="text1"/>
          <w:szCs w:val="24"/>
          <w:lang w:val="en-US"/>
        </w:rPr>
        <w:t>(</w:t>
      </w:r>
      <w:r w:rsidR="002B4EC1" w:rsidRPr="0098792F">
        <w:rPr>
          <w:color w:val="000000" w:themeColor="text1"/>
          <w:szCs w:val="24"/>
          <w:lang w:val="en-US"/>
        </w:rPr>
        <w:t>B</w:t>
      </w:r>
      <w:r w:rsidR="00CF4115" w:rsidRPr="0098792F">
        <w:rPr>
          <w:color w:val="000000" w:themeColor="text1"/>
          <w:szCs w:val="24"/>
          <w:lang w:val="en-US"/>
        </w:rPr>
        <w:t>eije</w:t>
      </w:r>
      <w:r w:rsidR="002B4EC1" w:rsidRPr="0098792F">
        <w:rPr>
          <w:color w:val="000000" w:themeColor="text1"/>
          <w:szCs w:val="24"/>
          <w:lang w:val="en-US"/>
        </w:rPr>
        <w:t>r</w:t>
      </w:r>
      <w:r w:rsidR="00CF4115" w:rsidRPr="0098792F">
        <w:rPr>
          <w:color w:val="000000" w:themeColor="text1"/>
          <w:szCs w:val="24"/>
          <w:lang w:val="en-US"/>
        </w:rPr>
        <w:t>sbergen et al</w:t>
      </w:r>
      <w:r w:rsidR="002B4EC1" w:rsidRPr="0098792F">
        <w:rPr>
          <w:color w:val="000000" w:themeColor="text1"/>
          <w:szCs w:val="24"/>
          <w:lang w:val="en-US"/>
        </w:rPr>
        <w:t>.</w:t>
      </w:r>
      <w:r w:rsidR="00CF4115" w:rsidRPr="0098792F">
        <w:rPr>
          <w:color w:val="000000" w:themeColor="text1"/>
          <w:szCs w:val="24"/>
          <w:lang w:val="en-US"/>
        </w:rPr>
        <w:t xml:space="preserve"> 2013</w:t>
      </w:r>
      <w:r w:rsidR="002B4EC1" w:rsidRPr="0098792F">
        <w:rPr>
          <w:color w:val="000000" w:themeColor="text1"/>
          <w:szCs w:val="24"/>
          <w:lang w:val="en-US"/>
        </w:rPr>
        <w:t>; Kulmala et al. 2014</w:t>
      </w:r>
      <w:r w:rsidR="00CF4115" w:rsidRPr="0098792F">
        <w:rPr>
          <w:color w:val="000000" w:themeColor="text1"/>
          <w:szCs w:val="24"/>
          <w:lang w:val="en-US"/>
        </w:rPr>
        <w:t xml:space="preserve">) </w:t>
      </w:r>
      <w:r w:rsidRPr="0098792F">
        <w:rPr>
          <w:color w:val="000000" w:themeColor="text1"/>
          <w:szCs w:val="24"/>
          <w:lang w:val="en-US"/>
        </w:rPr>
        <w:t>and ineffective reactive recovery actions during perturbed gait (</w:t>
      </w:r>
      <w:r w:rsidR="008226F5" w:rsidRPr="0098792F">
        <w:rPr>
          <w:color w:val="000000" w:themeColor="text1"/>
          <w:szCs w:val="24"/>
          <w:lang w:val="en-US"/>
        </w:rPr>
        <w:t>Pijnappels et al. 2005a, 2005b;</w:t>
      </w:r>
      <w:r w:rsidR="00536B13" w:rsidRPr="0098792F">
        <w:rPr>
          <w:color w:val="000000" w:themeColor="text1"/>
          <w:szCs w:val="24"/>
          <w:lang w:val="en-US"/>
        </w:rPr>
        <w:t xml:space="preserve"> </w:t>
      </w:r>
      <w:r w:rsidR="008226F5" w:rsidRPr="0098792F">
        <w:rPr>
          <w:color w:val="000000" w:themeColor="text1"/>
          <w:szCs w:val="24"/>
          <w:lang w:val="en-US"/>
        </w:rPr>
        <w:t>Epro et al. 2015</w:t>
      </w:r>
      <w:r w:rsidRPr="0098792F">
        <w:rPr>
          <w:color w:val="000000" w:themeColor="text1"/>
          <w:szCs w:val="24"/>
          <w:lang w:val="en-US"/>
        </w:rPr>
        <w:t>).</w:t>
      </w:r>
      <w:bookmarkStart w:id="9" w:name="_GoBack"/>
      <w:bookmarkEnd w:id="9"/>
      <w:r w:rsidR="00EB5125" w:rsidRPr="0098792F">
        <w:rPr>
          <w:color w:val="000000" w:themeColor="text1"/>
          <w:szCs w:val="24"/>
          <w:lang w:val="en-US"/>
        </w:rPr>
        <w:t xml:space="preserve"> </w:t>
      </w:r>
      <w:r w:rsidR="003F67A7" w:rsidRPr="0098792F">
        <w:rPr>
          <w:color w:val="000000" w:themeColor="text1"/>
          <w:szCs w:val="24"/>
          <w:lang w:val="en-US"/>
        </w:rPr>
        <w:t xml:space="preserve">In particular, </w:t>
      </w:r>
      <w:r w:rsidR="003F67A7" w:rsidRPr="00C827B9">
        <w:rPr>
          <w:lang w:val="en-US"/>
        </w:rPr>
        <w:t>insufficient</w:t>
      </w:r>
      <w:r w:rsidR="003F67A7" w:rsidRPr="00C827B9">
        <w:rPr>
          <w:szCs w:val="24"/>
          <w:lang w:val="en-US"/>
        </w:rPr>
        <w:t xml:space="preserve"> recovery responses following tripping have been related to age-induced deficits in the ankle plantarflexion moment in the push-off phase of h</w:t>
      </w:r>
      <w:r w:rsidR="003F67A7" w:rsidRPr="0091662D">
        <w:rPr>
          <w:color w:val="000000" w:themeColor="text1"/>
          <w:szCs w:val="24"/>
          <w:lang w:val="en-US"/>
        </w:rPr>
        <w:t>uman gait</w:t>
      </w:r>
      <w:bookmarkStart w:id="10" w:name="Mendeley_Bookmark_SumwrkLLei"/>
      <w:r w:rsidR="003F67A7" w:rsidRPr="0091662D">
        <w:rPr>
          <w:color w:val="000000" w:themeColor="text1"/>
          <w:szCs w:val="24"/>
          <w:lang w:val="en-US"/>
        </w:rPr>
        <w:t xml:space="preserve"> (Pijnappels et al. 2004, 2005a, 2005b)</w:t>
      </w:r>
      <w:bookmarkEnd w:id="10"/>
      <w:r w:rsidR="00757FCC" w:rsidRPr="0091662D">
        <w:rPr>
          <w:color w:val="000000" w:themeColor="text1"/>
          <w:szCs w:val="24"/>
          <w:lang w:val="en-US"/>
        </w:rPr>
        <w:t>, indicating to the importance of the TS for the recovery response</w:t>
      </w:r>
      <w:r w:rsidR="00112FEB" w:rsidRPr="0091662D">
        <w:rPr>
          <w:color w:val="000000" w:themeColor="text1"/>
          <w:szCs w:val="24"/>
          <w:lang w:val="en-US"/>
        </w:rPr>
        <w:t>s</w:t>
      </w:r>
      <w:r w:rsidR="00757FCC" w:rsidRPr="0091662D">
        <w:rPr>
          <w:color w:val="000000" w:themeColor="text1"/>
          <w:szCs w:val="24"/>
          <w:lang w:val="en-US"/>
        </w:rPr>
        <w:t xml:space="preserve"> in perturbed gait</w:t>
      </w:r>
      <w:r w:rsidR="003F67A7" w:rsidRPr="0091662D">
        <w:rPr>
          <w:color w:val="000000" w:themeColor="text1"/>
          <w:szCs w:val="24"/>
          <w:lang w:val="en-US"/>
        </w:rPr>
        <w:t xml:space="preserve">. </w:t>
      </w:r>
      <w:r w:rsidR="001764AE" w:rsidRPr="0091662D">
        <w:rPr>
          <w:color w:val="000000" w:themeColor="text1"/>
          <w:szCs w:val="24"/>
          <w:lang w:val="en-US"/>
        </w:rPr>
        <w:t xml:space="preserve">Furthermore, reduced lower limb muscle-tendon unit capacities in older adults </w:t>
      </w:r>
      <w:r w:rsidR="006554C8" w:rsidRPr="0091662D">
        <w:rPr>
          <w:color w:val="000000" w:themeColor="text1"/>
          <w:szCs w:val="24"/>
          <w:lang w:val="en-US"/>
        </w:rPr>
        <w:t xml:space="preserve">have </w:t>
      </w:r>
      <w:r w:rsidR="001764AE" w:rsidRPr="0091662D">
        <w:rPr>
          <w:color w:val="000000" w:themeColor="text1"/>
          <w:szCs w:val="24"/>
          <w:lang w:val="en-US"/>
        </w:rPr>
        <w:t xml:space="preserve">been associated with a </w:t>
      </w:r>
      <w:r w:rsidR="001F1BF0" w:rsidRPr="0091662D">
        <w:rPr>
          <w:color w:val="000000" w:themeColor="text1"/>
          <w:szCs w:val="24"/>
          <w:lang w:val="en-US"/>
        </w:rPr>
        <w:t xml:space="preserve">diminished </w:t>
      </w:r>
      <w:r w:rsidR="001764AE" w:rsidRPr="0091662D">
        <w:rPr>
          <w:color w:val="000000" w:themeColor="text1"/>
          <w:szCs w:val="24"/>
          <w:lang w:val="en-US"/>
        </w:rPr>
        <w:t xml:space="preserve">ability to enlarge the </w:t>
      </w:r>
      <w:r w:rsidR="00634C70" w:rsidRPr="0091662D">
        <w:rPr>
          <w:color w:val="000000" w:themeColor="text1"/>
          <w:szCs w:val="24"/>
          <w:lang w:val="en-US"/>
        </w:rPr>
        <w:t>base of support</w:t>
      </w:r>
      <w:r w:rsidR="001764AE" w:rsidRPr="0091662D">
        <w:rPr>
          <w:color w:val="000000" w:themeColor="text1"/>
          <w:szCs w:val="24"/>
          <w:lang w:val="en-US"/>
        </w:rPr>
        <w:t xml:space="preserve">, and thereby, to control stability after sudden release from a forward lean position </w:t>
      </w:r>
      <w:bookmarkStart w:id="11" w:name="Mendeley_Bookmark_iZ4LO2Vn1V"/>
      <w:r w:rsidR="001764AE" w:rsidRPr="0091662D">
        <w:rPr>
          <w:color w:val="000000" w:themeColor="text1"/>
          <w:szCs w:val="24"/>
          <w:lang w:val="en-US"/>
        </w:rPr>
        <w:t>(Karamanidis et al. 2008)</w:t>
      </w:r>
      <w:bookmarkEnd w:id="11"/>
      <w:r w:rsidR="001764AE" w:rsidRPr="0091662D">
        <w:rPr>
          <w:color w:val="000000" w:themeColor="text1"/>
          <w:szCs w:val="24"/>
          <w:lang w:val="en-US"/>
        </w:rPr>
        <w:t>.</w:t>
      </w:r>
      <w:r w:rsidR="0098792F" w:rsidRPr="0091662D">
        <w:rPr>
          <w:color w:val="000000" w:themeColor="text1"/>
          <w:lang w:val="en-US"/>
        </w:rPr>
        <w:t xml:space="preserve"> </w:t>
      </w:r>
      <w:r w:rsidR="009C1E0D" w:rsidRPr="0091662D">
        <w:rPr>
          <w:color w:val="000000" w:themeColor="text1"/>
          <w:szCs w:val="24"/>
          <w:lang w:val="en-US"/>
        </w:rPr>
        <w:t>These o</w:t>
      </w:r>
      <w:r w:rsidR="000E7557" w:rsidRPr="0091662D">
        <w:rPr>
          <w:color w:val="000000" w:themeColor="text1"/>
          <w:szCs w:val="24"/>
          <w:lang w:val="en-US"/>
        </w:rPr>
        <w:t>bservations suggest that the TS muscle-tendon unit (MTU) mechanical properties in particular, have a crucial role in the recovery response to unexpected</w:t>
      </w:r>
      <w:r w:rsidR="00CA7E3D" w:rsidRPr="0091662D">
        <w:rPr>
          <w:color w:val="000000" w:themeColor="text1"/>
          <w:szCs w:val="24"/>
          <w:lang w:val="en-US"/>
        </w:rPr>
        <w:t xml:space="preserve"> gait disturbances and indicate that</w:t>
      </w:r>
      <w:r w:rsidR="00A53A8E" w:rsidRPr="0091662D">
        <w:rPr>
          <w:color w:val="000000" w:themeColor="text1"/>
        </w:rPr>
        <w:t xml:space="preserve"> </w:t>
      </w:r>
      <w:r w:rsidR="00A53A8E" w:rsidRPr="0091662D">
        <w:rPr>
          <w:color w:val="000000" w:themeColor="text1"/>
          <w:szCs w:val="24"/>
          <w:lang w:val="en-US"/>
        </w:rPr>
        <w:t>improving ankle plantarflexor</w:t>
      </w:r>
      <w:r w:rsidR="00A53A8E" w:rsidRPr="0091662D">
        <w:rPr>
          <w:color w:val="000000" w:themeColor="text1"/>
        </w:rPr>
        <w:t xml:space="preserve"> </w:t>
      </w:r>
      <w:r w:rsidR="00A53A8E" w:rsidRPr="0091662D">
        <w:rPr>
          <w:color w:val="000000" w:themeColor="text1"/>
          <w:szCs w:val="24"/>
          <w:lang w:val="en-US"/>
        </w:rPr>
        <w:t>muscle strength and Achilles tendon stiffness, in addition to repetitive exposure to unexpected perturbations may be beneficial for gait stability in older adults.</w:t>
      </w:r>
      <w:r w:rsidR="00A53A8E" w:rsidRPr="0091662D">
        <w:rPr>
          <w:color w:val="000000" w:themeColor="text1"/>
          <w:lang w:val="en-US"/>
        </w:rPr>
        <w:t xml:space="preserve"> </w:t>
      </w:r>
    </w:p>
    <w:p w14:paraId="333F07CE" w14:textId="3D6C50B8" w:rsidR="00595044" w:rsidRPr="0091662D" w:rsidRDefault="00A47A54" w:rsidP="007436D7">
      <w:pPr>
        <w:spacing w:after="0"/>
        <w:jc w:val="both"/>
        <w:rPr>
          <w:color w:val="000000" w:themeColor="text1"/>
          <w:szCs w:val="24"/>
          <w:lang w:val="en-US"/>
        </w:rPr>
      </w:pPr>
      <w:r w:rsidRPr="0091662D">
        <w:rPr>
          <w:color w:val="000000" w:themeColor="text1"/>
          <w:szCs w:val="24"/>
          <w:lang w:val="en-US"/>
        </w:rPr>
        <w:t>E</w:t>
      </w:r>
      <w:r w:rsidR="009C1E0D" w:rsidRPr="0091662D">
        <w:rPr>
          <w:color w:val="000000" w:themeColor="text1"/>
          <w:szCs w:val="24"/>
          <w:lang w:val="en-US"/>
        </w:rPr>
        <w:t xml:space="preserve">xercise interventions </w:t>
      </w:r>
      <w:r w:rsidRPr="0091662D">
        <w:rPr>
          <w:color w:val="000000" w:themeColor="text1"/>
          <w:szCs w:val="24"/>
          <w:lang w:val="en-US"/>
        </w:rPr>
        <w:t>with</w:t>
      </w:r>
      <w:r w:rsidR="009C1E0D" w:rsidRPr="0091662D">
        <w:rPr>
          <w:color w:val="000000" w:themeColor="text1"/>
          <w:szCs w:val="24"/>
          <w:lang w:val="en-US"/>
        </w:rPr>
        <w:t xml:space="preserve"> high magnitude</w:t>
      </w:r>
      <w:r w:rsidR="006554C8" w:rsidRPr="0091662D">
        <w:rPr>
          <w:color w:val="000000" w:themeColor="text1"/>
          <w:szCs w:val="24"/>
          <w:lang w:val="en-US"/>
        </w:rPr>
        <w:t>s</w:t>
      </w:r>
      <w:r w:rsidR="009C1E0D" w:rsidRPr="0091662D">
        <w:rPr>
          <w:color w:val="000000" w:themeColor="text1"/>
          <w:szCs w:val="24"/>
          <w:lang w:val="en-US"/>
        </w:rPr>
        <w:t xml:space="preserve"> of mechanical strain on the MTUs are </w:t>
      </w:r>
      <w:r w:rsidRPr="0091662D">
        <w:rPr>
          <w:color w:val="000000" w:themeColor="text1"/>
          <w:szCs w:val="24"/>
          <w:lang w:val="en-US"/>
        </w:rPr>
        <w:t>known</w:t>
      </w:r>
      <w:r w:rsidR="004771EC" w:rsidRPr="0091662D">
        <w:rPr>
          <w:color w:val="000000" w:themeColor="text1"/>
          <w:szCs w:val="24"/>
          <w:lang w:val="en-US"/>
        </w:rPr>
        <w:t xml:space="preserve"> to</w:t>
      </w:r>
      <w:r w:rsidRPr="0091662D">
        <w:rPr>
          <w:color w:val="000000" w:themeColor="text1"/>
          <w:szCs w:val="24"/>
          <w:lang w:val="en-US"/>
        </w:rPr>
        <w:t xml:space="preserve"> </w:t>
      </w:r>
      <w:r w:rsidR="00582A2A" w:rsidRPr="0091662D">
        <w:rPr>
          <w:color w:val="000000" w:themeColor="text1"/>
          <w:szCs w:val="24"/>
          <w:lang w:val="en-US"/>
        </w:rPr>
        <w:t xml:space="preserve">counteract the age-related deteriorations in </w:t>
      </w:r>
      <w:r w:rsidR="009C1E0D" w:rsidRPr="0091662D">
        <w:rPr>
          <w:color w:val="000000" w:themeColor="text1"/>
          <w:szCs w:val="24"/>
          <w:lang w:val="en-US"/>
        </w:rPr>
        <w:t xml:space="preserve">skeletal muscles </w:t>
      </w:r>
      <w:r w:rsidRPr="0091662D">
        <w:rPr>
          <w:color w:val="000000" w:themeColor="text1"/>
          <w:szCs w:val="24"/>
          <w:lang w:val="en-US"/>
        </w:rPr>
        <w:t>and</w:t>
      </w:r>
      <w:r w:rsidR="00872E73" w:rsidRPr="0091662D">
        <w:rPr>
          <w:color w:val="000000" w:themeColor="text1"/>
        </w:rPr>
        <w:t xml:space="preserve"> </w:t>
      </w:r>
      <w:r w:rsidR="00872E73" w:rsidRPr="0091662D">
        <w:rPr>
          <w:color w:val="000000" w:themeColor="text1"/>
          <w:szCs w:val="24"/>
          <w:lang w:val="en-US"/>
        </w:rPr>
        <w:t>tendinous tissues (Reeves et al. 2003; Karamanidis et al. 2014; Epro et al. 2017).</w:t>
      </w:r>
      <w:r w:rsidR="00E30B01" w:rsidRPr="0091662D">
        <w:rPr>
          <w:color w:val="000000" w:themeColor="text1"/>
          <w:szCs w:val="24"/>
          <w:lang w:val="en-US"/>
        </w:rPr>
        <w:t xml:space="preserve"> </w:t>
      </w:r>
      <w:r w:rsidR="00B55B97" w:rsidRPr="0091662D">
        <w:rPr>
          <w:color w:val="000000" w:themeColor="text1"/>
          <w:szCs w:val="24"/>
          <w:lang w:val="en-US"/>
        </w:rPr>
        <w:t xml:space="preserve">However, </w:t>
      </w:r>
      <w:r w:rsidR="00772CC9" w:rsidRPr="0091662D">
        <w:rPr>
          <w:color w:val="000000" w:themeColor="text1"/>
          <w:szCs w:val="24"/>
          <w:lang w:val="en-US"/>
        </w:rPr>
        <w:t xml:space="preserve">the reductions in muscle activation </w:t>
      </w:r>
      <w:r w:rsidR="00B55B97" w:rsidRPr="0091662D">
        <w:rPr>
          <w:color w:val="000000" w:themeColor="text1"/>
          <w:szCs w:val="24"/>
          <w:lang w:val="en-US"/>
        </w:rPr>
        <w:lastRenderedPageBreak/>
        <w:t xml:space="preserve">due to aging </w:t>
      </w:r>
      <w:r w:rsidR="00772CC9" w:rsidRPr="0091662D">
        <w:rPr>
          <w:color w:val="000000" w:themeColor="text1"/>
          <w:szCs w:val="24"/>
          <w:lang w:val="en-US"/>
        </w:rPr>
        <w:t xml:space="preserve">coincide with </w:t>
      </w:r>
      <w:r w:rsidR="00B724B5" w:rsidRPr="0091662D">
        <w:rPr>
          <w:color w:val="000000" w:themeColor="text1"/>
          <w:szCs w:val="24"/>
          <w:lang w:val="en-US"/>
        </w:rPr>
        <w:t xml:space="preserve">substantial </w:t>
      </w:r>
      <w:r w:rsidR="00772CC9" w:rsidRPr="0091662D">
        <w:rPr>
          <w:color w:val="000000" w:themeColor="text1"/>
          <w:szCs w:val="24"/>
          <w:lang w:val="en-US"/>
        </w:rPr>
        <w:t xml:space="preserve">cortical reorganization </w:t>
      </w:r>
      <w:bookmarkStart w:id="12" w:name="Mendeley_Bookmark_Ni7AxdaGQJ"/>
      <w:r w:rsidR="00772CC9" w:rsidRPr="0091662D">
        <w:rPr>
          <w:color w:val="000000" w:themeColor="text1"/>
          <w:szCs w:val="24"/>
          <w:lang w:val="en-US"/>
        </w:rPr>
        <w:t>(Ward and Frackowiak 2003; Ward et al. 2008)</w:t>
      </w:r>
      <w:bookmarkEnd w:id="12"/>
      <w:r w:rsidR="00772CC9" w:rsidRPr="0091662D">
        <w:rPr>
          <w:color w:val="000000" w:themeColor="text1"/>
          <w:szCs w:val="24"/>
          <w:lang w:val="en-US"/>
        </w:rPr>
        <w:t xml:space="preserve"> and reduced excitability of efferent corticospinal pathways </w:t>
      </w:r>
      <w:bookmarkStart w:id="13" w:name="Mendeley_Bookmark_fuzKf4L2ZV"/>
      <w:r w:rsidR="00772CC9" w:rsidRPr="0091662D">
        <w:rPr>
          <w:color w:val="000000" w:themeColor="text1"/>
          <w:szCs w:val="24"/>
          <w:lang w:val="en-US"/>
        </w:rPr>
        <w:t>(Eisen et al. 1991; Sale and Semmler 2005)</w:t>
      </w:r>
      <w:bookmarkEnd w:id="13"/>
      <w:r w:rsidR="001D732F" w:rsidRPr="0091662D">
        <w:rPr>
          <w:color w:val="000000" w:themeColor="text1"/>
          <w:szCs w:val="24"/>
          <w:lang w:val="en-US"/>
        </w:rPr>
        <w:t>, contributing</w:t>
      </w:r>
      <w:r w:rsidR="00772CC9" w:rsidRPr="0091662D">
        <w:rPr>
          <w:color w:val="000000" w:themeColor="text1"/>
          <w:szCs w:val="24"/>
          <w:lang w:val="en-US"/>
        </w:rPr>
        <w:t xml:space="preserve"> to the </w:t>
      </w:r>
      <w:r w:rsidR="001D732F" w:rsidRPr="0091662D">
        <w:rPr>
          <w:color w:val="000000" w:themeColor="text1"/>
          <w:szCs w:val="24"/>
          <w:lang w:val="en-US"/>
        </w:rPr>
        <w:t xml:space="preserve">loss of spinal motor neurons </w:t>
      </w:r>
      <w:r w:rsidR="00772CC9" w:rsidRPr="0091662D">
        <w:rPr>
          <w:color w:val="000000" w:themeColor="text1"/>
          <w:szCs w:val="24"/>
          <w:lang w:val="en-US"/>
        </w:rPr>
        <w:t xml:space="preserve">and </w:t>
      </w:r>
      <w:r w:rsidR="001B44F4" w:rsidRPr="0091662D">
        <w:rPr>
          <w:color w:val="000000" w:themeColor="text1"/>
          <w:szCs w:val="24"/>
          <w:lang w:val="en-US"/>
        </w:rPr>
        <w:t xml:space="preserve">to </w:t>
      </w:r>
      <w:r w:rsidR="006554C8" w:rsidRPr="0091662D">
        <w:rPr>
          <w:color w:val="000000" w:themeColor="text1"/>
          <w:szCs w:val="24"/>
          <w:lang w:val="en-US"/>
        </w:rPr>
        <w:t xml:space="preserve">a </w:t>
      </w:r>
      <w:r w:rsidR="001D732F" w:rsidRPr="0091662D">
        <w:rPr>
          <w:color w:val="000000" w:themeColor="text1"/>
          <w:szCs w:val="24"/>
          <w:lang w:val="en-US"/>
        </w:rPr>
        <w:t xml:space="preserve">reduction in </w:t>
      </w:r>
      <w:r w:rsidR="00772CC9" w:rsidRPr="0091662D">
        <w:rPr>
          <w:color w:val="000000" w:themeColor="text1"/>
          <w:szCs w:val="24"/>
          <w:lang w:val="en-US"/>
        </w:rPr>
        <w:t xml:space="preserve">motor performance. </w:t>
      </w:r>
      <w:r w:rsidR="002E33EC" w:rsidRPr="0091662D">
        <w:rPr>
          <w:color w:val="000000" w:themeColor="text1"/>
          <w:szCs w:val="24"/>
          <w:lang w:val="en-US"/>
        </w:rPr>
        <w:t xml:space="preserve">Furthermore, specific </w:t>
      </w:r>
      <w:r w:rsidR="001B44F4" w:rsidRPr="0091662D">
        <w:rPr>
          <w:color w:val="000000" w:themeColor="text1"/>
          <w:szCs w:val="24"/>
          <w:lang w:val="en-US"/>
        </w:rPr>
        <w:t>cortical areas a</w:t>
      </w:r>
      <w:r w:rsidR="00716BE6" w:rsidRPr="0091662D">
        <w:rPr>
          <w:color w:val="000000" w:themeColor="text1"/>
          <w:szCs w:val="24"/>
          <w:lang w:val="en-US"/>
        </w:rPr>
        <w:t>re</w:t>
      </w:r>
      <w:r w:rsidR="00E11248" w:rsidRPr="0091662D">
        <w:rPr>
          <w:color w:val="000000" w:themeColor="text1"/>
          <w:szCs w:val="24"/>
          <w:lang w:val="en-US"/>
        </w:rPr>
        <w:t xml:space="preserve"> </w:t>
      </w:r>
      <w:r w:rsidR="00716BE6" w:rsidRPr="0091662D">
        <w:rPr>
          <w:color w:val="000000" w:themeColor="text1"/>
          <w:szCs w:val="24"/>
          <w:lang w:val="en-US"/>
        </w:rPr>
        <w:t xml:space="preserve">suggested to </w:t>
      </w:r>
      <w:r w:rsidR="006554C8" w:rsidRPr="0091662D">
        <w:rPr>
          <w:color w:val="000000" w:themeColor="text1"/>
          <w:szCs w:val="24"/>
          <w:lang w:val="en-US"/>
        </w:rPr>
        <w:t xml:space="preserve">play </w:t>
      </w:r>
      <w:r w:rsidR="00716BE6" w:rsidRPr="0091662D">
        <w:rPr>
          <w:color w:val="000000" w:themeColor="text1"/>
          <w:szCs w:val="24"/>
          <w:lang w:val="en-US"/>
        </w:rPr>
        <w:t>a</w:t>
      </w:r>
      <w:r w:rsidR="001822D0" w:rsidRPr="0091662D">
        <w:rPr>
          <w:color w:val="000000" w:themeColor="text1"/>
          <w:szCs w:val="24"/>
          <w:lang w:val="en-US"/>
        </w:rPr>
        <w:t>n important</w:t>
      </w:r>
      <w:r w:rsidR="00716BE6" w:rsidRPr="0091662D">
        <w:rPr>
          <w:color w:val="000000" w:themeColor="text1"/>
          <w:szCs w:val="24"/>
          <w:lang w:val="en-US"/>
        </w:rPr>
        <w:t xml:space="preserve"> role in integration of sensory information and stability control during gait</w:t>
      </w:r>
      <w:r w:rsidR="00716BE6" w:rsidRPr="0091662D">
        <w:rPr>
          <w:color w:val="000000" w:themeColor="text1"/>
          <w:lang w:val="en-US"/>
        </w:rPr>
        <w:t xml:space="preserve"> </w:t>
      </w:r>
      <w:r w:rsidR="00823ED7" w:rsidRPr="0091662D">
        <w:rPr>
          <w:color w:val="000000" w:themeColor="text1"/>
          <w:lang w:val="en-US"/>
        </w:rPr>
        <w:t xml:space="preserve">in older adults </w:t>
      </w:r>
      <w:r w:rsidR="00716BE6" w:rsidRPr="0091662D">
        <w:rPr>
          <w:color w:val="000000" w:themeColor="text1"/>
          <w:szCs w:val="24"/>
          <w:lang w:val="en-US"/>
        </w:rPr>
        <w:t>(</w:t>
      </w:r>
      <w:r w:rsidR="001B44F4" w:rsidRPr="0091662D">
        <w:rPr>
          <w:color w:val="000000" w:themeColor="text1"/>
          <w:lang w:val="en-US"/>
        </w:rPr>
        <w:t xml:space="preserve">Bruijn et al. 2014; </w:t>
      </w:r>
      <w:r w:rsidR="001B44F4" w:rsidRPr="0091662D">
        <w:rPr>
          <w:color w:val="000000" w:themeColor="text1"/>
          <w:szCs w:val="24"/>
          <w:lang w:val="en-US"/>
        </w:rPr>
        <w:t>la Fougere et al., 2010;</w:t>
      </w:r>
      <w:r w:rsidR="001B44F4" w:rsidRPr="0091662D">
        <w:rPr>
          <w:color w:val="000000" w:themeColor="text1"/>
          <w:lang w:val="en-US"/>
        </w:rPr>
        <w:t xml:space="preserve"> Koo et al. 2012</w:t>
      </w:r>
      <w:r w:rsidR="00FA757F" w:rsidRPr="0091662D">
        <w:rPr>
          <w:color w:val="000000" w:themeColor="text1"/>
          <w:szCs w:val="24"/>
          <w:lang w:val="en-US"/>
        </w:rPr>
        <w:t>)</w:t>
      </w:r>
      <w:r w:rsidR="00EF58EC" w:rsidRPr="0091662D">
        <w:rPr>
          <w:color w:val="000000" w:themeColor="text1"/>
          <w:szCs w:val="24"/>
          <w:lang w:val="en-US"/>
        </w:rPr>
        <w:t xml:space="preserve">, meaning that </w:t>
      </w:r>
      <w:r w:rsidR="00EF58EC" w:rsidRPr="0091662D">
        <w:rPr>
          <w:color w:val="000000" w:themeColor="text1"/>
          <w:lang w:val="en-US"/>
        </w:rPr>
        <w:t>interventions aiming to modify these cortical areas may be beneficial for older adults. In contrast to conventional muscle strength</w:t>
      </w:r>
      <w:r w:rsidR="00EF58EC" w:rsidRPr="0091662D">
        <w:rPr>
          <w:color w:val="000000" w:themeColor="text1"/>
          <w:szCs w:val="24"/>
          <w:lang w:val="en-US"/>
        </w:rPr>
        <w:t xml:space="preserve"> exercise, s</w:t>
      </w:r>
      <w:r w:rsidR="00EF58EC" w:rsidRPr="0091662D">
        <w:rPr>
          <w:color w:val="000000" w:themeColor="text1"/>
          <w:lang w:val="en-US"/>
        </w:rPr>
        <w:t xml:space="preserve">pecific motor skill training has been shown </w:t>
      </w:r>
      <w:r w:rsidR="00EF58EC" w:rsidRPr="0091662D">
        <w:rPr>
          <w:color w:val="000000" w:themeColor="text1"/>
          <w:szCs w:val="24"/>
          <w:lang w:val="en-US"/>
        </w:rPr>
        <w:t xml:space="preserve">to </w:t>
      </w:r>
      <w:r w:rsidR="00EF58EC" w:rsidRPr="0091662D">
        <w:rPr>
          <w:color w:val="000000" w:themeColor="text1"/>
          <w:lang w:val="en-US"/>
        </w:rPr>
        <w:t xml:space="preserve">increase the excitability </w:t>
      </w:r>
      <w:r w:rsidR="00DB6056" w:rsidRPr="0091662D">
        <w:rPr>
          <w:color w:val="000000" w:themeColor="text1"/>
          <w:lang w:val="en-US"/>
        </w:rPr>
        <w:t>(</w:t>
      </w:r>
      <w:r w:rsidR="00EF58EC" w:rsidRPr="0091662D">
        <w:rPr>
          <w:color w:val="000000" w:themeColor="text1"/>
          <w:lang w:val="en-US"/>
        </w:rPr>
        <w:t>and expand</w:t>
      </w:r>
      <w:r w:rsidR="00DB6056" w:rsidRPr="0091662D">
        <w:rPr>
          <w:color w:val="000000" w:themeColor="text1"/>
          <w:lang w:val="en-US"/>
        </w:rPr>
        <w:t>)</w:t>
      </w:r>
      <w:r w:rsidR="00EF58EC" w:rsidRPr="0091662D">
        <w:rPr>
          <w:color w:val="000000" w:themeColor="text1"/>
          <w:lang w:val="en-US"/>
        </w:rPr>
        <w:t xml:space="preserve"> the cortical areas corresponding to the specific muscles involved in the motor task (Pascual-Leone et al. 1995; Lotze et al. 2003; Tinazzi et al. 2003; Perez et al. 2004; Jensen et al. 2005). </w:t>
      </w:r>
      <w:r w:rsidR="00595044" w:rsidRPr="0091662D">
        <w:rPr>
          <w:color w:val="000000" w:themeColor="text1"/>
          <w:szCs w:val="24"/>
          <w:lang w:val="en-US"/>
        </w:rPr>
        <w:t xml:space="preserve">To our knowledge, no study has examined whether </w:t>
      </w:r>
      <w:r w:rsidR="00B21AD8" w:rsidRPr="0091662D">
        <w:rPr>
          <w:color w:val="000000" w:themeColor="text1"/>
          <w:szCs w:val="24"/>
          <w:lang w:val="en-US"/>
        </w:rPr>
        <w:t xml:space="preserve">a </w:t>
      </w:r>
      <w:r w:rsidR="005705CE" w:rsidRPr="0091662D">
        <w:rPr>
          <w:color w:val="000000" w:themeColor="text1"/>
          <w:szCs w:val="24"/>
          <w:lang w:val="en-US"/>
        </w:rPr>
        <w:t xml:space="preserve">TS </w:t>
      </w:r>
      <w:r w:rsidR="00B21AD8" w:rsidRPr="0091662D">
        <w:rPr>
          <w:color w:val="000000" w:themeColor="text1"/>
          <w:szCs w:val="24"/>
          <w:lang w:val="en-US"/>
        </w:rPr>
        <w:t>neuromuscular exercise</w:t>
      </w:r>
      <w:r w:rsidR="003A2D2C" w:rsidRPr="0091662D">
        <w:rPr>
          <w:color w:val="000000" w:themeColor="text1"/>
          <w:szCs w:val="24"/>
          <w:lang w:val="en-US"/>
        </w:rPr>
        <w:t xml:space="preserve"> of the lower limbs </w:t>
      </w:r>
      <w:r w:rsidR="00595044" w:rsidRPr="0091662D">
        <w:rPr>
          <w:color w:val="000000" w:themeColor="text1"/>
          <w:szCs w:val="24"/>
          <w:lang w:val="en-US"/>
        </w:rPr>
        <w:t>incorporating both resistance and specific motor skill training</w:t>
      </w:r>
      <w:r w:rsidR="00B21AD8" w:rsidRPr="0091662D">
        <w:rPr>
          <w:color w:val="000000" w:themeColor="text1"/>
          <w:szCs w:val="24"/>
          <w:lang w:val="en-US"/>
        </w:rPr>
        <w:t xml:space="preserve"> </w:t>
      </w:r>
      <w:r w:rsidR="00595044" w:rsidRPr="0091662D">
        <w:rPr>
          <w:color w:val="000000" w:themeColor="text1"/>
          <w:szCs w:val="24"/>
          <w:lang w:val="en-US"/>
        </w:rPr>
        <w:t>would lead to a more effective dynamic gait stability control during perturbed walking in the elderly.</w:t>
      </w:r>
    </w:p>
    <w:p w14:paraId="141B42EE" w14:textId="6592B669" w:rsidR="00E52148" w:rsidRPr="0091662D" w:rsidRDefault="00932756" w:rsidP="007436D7">
      <w:pPr>
        <w:spacing w:after="0"/>
        <w:jc w:val="both"/>
        <w:rPr>
          <w:color w:val="000000" w:themeColor="text1"/>
          <w:lang w:val="en-US"/>
        </w:rPr>
      </w:pPr>
      <w:r w:rsidRPr="0091662D">
        <w:rPr>
          <w:color w:val="000000" w:themeColor="text1"/>
          <w:lang w:val="en-US"/>
        </w:rPr>
        <w:t>In a recent study (</w:t>
      </w:r>
      <w:r w:rsidRPr="0091662D">
        <w:rPr>
          <w:color w:val="000000" w:themeColor="text1"/>
          <w:szCs w:val="24"/>
          <w:lang w:val="en-US"/>
        </w:rPr>
        <w:t>E</w:t>
      </w:r>
      <w:r w:rsidRPr="0091662D">
        <w:rPr>
          <w:color w:val="000000" w:themeColor="text1"/>
          <w:lang w:val="en-US"/>
        </w:rPr>
        <w:t xml:space="preserve">pro et al. </w:t>
      </w:r>
      <w:r w:rsidRPr="0091662D">
        <w:rPr>
          <w:color w:val="000000" w:themeColor="text1"/>
          <w:szCs w:val="24"/>
          <w:lang w:val="en-US"/>
        </w:rPr>
        <w:t>2017</w:t>
      </w:r>
      <w:r w:rsidRPr="0091662D">
        <w:rPr>
          <w:color w:val="000000" w:themeColor="text1"/>
          <w:lang w:val="en-US"/>
        </w:rPr>
        <w:t xml:space="preserve">) we were able to increase the TS muscle strength and Achilles tendon stiffness in a group older adults over a time course of 1.5 years, with no changes in the control group. In the current study, we assessed dynamic gait stability during perturbed walking in the same subject groups to determine whether this enhancement of the TS capacities following medium-term (14 weeks) or long-term (1.5 years) exercise would benefit reactive gait stability and if this would have a cumulative effect with retained reactive response improvements made during sessions of perturbations conducted prior to and 14 weeks into the exercise intervention. </w:t>
      </w:r>
      <w:r w:rsidR="00536006" w:rsidRPr="0091662D">
        <w:rPr>
          <w:color w:val="000000" w:themeColor="text1"/>
          <w:lang w:val="en-US"/>
        </w:rPr>
        <w:t xml:space="preserve">Based on previous observations, </w:t>
      </w:r>
      <w:r w:rsidR="008E3A6E" w:rsidRPr="0091662D">
        <w:rPr>
          <w:color w:val="000000" w:themeColor="text1"/>
          <w:lang w:val="en-US"/>
        </w:rPr>
        <w:t>it was</w:t>
      </w:r>
      <w:r w:rsidR="00536006" w:rsidRPr="0091662D">
        <w:rPr>
          <w:color w:val="000000" w:themeColor="text1"/>
          <w:lang w:val="en-US"/>
        </w:rPr>
        <w:t xml:space="preserve"> hypothesized that </w:t>
      </w:r>
      <w:r w:rsidR="00682C77" w:rsidRPr="0091662D">
        <w:rPr>
          <w:color w:val="000000" w:themeColor="text1"/>
          <w:lang w:val="en-US"/>
        </w:rPr>
        <w:t xml:space="preserve">dynamic gait stability improvements would be retained by both subject groups, </w:t>
      </w:r>
      <w:r w:rsidR="00536006" w:rsidRPr="0091662D">
        <w:rPr>
          <w:color w:val="000000" w:themeColor="text1"/>
          <w:lang w:val="en-US"/>
        </w:rPr>
        <w:t xml:space="preserve">with greater retention at 14 weeks, compared to 1.5 years. The addition of TS </w:t>
      </w:r>
      <w:r w:rsidR="003370B4" w:rsidRPr="0091662D">
        <w:rPr>
          <w:color w:val="000000" w:themeColor="text1"/>
          <w:lang w:val="en-US"/>
        </w:rPr>
        <w:t>neuromuscular</w:t>
      </w:r>
      <w:r w:rsidR="00536006" w:rsidRPr="0091662D">
        <w:rPr>
          <w:color w:val="000000" w:themeColor="text1"/>
          <w:lang w:val="en-US"/>
        </w:rPr>
        <w:t xml:space="preserve"> exercise was expected to have a cumulative benefit on the reactive </w:t>
      </w:r>
      <w:r w:rsidR="00536006" w:rsidRPr="0091662D">
        <w:rPr>
          <w:color w:val="000000" w:themeColor="text1"/>
          <w:lang w:val="en-US"/>
        </w:rPr>
        <w:lastRenderedPageBreak/>
        <w:t>response during perturbed walking</w:t>
      </w:r>
      <w:r w:rsidR="007436D7" w:rsidRPr="0091662D">
        <w:rPr>
          <w:color w:val="000000" w:themeColor="text1"/>
          <w:lang w:val="en-US"/>
        </w:rPr>
        <w:t xml:space="preserve"> after 1.5 years</w:t>
      </w:r>
      <w:r w:rsidR="00BA7D0B" w:rsidRPr="0091662D">
        <w:rPr>
          <w:color w:val="000000" w:themeColor="text1"/>
          <w:lang w:val="en-US"/>
        </w:rPr>
        <w:t>. Furthermore, we</w:t>
      </w:r>
      <w:r w:rsidR="00B5505C" w:rsidRPr="0091662D">
        <w:rPr>
          <w:color w:val="000000" w:themeColor="text1"/>
          <w:lang w:val="en-US"/>
        </w:rPr>
        <w:t xml:space="preserve"> </w:t>
      </w:r>
      <w:r w:rsidR="00BA7D0B" w:rsidRPr="0091662D">
        <w:rPr>
          <w:color w:val="000000" w:themeColor="text1"/>
          <w:lang w:val="en-US"/>
        </w:rPr>
        <w:t>hypothesi</w:t>
      </w:r>
      <w:r w:rsidR="004C3E34" w:rsidRPr="0091662D">
        <w:rPr>
          <w:color w:val="000000" w:themeColor="text1"/>
          <w:lang w:val="en-US"/>
        </w:rPr>
        <w:t>zed</w:t>
      </w:r>
      <w:r w:rsidR="00BA7D0B" w:rsidRPr="0091662D">
        <w:rPr>
          <w:color w:val="000000" w:themeColor="text1"/>
          <w:lang w:val="en-US"/>
        </w:rPr>
        <w:t xml:space="preserve"> </w:t>
      </w:r>
      <w:r w:rsidR="006554C8" w:rsidRPr="0091662D">
        <w:rPr>
          <w:color w:val="000000" w:themeColor="text1"/>
          <w:lang w:val="en-US"/>
        </w:rPr>
        <w:t xml:space="preserve">that </w:t>
      </w:r>
      <w:r w:rsidR="00BA7D0B" w:rsidRPr="0091662D">
        <w:rPr>
          <w:color w:val="000000" w:themeColor="text1"/>
          <w:lang w:val="en-US"/>
        </w:rPr>
        <w:t xml:space="preserve">older adults show a more prolonged transfer </w:t>
      </w:r>
      <w:r w:rsidR="006554C8" w:rsidRPr="0091662D">
        <w:rPr>
          <w:color w:val="000000" w:themeColor="text1"/>
          <w:lang w:val="en-US"/>
        </w:rPr>
        <w:t xml:space="preserve">(i.e. longer than the typical intervention length of 12-14 weeks) </w:t>
      </w:r>
      <w:r w:rsidR="00BA7D0B" w:rsidRPr="0091662D">
        <w:rPr>
          <w:color w:val="000000" w:themeColor="text1"/>
          <w:lang w:val="en-US"/>
        </w:rPr>
        <w:t xml:space="preserve">of newly obtained </w:t>
      </w:r>
      <w:r w:rsidR="00287339" w:rsidRPr="0091662D">
        <w:rPr>
          <w:color w:val="000000" w:themeColor="text1"/>
          <w:lang w:val="en-US"/>
        </w:rPr>
        <w:t>TS</w:t>
      </w:r>
      <w:r w:rsidR="00BA7D0B" w:rsidRPr="0091662D">
        <w:rPr>
          <w:color w:val="000000" w:themeColor="text1"/>
          <w:lang w:val="en-US"/>
        </w:rPr>
        <w:t xml:space="preserve"> capacities </w:t>
      </w:r>
      <w:r w:rsidR="006554C8" w:rsidRPr="0091662D">
        <w:rPr>
          <w:color w:val="000000" w:themeColor="text1"/>
          <w:lang w:val="en-US"/>
        </w:rPr>
        <w:t xml:space="preserve">to gait </w:t>
      </w:r>
      <w:r w:rsidR="007436D7" w:rsidRPr="0091662D">
        <w:rPr>
          <w:color w:val="000000" w:themeColor="text1"/>
          <w:lang w:val="en-US"/>
        </w:rPr>
        <w:t>due to</w:t>
      </w:r>
      <w:r w:rsidR="00BA7D0B" w:rsidRPr="0091662D">
        <w:rPr>
          <w:color w:val="000000" w:themeColor="text1"/>
          <w:lang w:val="en-US"/>
        </w:rPr>
        <w:t xml:space="preserve"> an overall deterioration of the neuromotor system</w:t>
      </w:r>
      <w:r w:rsidR="007436D7" w:rsidRPr="0091662D">
        <w:rPr>
          <w:color w:val="000000" w:themeColor="text1"/>
          <w:lang w:val="en-US"/>
        </w:rPr>
        <w:t xml:space="preserve">, </w:t>
      </w:r>
      <w:r w:rsidR="006554C8" w:rsidRPr="0091662D">
        <w:rPr>
          <w:color w:val="000000" w:themeColor="text1"/>
          <w:lang w:val="en-US"/>
        </w:rPr>
        <w:t>represented by</w:t>
      </w:r>
      <w:r w:rsidR="007436D7" w:rsidRPr="0091662D">
        <w:rPr>
          <w:color w:val="000000" w:themeColor="text1"/>
          <w:lang w:val="en-US"/>
        </w:rPr>
        <w:t xml:space="preserve"> only minor or non-existent </w:t>
      </w:r>
      <w:r w:rsidR="006554C8" w:rsidRPr="0091662D">
        <w:rPr>
          <w:color w:val="000000" w:themeColor="text1"/>
          <w:lang w:val="en-US"/>
        </w:rPr>
        <w:t xml:space="preserve">alterations </w:t>
      </w:r>
      <w:r w:rsidR="007436D7" w:rsidRPr="0091662D">
        <w:rPr>
          <w:color w:val="000000" w:themeColor="text1"/>
          <w:lang w:val="en-US"/>
        </w:rPr>
        <w:t xml:space="preserve">in gait stability </w:t>
      </w:r>
      <w:r w:rsidR="006554C8" w:rsidRPr="0091662D">
        <w:rPr>
          <w:color w:val="000000" w:themeColor="text1"/>
          <w:lang w:val="en-US"/>
        </w:rPr>
        <w:t xml:space="preserve">after </w:t>
      </w:r>
      <w:r w:rsidR="007436D7" w:rsidRPr="0091662D">
        <w:rPr>
          <w:color w:val="000000" w:themeColor="text1"/>
          <w:lang w:val="en-US"/>
        </w:rPr>
        <w:t xml:space="preserve">14 weeks </w:t>
      </w:r>
      <w:r w:rsidR="006554C8" w:rsidRPr="0091662D">
        <w:rPr>
          <w:color w:val="000000" w:themeColor="text1"/>
          <w:lang w:val="en-US"/>
        </w:rPr>
        <w:t>of</w:t>
      </w:r>
      <w:r w:rsidR="007436D7" w:rsidRPr="0091662D">
        <w:rPr>
          <w:color w:val="000000" w:themeColor="text1"/>
          <w:lang w:val="en-US"/>
        </w:rPr>
        <w:t xml:space="preserve"> exercise.</w:t>
      </w:r>
    </w:p>
    <w:p w14:paraId="74E356CF" w14:textId="77777777" w:rsidR="008D7062" w:rsidRPr="00C827B9" w:rsidRDefault="008D7062" w:rsidP="007436D7">
      <w:pPr>
        <w:spacing w:after="0"/>
        <w:jc w:val="both"/>
        <w:rPr>
          <w:lang w:val="en-US"/>
        </w:rPr>
      </w:pPr>
    </w:p>
    <w:p w14:paraId="508645CC" w14:textId="77777777" w:rsidR="00536006" w:rsidRPr="00C827B9" w:rsidRDefault="005D780A" w:rsidP="00536006">
      <w:pPr>
        <w:pStyle w:val="Heading1"/>
        <w:spacing w:before="0"/>
        <w:jc w:val="both"/>
        <w:rPr>
          <w:szCs w:val="24"/>
          <w:lang w:val="en-US"/>
        </w:rPr>
      </w:pPr>
      <w:r w:rsidRPr="00C827B9">
        <w:rPr>
          <w:szCs w:val="24"/>
          <w:lang w:val="en-US"/>
        </w:rPr>
        <w:t xml:space="preserve">Materials and </w:t>
      </w:r>
      <w:r w:rsidR="00C4767D" w:rsidRPr="00C827B9">
        <w:rPr>
          <w:szCs w:val="24"/>
          <w:lang w:val="en-US"/>
        </w:rPr>
        <w:t>M</w:t>
      </w:r>
      <w:r w:rsidR="00536006" w:rsidRPr="00C827B9">
        <w:rPr>
          <w:szCs w:val="24"/>
          <w:lang w:val="en-US"/>
        </w:rPr>
        <w:t>ethods</w:t>
      </w:r>
    </w:p>
    <w:p w14:paraId="4A309407" w14:textId="77777777" w:rsidR="00536006" w:rsidRPr="00C827B9" w:rsidRDefault="00536006" w:rsidP="00536006">
      <w:pPr>
        <w:pStyle w:val="Heading2"/>
        <w:spacing w:before="0"/>
        <w:rPr>
          <w:b w:val="0"/>
          <w:i/>
          <w:lang w:val="en-US"/>
        </w:rPr>
      </w:pPr>
      <w:r w:rsidRPr="00C827B9">
        <w:rPr>
          <w:b w:val="0"/>
          <w:i/>
          <w:lang w:val="en-US"/>
        </w:rPr>
        <w:t>Participants and experimental design</w:t>
      </w:r>
    </w:p>
    <w:p w14:paraId="44ABA01E" w14:textId="1D4DE36F" w:rsidR="00536006" w:rsidRPr="00E01E4C" w:rsidRDefault="00536006" w:rsidP="00861E05">
      <w:pPr>
        <w:spacing w:after="0"/>
        <w:jc w:val="both"/>
        <w:rPr>
          <w:color w:val="000000" w:themeColor="text1"/>
          <w:lang w:val="en-US"/>
        </w:rPr>
      </w:pPr>
      <w:r w:rsidRPr="00C827B9">
        <w:rPr>
          <w:lang w:val="en-US"/>
        </w:rPr>
        <w:t>Thirty-four older female adults [age: 65 ± 7 years; body mass: 65 ± 9 kg; height: 165 ± 6 cm; mean and standard deviation (SD)] fro</w:t>
      </w:r>
      <w:r w:rsidRPr="00E01E4C">
        <w:rPr>
          <w:color w:val="000000" w:themeColor="text1"/>
          <w:lang w:val="en-US"/>
        </w:rPr>
        <w:t xml:space="preserve">m a large-scale knee osteoarthritis study (Kellgren-Lawrence grade of 2-3, but with </w:t>
      </w:r>
      <w:r w:rsidRPr="00E01E4C">
        <w:rPr>
          <w:color w:val="000000" w:themeColor="text1"/>
          <w:szCs w:val="24"/>
          <w:lang w:val="en-US"/>
        </w:rPr>
        <w:t>no pain during locomotion)</w:t>
      </w:r>
      <w:r w:rsidRPr="00E01E4C">
        <w:rPr>
          <w:color w:val="000000" w:themeColor="text1"/>
          <w:lang w:val="en-US"/>
        </w:rPr>
        <w:t xml:space="preserve"> voluntarily took part in this study. Exclusion criteria were previous </w:t>
      </w:r>
      <w:r w:rsidR="00023115" w:rsidRPr="00E01E4C">
        <w:rPr>
          <w:color w:val="000000" w:themeColor="text1"/>
          <w:lang w:val="en-US"/>
        </w:rPr>
        <w:t>Achilles tendon</w:t>
      </w:r>
      <w:r w:rsidRPr="00E01E4C">
        <w:rPr>
          <w:color w:val="000000" w:themeColor="text1"/>
          <w:lang w:val="en-US"/>
        </w:rPr>
        <w:t xml:space="preserve"> rupture, pain or injury within the last 5 years (e.g. tendinopathy), any neurological or musculoskeletal impairment of the lower limbs (e.g. joint pain during locomotion) or pain during the exercise training which might influence the findings of the current study. The participants were generally healthy and</w:t>
      </w:r>
      <w:r w:rsidRPr="00E01E4C">
        <w:rPr>
          <w:color w:val="000000" w:themeColor="text1"/>
          <w:szCs w:val="24"/>
          <w:lang w:val="en-US"/>
        </w:rPr>
        <w:t xml:space="preserve"> r</w:t>
      </w:r>
      <w:r w:rsidRPr="00E01E4C">
        <w:rPr>
          <w:color w:val="000000" w:themeColor="text1"/>
          <w:lang w:val="en-US"/>
        </w:rPr>
        <w:t xml:space="preserve">epresentative for their age group </w:t>
      </w:r>
      <w:r w:rsidRPr="00E01E4C">
        <w:rPr>
          <w:color w:val="000000" w:themeColor="text1"/>
          <w:szCs w:val="24"/>
          <w:lang w:val="en-US"/>
        </w:rPr>
        <w:t xml:space="preserve">(with an average outcome of the SF-36 general health questionnaire of 73.5%; mean single leg stance time of 39.6 s out of maximal 45 s test duration; average timed up and go test result of 7.2 s). The subjects received medical clearance from their general practitioners prior to all measurements and the training program. All </w:t>
      </w:r>
      <w:r w:rsidRPr="00E01E4C">
        <w:rPr>
          <w:color w:val="000000" w:themeColor="text1"/>
          <w:lang w:val="en-US"/>
        </w:rPr>
        <w:t>participants</w:t>
      </w:r>
      <w:r w:rsidRPr="00E01E4C">
        <w:rPr>
          <w:color w:val="000000" w:themeColor="text1"/>
          <w:szCs w:val="24"/>
          <w:lang w:val="en-US"/>
        </w:rPr>
        <w:t xml:space="preserve"> provided their written informed consent</w:t>
      </w:r>
      <w:r w:rsidRPr="00E01E4C">
        <w:rPr>
          <w:color w:val="000000" w:themeColor="text1"/>
          <w:lang w:val="en-US"/>
        </w:rPr>
        <w:t xml:space="preserve"> after being informed about the procedures and possible risks of the study. Thirteen participants (age: 66 ± 8 years; body mass: 64 ± 9 kg; height: 165 ± 5 cm; mean and SD) were assigned to the dual-session perturbations training (</w:t>
      </w:r>
      <w:r w:rsidR="00861E05" w:rsidRPr="00E01E4C">
        <w:rPr>
          <w:color w:val="000000" w:themeColor="text1"/>
          <w:lang w:val="en-US"/>
        </w:rPr>
        <w:t>GAIT</w:t>
      </w:r>
      <w:r w:rsidRPr="00E01E4C">
        <w:rPr>
          <w:color w:val="000000" w:themeColor="text1"/>
          <w:lang w:val="en-US"/>
        </w:rPr>
        <w:t>) group and the remaining twenty-one participants (age: 65 ± 7 years; body mass: 66 ± 10 kg; height: 165 ± 8 cm; mean and SD) formed an exercise group (</w:t>
      </w:r>
      <w:r w:rsidR="007D1FE5" w:rsidRPr="00E01E4C">
        <w:rPr>
          <w:color w:val="000000" w:themeColor="text1"/>
          <w:lang w:val="en-US"/>
        </w:rPr>
        <w:t>GAIT+NM</w:t>
      </w:r>
      <w:r w:rsidRPr="00E01E4C">
        <w:rPr>
          <w:color w:val="000000" w:themeColor="text1"/>
          <w:lang w:val="en-US"/>
        </w:rPr>
        <w:t xml:space="preserve">), which, in addition to the perturbations, completed a </w:t>
      </w:r>
      <w:r w:rsidR="00462A10" w:rsidRPr="00E01E4C">
        <w:rPr>
          <w:color w:val="000000" w:themeColor="text1"/>
          <w:lang w:val="en-US"/>
        </w:rPr>
        <w:t xml:space="preserve">TS </w:t>
      </w:r>
      <w:r w:rsidR="008958B1" w:rsidRPr="00E01E4C">
        <w:rPr>
          <w:color w:val="000000" w:themeColor="text1"/>
          <w:lang w:val="en-US"/>
        </w:rPr>
        <w:t xml:space="preserve">neuromuscular </w:t>
      </w:r>
      <w:r w:rsidRPr="00E01E4C">
        <w:rPr>
          <w:color w:val="000000" w:themeColor="text1"/>
          <w:lang w:val="en-US"/>
        </w:rPr>
        <w:t>exercise intervention</w:t>
      </w:r>
      <w:r w:rsidR="005D6C41">
        <w:rPr>
          <w:color w:val="000000" w:themeColor="text1"/>
          <w:lang w:val="en-US"/>
        </w:rPr>
        <w:t xml:space="preserve"> (resistance and </w:t>
      </w:r>
      <w:r w:rsidR="005D6C41">
        <w:rPr>
          <w:color w:val="000000" w:themeColor="text1"/>
          <w:lang w:val="en-US"/>
        </w:rPr>
        <w:lastRenderedPageBreak/>
        <w:t>motor skill training)</w:t>
      </w:r>
      <w:r w:rsidRPr="00E01E4C">
        <w:rPr>
          <w:color w:val="000000" w:themeColor="text1"/>
          <w:lang w:val="en-US"/>
        </w:rPr>
        <w:t xml:space="preserve">. The study was approved by the responsible </w:t>
      </w:r>
      <w:r w:rsidR="00525254" w:rsidRPr="00E01E4C">
        <w:rPr>
          <w:color w:val="000000" w:themeColor="text1"/>
          <w:lang w:val="en-US"/>
        </w:rPr>
        <w:t>ethics committee</w:t>
      </w:r>
      <w:r w:rsidRPr="00E01E4C">
        <w:rPr>
          <w:color w:val="000000" w:themeColor="text1"/>
          <w:lang w:val="en-US"/>
        </w:rPr>
        <w:t xml:space="preserve"> of the German Sport University Cologne </w:t>
      </w:r>
      <w:r w:rsidR="00525254" w:rsidRPr="00E01E4C">
        <w:rPr>
          <w:color w:val="000000" w:themeColor="text1"/>
          <w:lang w:val="en-US"/>
        </w:rPr>
        <w:t>(</w:t>
      </w:r>
      <w:r w:rsidR="00525254" w:rsidRPr="00E01E4C">
        <w:rPr>
          <w:color w:val="000000" w:themeColor="text1"/>
          <w:szCs w:val="24"/>
          <w:shd w:val="clear" w:color="auto" w:fill="FFFFFF"/>
        </w:rPr>
        <w:t>ethical approval number 026/2013</w:t>
      </w:r>
      <w:r w:rsidR="00525254" w:rsidRPr="00E01E4C">
        <w:rPr>
          <w:color w:val="000000" w:themeColor="text1"/>
          <w:lang w:val="en-US"/>
        </w:rPr>
        <w:t>)</w:t>
      </w:r>
      <w:r w:rsidR="00E45387" w:rsidRPr="00E01E4C">
        <w:rPr>
          <w:color w:val="000000" w:themeColor="text1"/>
          <w:lang w:val="en-US"/>
        </w:rPr>
        <w:t xml:space="preserve"> </w:t>
      </w:r>
      <w:r w:rsidRPr="00E01E4C">
        <w:rPr>
          <w:color w:val="000000" w:themeColor="text1"/>
          <w:lang w:val="en-US"/>
        </w:rPr>
        <w:t>and met all requirements for human experimentation in agreement with the Declaration of Helsinki.</w:t>
      </w:r>
    </w:p>
    <w:p w14:paraId="072A74FF" w14:textId="5E9B92FA" w:rsidR="00536006" w:rsidRPr="00E01E4C" w:rsidRDefault="00536006" w:rsidP="00536006">
      <w:pPr>
        <w:spacing w:after="0"/>
        <w:jc w:val="both"/>
        <w:rPr>
          <w:color w:val="000000" w:themeColor="text1"/>
          <w:lang w:val="en-US"/>
        </w:rPr>
      </w:pPr>
      <w:r w:rsidRPr="00E01E4C">
        <w:rPr>
          <w:color w:val="000000" w:themeColor="text1"/>
          <w:lang w:val="en-US"/>
        </w:rPr>
        <w:t xml:space="preserve">In order to examine whether experimentally enhanced TS capacities would further improve the ability to recover balance during perturbed walking in older adults, in addition to improvements made through perturbation experience, a longitudinal exercise intervention was implemented to increase TS muscle strength and </w:t>
      </w:r>
      <w:r w:rsidR="00023115" w:rsidRPr="00E01E4C">
        <w:rPr>
          <w:color w:val="000000" w:themeColor="text1"/>
          <w:lang w:val="en-US"/>
        </w:rPr>
        <w:t>Achilles tendon</w:t>
      </w:r>
      <w:r w:rsidRPr="00E01E4C">
        <w:rPr>
          <w:color w:val="000000" w:themeColor="text1"/>
          <w:lang w:val="en-US"/>
        </w:rPr>
        <w:t xml:space="preserve"> stiffness, and to improve TS specific motor skills over a time period of 1.5 years. Before (Pre), after 14 weeks (Post 14 weeks) and after 1.5 years (Post 1.5y) of TS </w:t>
      </w:r>
      <w:r w:rsidR="008958B1" w:rsidRPr="00E01E4C">
        <w:rPr>
          <w:color w:val="000000" w:themeColor="text1"/>
          <w:lang w:val="en-US"/>
        </w:rPr>
        <w:t xml:space="preserve">neuromuscular </w:t>
      </w:r>
      <w:r w:rsidRPr="00E01E4C">
        <w:rPr>
          <w:color w:val="000000" w:themeColor="text1"/>
          <w:lang w:val="en-US"/>
        </w:rPr>
        <w:t xml:space="preserve">exercise intervention, each participant was analyzed on two separate days in order to acquire the following main outcome measures: (i) dynamic stability (specifically the margin of stability) during perturbed and unperturbed walking and (ii) the </w:t>
      </w:r>
      <w:r w:rsidR="00176E2D" w:rsidRPr="00E01E4C">
        <w:rPr>
          <w:color w:val="000000" w:themeColor="text1"/>
          <w:lang w:val="en-US"/>
        </w:rPr>
        <w:t>TS neuromechanical</w:t>
      </w:r>
      <w:r w:rsidR="008958B1" w:rsidRPr="00E01E4C" w:rsidDel="008958B1">
        <w:rPr>
          <w:color w:val="000000" w:themeColor="text1"/>
          <w:lang w:val="en-US"/>
        </w:rPr>
        <w:t xml:space="preserve"> </w:t>
      </w:r>
      <w:r w:rsidRPr="00E01E4C">
        <w:rPr>
          <w:color w:val="000000" w:themeColor="text1"/>
          <w:lang w:val="en-US"/>
        </w:rPr>
        <w:t xml:space="preserve">properties (TS muscle strength, </w:t>
      </w:r>
      <w:r w:rsidR="00023115" w:rsidRPr="00E01E4C">
        <w:rPr>
          <w:color w:val="000000" w:themeColor="text1"/>
          <w:lang w:val="en-US"/>
        </w:rPr>
        <w:t>Achilles tendon</w:t>
      </w:r>
      <w:r w:rsidRPr="00E01E4C">
        <w:rPr>
          <w:color w:val="000000" w:themeColor="text1"/>
          <w:lang w:val="en-US"/>
        </w:rPr>
        <w:t xml:space="preserve"> stiffness and TS specific motor skill performance).</w:t>
      </w:r>
    </w:p>
    <w:p w14:paraId="19CEFC4C" w14:textId="77777777" w:rsidR="00CB7B09" w:rsidRPr="00E01E4C" w:rsidRDefault="00CB7B09" w:rsidP="00536006">
      <w:pPr>
        <w:spacing w:after="0"/>
        <w:jc w:val="both"/>
        <w:rPr>
          <w:color w:val="000000" w:themeColor="text1"/>
          <w:lang w:val="en-US"/>
        </w:rPr>
      </w:pPr>
    </w:p>
    <w:p w14:paraId="02D702CD" w14:textId="77777777" w:rsidR="00536006" w:rsidRPr="00E01E4C" w:rsidRDefault="00536006" w:rsidP="00536006">
      <w:pPr>
        <w:pStyle w:val="Heading2"/>
        <w:spacing w:before="0"/>
        <w:rPr>
          <w:b w:val="0"/>
          <w:i/>
          <w:color w:val="000000" w:themeColor="text1"/>
          <w:lang w:val="en-US"/>
        </w:rPr>
      </w:pPr>
      <w:r w:rsidRPr="00E01E4C">
        <w:rPr>
          <w:b w:val="0"/>
          <w:i/>
          <w:color w:val="000000" w:themeColor="text1"/>
          <w:lang w:val="en-US"/>
        </w:rPr>
        <w:t>Analysis of dynamic stability following unexpected gait perturbation</w:t>
      </w:r>
    </w:p>
    <w:p w14:paraId="5359B678" w14:textId="6923D4C3" w:rsidR="00F72DB0" w:rsidRPr="00687D89" w:rsidRDefault="00536006" w:rsidP="00F72DB0">
      <w:pPr>
        <w:spacing w:after="0"/>
        <w:jc w:val="both"/>
        <w:rPr>
          <w:color w:val="000000" w:themeColor="text1"/>
          <w:lang w:val="en-US"/>
        </w:rPr>
      </w:pPr>
      <w:r w:rsidRPr="00E01E4C">
        <w:rPr>
          <w:color w:val="000000" w:themeColor="text1"/>
          <w:lang w:val="en-US"/>
        </w:rPr>
        <w:t>Dynamic stability was examined by applying a trip perturbation during treadmill walking via manually controlled custom-built pneumatic brake-and-release system</w:t>
      </w:r>
      <w:r w:rsidR="00930FA0" w:rsidRPr="00E01E4C">
        <w:rPr>
          <w:color w:val="000000" w:themeColor="text1"/>
          <w:lang w:val="en-US"/>
        </w:rPr>
        <w:t xml:space="preserve"> </w:t>
      </w:r>
      <w:bookmarkStart w:id="14" w:name="OLE_LINK14"/>
      <w:bookmarkStart w:id="15" w:name="OLE_LINK15"/>
      <w:r w:rsidR="00930FA0" w:rsidRPr="00E01E4C">
        <w:rPr>
          <w:color w:val="000000" w:themeColor="text1"/>
          <w:lang w:val="en-US"/>
        </w:rPr>
        <w:t>(Fig. 1)</w:t>
      </w:r>
      <w:bookmarkEnd w:id="14"/>
      <w:bookmarkEnd w:id="15"/>
      <w:r w:rsidRPr="00E01E4C">
        <w:rPr>
          <w:color w:val="000000" w:themeColor="text1"/>
          <w:lang w:val="en-US"/>
        </w:rPr>
        <w:t xml:space="preserve">, similar to the magnetic system described in previous studies </w:t>
      </w:r>
      <w:bookmarkStart w:id="16" w:name="Mendeley_Bookmark_NG1OXqNI9C"/>
      <w:r w:rsidRPr="00E01E4C">
        <w:rPr>
          <w:color w:val="000000" w:themeColor="text1"/>
          <w:lang w:val="en-US"/>
        </w:rPr>
        <w:t>(Süptitz et al. 2013; McCrum et al. 2014)</w:t>
      </w:r>
      <w:bookmarkEnd w:id="16"/>
      <w:r w:rsidRPr="00E01E4C">
        <w:rPr>
          <w:color w:val="000000" w:themeColor="text1"/>
          <w:lang w:val="en-US"/>
        </w:rPr>
        <w:t>. A resistance (creating approxim</w:t>
      </w:r>
      <w:r w:rsidRPr="00687D89">
        <w:rPr>
          <w:color w:val="000000" w:themeColor="text1"/>
          <w:lang w:val="en-US"/>
        </w:rPr>
        <w:t>ately 55 N) was applied to and removed from the lower right limb during the swing phase via an ankle strap and Teflon cable</w:t>
      </w:r>
      <w:r w:rsidR="00930FA0" w:rsidRPr="00687D89">
        <w:rPr>
          <w:color w:val="000000" w:themeColor="text1"/>
          <w:lang w:val="en-US"/>
        </w:rPr>
        <w:t xml:space="preserve"> (Fig. 1)</w:t>
      </w:r>
      <w:r w:rsidRPr="00687D89">
        <w:rPr>
          <w:color w:val="000000" w:themeColor="text1"/>
          <w:lang w:val="en-US"/>
        </w:rPr>
        <w:t>. The protocol beg</w:t>
      </w:r>
      <w:r w:rsidR="006F44FC" w:rsidRPr="00687D89">
        <w:rPr>
          <w:color w:val="000000" w:themeColor="text1"/>
          <w:lang w:val="en-US"/>
        </w:rPr>
        <w:t>an with subjects walking at 1.4 m·s</w:t>
      </w:r>
      <w:r w:rsidR="006F44FC" w:rsidRPr="00687D89">
        <w:rPr>
          <w:color w:val="000000" w:themeColor="text1"/>
          <w:vertAlign w:val="superscript"/>
          <w:lang w:val="en-US"/>
        </w:rPr>
        <w:t>-1</w:t>
      </w:r>
      <w:r w:rsidRPr="00687D89">
        <w:rPr>
          <w:color w:val="000000" w:themeColor="text1"/>
          <w:lang w:val="en-US"/>
        </w:rPr>
        <w:t xml:space="preserve"> on a motor-driven treadmill (pulsar 4.0, h/p/cosmos; Nussdorf-Traunstein, Germany) while wearing the ankle strap, and a safety harness connected to an overhead frame</w:t>
      </w:r>
      <w:r w:rsidR="0016562E" w:rsidRPr="00687D89">
        <w:rPr>
          <w:color w:val="000000" w:themeColor="text1"/>
          <w:lang w:val="en-US"/>
        </w:rPr>
        <w:t xml:space="preserve"> (Fig. 1)</w:t>
      </w:r>
      <w:r w:rsidRPr="00687D89">
        <w:rPr>
          <w:color w:val="000000" w:themeColor="text1"/>
          <w:lang w:val="en-US"/>
        </w:rPr>
        <w:t xml:space="preserve">. After four minutes of walking </w:t>
      </w:r>
      <w:bookmarkStart w:id="17" w:name="Mendeley_Bookmark_w1zqgw0n9l"/>
      <w:r w:rsidRPr="00687D89">
        <w:rPr>
          <w:color w:val="000000" w:themeColor="text1"/>
          <w:lang w:val="en-US"/>
        </w:rPr>
        <w:t>(Karamanidis et al. 2003)</w:t>
      </w:r>
      <w:bookmarkEnd w:id="17"/>
      <w:r w:rsidRPr="00687D89">
        <w:rPr>
          <w:color w:val="000000" w:themeColor="text1"/>
          <w:lang w:val="en-US"/>
        </w:rPr>
        <w:t xml:space="preserve">, a baseline measurement </w:t>
      </w:r>
      <w:r w:rsidRPr="00687D89">
        <w:rPr>
          <w:color w:val="000000" w:themeColor="text1"/>
          <w:lang w:val="en-US"/>
        </w:rPr>
        <w:lastRenderedPageBreak/>
        <w:t xml:space="preserve">(non-perturbed walking over 20 stride cycles) was recorded, from which six consecutive strides were used to determine the baseline (Base) of the parameters of interest. Following this baseline measurement, the gait perturbation was applied (Fig. </w:t>
      </w:r>
      <w:r w:rsidR="00144202" w:rsidRPr="00687D89">
        <w:rPr>
          <w:color w:val="000000" w:themeColor="text1"/>
          <w:lang w:val="en-US"/>
        </w:rPr>
        <w:t>2</w:t>
      </w:r>
      <w:r w:rsidRPr="00687D89">
        <w:rPr>
          <w:color w:val="000000" w:themeColor="text1"/>
          <w:lang w:val="en-US"/>
        </w:rPr>
        <w:t>). The subjects were not informed about the onset or removal of the resistance, but were aware that at some point during walking their gait was going to be perturbed. The unexpected perturbation was repeated eight times (trials), separated by washout periods of unperturbed walking (varied lengths of about two to three minutes) with the first and eighth trial of the perturbation session at baseline (T1</w:t>
      </w:r>
      <w:r w:rsidRPr="00687D89">
        <w:rPr>
          <w:color w:val="000000" w:themeColor="text1"/>
          <w:vertAlign w:val="subscript"/>
          <w:lang w:val="en-US"/>
        </w:rPr>
        <w:t>Pre</w:t>
      </w:r>
      <w:r w:rsidRPr="00687D89">
        <w:rPr>
          <w:color w:val="000000" w:themeColor="text1"/>
          <w:lang w:val="en-US"/>
        </w:rPr>
        <w:t>, T8</w:t>
      </w:r>
      <w:r w:rsidRPr="00687D89">
        <w:rPr>
          <w:color w:val="000000" w:themeColor="text1"/>
          <w:vertAlign w:val="subscript"/>
          <w:lang w:val="en-US"/>
        </w:rPr>
        <w:t>Pre</w:t>
      </w:r>
      <w:r w:rsidRPr="00687D89">
        <w:rPr>
          <w:color w:val="000000" w:themeColor="text1"/>
          <w:lang w:val="en-US"/>
        </w:rPr>
        <w:t>), after 14 weeks (T1</w:t>
      </w:r>
      <w:r w:rsidRPr="00687D89">
        <w:rPr>
          <w:color w:val="000000" w:themeColor="text1"/>
          <w:vertAlign w:val="subscript"/>
          <w:lang w:val="en-US"/>
        </w:rPr>
        <w:t>Post14w</w:t>
      </w:r>
      <w:r w:rsidRPr="00687D89">
        <w:rPr>
          <w:color w:val="000000" w:themeColor="text1"/>
          <w:lang w:val="en-US"/>
        </w:rPr>
        <w:t>, T8</w:t>
      </w:r>
      <w:r w:rsidRPr="00687D89">
        <w:rPr>
          <w:color w:val="000000" w:themeColor="text1"/>
          <w:vertAlign w:val="subscript"/>
          <w:lang w:val="en-US"/>
        </w:rPr>
        <w:t>Post14w</w:t>
      </w:r>
      <w:r w:rsidRPr="00687D89">
        <w:rPr>
          <w:color w:val="000000" w:themeColor="text1"/>
          <w:lang w:val="en-US"/>
        </w:rPr>
        <w:t>) and after 1.5 years (T1</w:t>
      </w:r>
      <w:r w:rsidRPr="00687D89">
        <w:rPr>
          <w:color w:val="000000" w:themeColor="text1"/>
          <w:vertAlign w:val="subscript"/>
          <w:lang w:val="en-US"/>
        </w:rPr>
        <w:t>Post1.5y</w:t>
      </w:r>
      <w:r w:rsidRPr="00687D89">
        <w:rPr>
          <w:color w:val="000000" w:themeColor="text1"/>
          <w:lang w:val="en-US"/>
        </w:rPr>
        <w:t>, T8</w:t>
      </w:r>
      <w:r w:rsidRPr="00687D89">
        <w:rPr>
          <w:color w:val="000000" w:themeColor="text1"/>
          <w:vertAlign w:val="subscript"/>
          <w:lang w:val="en-US"/>
        </w:rPr>
        <w:t>Post1.5y</w:t>
      </w:r>
      <w:r w:rsidRPr="00687D89">
        <w:rPr>
          <w:color w:val="000000" w:themeColor="text1"/>
          <w:lang w:val="en-US"/>
        </w:rPr>
        <w:t>) being considered for further analysis.</w:t>
      </w:r>
      <w:r w:rsidR="00D03304" w:rsidRPr="00687D89">
        <w:rPr>
          <w:color w:val="000000" w:themeColor="text1"/>
          <w:lang w:val="en-US"/>
        </w:rPr>
        <w:t xml:space="preserve"> </w:t>
      </w:r>
      <w:r w:rsidR="00F72DB0" w:rsidRPr="00687D89">
        <w:rPr>
          <w:color w:val="000000" w:themeColor="text1"/>
          <w:lang w:val="en-US"/>
        </w:rPr>
        <w:t>We considered only the first and eighth trials</w:t>
      </w:r>
      <w:r w:rsidR="00F72DB0" w:rsidRPr="00687D89">
        <w:rPr>
          <w:color w:val="000000" w:themeColor="text1"/>
        </w:rPr>
        <w:t xml:space="preserve"> </w:t>
      </w:r>
      <w:r w:rsidR="00F72DB0" w:rsidRPr="00687D89">
        <w:rPr>
          <w:color w:val="000000" w:themeColor="text1"/>
          <w:lang w:val="en-US"/>
        </w:rPr>
        <w:t xml:space="preserve">simply because these are the most relevant, as they represent the initial and post-perturbation exposure performance of the subjects on each test day (perturbation training). The aim of the study was foremost to describe and examine the retention effects following perturbation training rather than the trial to trial adaptation within the training sessions, and therefore the focus </w:t>
      </w:r>
      <w:r w:rsidR="001E2B8F" w:rsidRPr="00687D89">
        <w:rPr>
          <w:color w:val="000000" w:themeColor="text1"/>
          <w:lang w:val="en-US"/>
        </w:rPr>
        <w:t xml:space="preserve">was </w:t>
      </w:r>
      <w:r w:rsidR="00F72DB0" w:rsidRPr="00687D89">
        <w:rPr>
          <w:color w:val="000000" w:themeColor="text1"/>
          <w:lang w:val="en-US"/>
        </w:rPr>
        <w:t>solely on first and last perturbation trials.</w:t>
      </w:r>
    </w:p>
    <w:p w14:paraId="6F9727A1" w14:textId="0BA9D882" w:rsidR="001E2F02" w:rsidRPr="00687D89" w:rsidRDefault="001E2F02" w:rsidP="0005047E">
      <w:pPr>
        <w:spacing w:after="0"/>
        <w:jc w:val="both"/>
        <w:rPr>
          <w:color w:val="000000" w:themeColor="text1"/>
          <w:lang w:val="en-US"/>
        </w:rPr>
      </w:pPr>
    </w:p>
    <w:p w14:paraId="734AF28D" w14:textId="77777777" w:rsidR="0005047E" w:rsidRPr="00687D89" w:rsidRDefault="0005047E" w:rsidP="0005047E">
      <w:pPr>
        <w:spacing w:after="0"/>
        <w:jc w:val="both"/>
        <w:rPr>
          <w:b/>
          <w:strike/>
          <w:color w:val="000000" w:themeColor="text1"/>
          <w:lang w:val="en-US"/>
        </w:rPr>
      </w:pPr>
      <w:r w:rsidRPr="00687D89">
        <w:rPr>
          <w:b/>
          <w:color w:val="000000" w:themeColor="text1"/>
          <w:lang w:val="en-US"/>
        </w:rPr>
        <w:t>Insert Figure 1</w:t>
      </w:r>
    </w:p>
    <w:p w14:paraId="1D47EEF4" w14:textId="77777777" w:rsidR="0005047E" w:rsidRPr="00687D89" w:rsidRDefault="0005047E" w:rsidP="00536006">
      <w:pPr>
        <w:spacing w:after="0"/>
        <w:jc w:val="both"/>
        <w:rPr>
          <w:color w:val="000000" w:themeColor="text1"/>
          <w:lang w:val="en-US"/>
        </w:rPr>
      </w:pPr>
    </w:p>
    <w:p w14:paraId="6BA6D77C" w14:textId="6BB112C2" w:rsidR="00976FAD" w:rsidRPr="00687D89" w:rsidRDefault="00536006" w:rsidP="00536006">
      <w:pPr>
        <w:spacing w:after="0"/>
        <w:jc w:val="both"/>
        <w:rPr>
          <w:strike/>
          <w:color w:val="000000" w:themeColor="text1"/>
          <w:lang w:val="en-US"/>
        </w:rPr>
      </w:pPr>
      <w:r w:rsidRPr="00687D89">
        <w:rPr>
          <w:color w:val="000000" w:themeColor="text1"/>
          <w:lang w:val="en-US"/>
        </w:rPr>
        <w:t xml:space="preserve">In order to examine the dynamic stability during treadmill walking, </w:t>
      </w:r>
      <w:r w:rsidR="00EF0908" w:rsidRPr="00687D89">
        <w:rPr>
          <w:color w:val="000000" w:themeColor="text1"/>
          <w:lang w:val="en-US"/>
        </w:rPr>
        <w:t>a</w:t>
      </w:r>
      <w:r w:rsidRPr="00687D89">
        <w:rPr>
          <w:color w:val="000000" w:themeColor="text1"/>
          <w:lang w:val="en-US"/>
        </w:rPr>
        <w:t xml:space="preserve"> motion capture system (120 Hz; Nexus 1.8.2; Vicon Motion Systems, Oxford, UK) was used to trac</w:t>
      </w:r>
      <w:r w:rsidR="009D7016" w:rsidRPr="00687D89">
        <w:rPr>
          <w:color w:val="000000" w:themeColor="text1"/>
          <w:lang w:val="en-US"/>
        </w:rPr>
        <w:t>e</w:t>
      </w:r>
      <w:r w:rsidRPr="00687D89">
        <w:rPr>
          <w:color w:val="000000" w:themeColor="text1"/>
          <w:lang w:val="en-US"/>
        </w:rPr>
        <w:t xml:space="preserve"> five retro reflective markers (radius 16 mm) placed at the greater trochanter of the right and left leg, seventh cervical vertebra (C7), left and right forefoot. The 3D coordinates of the markers were smoothed using a fourth order digital Butterworth filter with a cut-off frequency of 20 Hz. Two 2D-accelerometers (1080 Hz; ADXL250; Analog Devices, Norwood, MA, USA) placed on the </w:t>
      </w:r>
      <w:r w:rsidR="002E3421" w:rsidRPr="00687D89">
        <w:rPr>
          <w:color w:val="000000" w:themeColor="text1"/>
          <w:lang w:val="en-US"/>
        </w:rPr>
        <w:t>right and left tibia</w:t>
      </w:r>
      <w:r w:rsidRPr="00687D89">
        <w:rPr>
          <w:color w:val="000000" w:themeColor="text1"/>
          <w:lang w:val="en-US"/>
        </w:rPr>
        <w:t xml:space="preserve"> were used to de</w:t>
      </w:r>
      <w:r w:rsidR="00CB7E7C" w:rsidRPr="00687D89">
        <w:rPr>
          <w:color w:val="000000" w:themeColor="text1"/>
          <w:lang w:val="en-US"/>
        </w:rPr>
        <w:t>termine each foot touchdown (TD) based o</w:t>
      </w:r>
      <w:r w:rsidR="009411FB" w:rsidRPr="00687D89">
        <w:rPr>
          <w:color w:val="000000" w:themeColor="text1"/>
          <w:lang w:val="en-US"/>
        </w:rPr>
        <w:t xml:space="preserve">n </w:t>
      </w:r>
      <w:r w:rsidR="00CB7E7C" w:rsidRPr="00687D89">
        <w:rPr>
          <w:color w:val="000000" w:themeColor="text1"/>
          <w:lang w:val="en-US"/>
        </w:rPr>
        <w:t xml:space="preserve">the tibia </w:t>
      </w:r>
      <w:r w:rsidR="00585CD8" w:rsidRPr="00687D89">
        <w:rPr>
          <w:color w:val="000000" w:themeColor="text1"/>
          <w:lang w:val="en-US"/>
        </w:rPr>
        <w:t xml:space="preserve">peak </w:t>
      </w:r>
      <w:r w:rsidR="00CB7E7C" w:rsidRPr="00687D89">
        <w:rPr>
          <w:color w:val="000000" w:themeColor="text1"/>
          <w:lang w:val="en-US"/>
        </w:rPr>
        <w:t>acceleration</w:t>
      </w:r>
      <w:r w:rsidR="00585CD8" w:rsidRPr="00687D89">
        <w:rPr>
          <w:color w:val="000000" w:themeColor="text1"/>
          <w:lang w:val="en-US"/>
        </w:rPr>
        <w:t>s</w:t>
      </w:r>
      <w:r w:rsidR="00CB7E7C" w:rsidRPr="00687D89">
        <w:rPr>
          <w:color w:val="000000" w:themeColor="text1"/>
          <w:lang w:val="en-US"/>
        </w:rPr>
        <w:t xml:space="preserve"> </w:t>
      </w:r>
      <w:bookmarkStart w:id="18" w:name="Mendeley_Bookmark_qviclmYC1F"/>
      <w:r w:rsidR="00CB7E7C" w:rsidRPr="00687D89">
        <w:rPr>
          <w:color w:val="000000" w:themeColor="text1"/>
          <w:lang w:val="en-US"/>
        </w:rPr>
        <w:t xml:space="preserve">(Süptitz </w:t>
      </w:r>
      <w:r w:rsidR="00CB7E7C" w:rsidRPr="00687D89">
        <w:rPr>
          <w:color w:val="000000" w:themeColor="text1"/>
          <w:lang w:val="en-US"/>
        </w:rPr>
        <w:lastRenderedPageBreak/>
        <w:t>et al., 2012)</w:t>
      </w:r>
      <w:bookmarkEnd w:id="18"/>
      <w:r w:rsidRPr="00687D89">
        <w:rPr>
          <w:color w:val="000000" w:themeColor="text1"/>
          <w:lang w:val="en-US"/>
        </w:rPr>
        <w:t xml:space="preserve">. The margin of stability (MoS), a valid method to analyse biomechanical stability during human gait </w:t>
      </w:r>
      <w:bookmarkStart w:id="19" w:name="Mendeley_Bookmark_fclENi4jou"/>
      <w:r w:rsidRPr="00687D89">
        <w:rPr>
          <w:color w:val="000000" w:themeColor="text1"/>
          <w:lang w:val="en-US"/>
        </w:rPr>
        <w:t>(Bruijn et al. 2013)</w:t>
      </w:r>
      <w:bookmarkEnd w:id="19"/>
      <w:r w:rsidRPr="00687D89">
        <w:rPr>
          <w:color w:val="000000" w:themeColor="text1"/>
          <w:lang w:val="en-US"/>
        </w:rPr>
        <w:t xml:space="preserve">, was calculated in the anteroposterior direction at each foot TD using the extrapolated </w:t>
      </w:r>
      <w:r w:rsidR="00337A2D" w:rsidRPr="00687D89">
        <w:rPr>
          <w:color w:val="000000" w:themeColor="text1"/>
          <w:szCs w:val="24"/>
          <w:lang w:val="en-US"/>
        </w:rPr>
        <w:t>center of mass</w:t>
      </w:r>
      <w:r w:rsidRPr="00687D89">
        <w:rPr>
          <w:color w:val="000000" w:themeColor="text1"/>
          <w:lang w:val="en-US"/>
        </w:rPr>
        <w:t xml:space="preserve"> approach </w:t>
      </w:r>
      <w:bookmarkStart w:id="20" w:name="Mendeley_Bookmark_G9jiG3bbKx"/>
      <w:r w:rsidRPr="00687D89">
        <w:rPr>
          <w:color w:val="000000" w:themeColor="text1"/>
          <w:lang w:val="en-US"/>
        </w:rPr>
        <w:t>(Hof et al. 2005)</w:t>
      </w:r>
      <w:bookmarkEnd w:id="20"/>
      <w:r w:rsidRPr="00687D89">
        <w:rPr>
          <w:color w:val="000000" w:themeColor="text1"/>
          <w:lang w:val="en-US"/>
        </w:rPr>
        <w:t xml:space="preserve">, as the difference between the extrapolated </w:t>
      </w:r>
      <w:r w:rsidR="00337A2D" w:rsidRPr="00687D89">
        <w:rPr>
          <w:color w:val="000000" w:themeColor="text1"/>
          <w:szCs w:val="24"/>
          <w:lang w:val="en-US"/>
        </w:rPr>
        <w:t>center of mass</w:t>
      </w:r>
      <w:r w:rsidR="00976FAD" w:rsidRPr="00687D89">
        <w:rPr>
          <w:color w:val="000000" w:themeColor="text1"/>
          <w:lang w:val="en-US"/>
        </w:rPr>
        <w:t xml:space="preserve"> </w:t>
      </w:r>
      <w:r w:rsidRPr="00687D89">
        <w:rPr>
          <w:color w:val="000000" w:themeColor="text1"/>
          <w:lang w:val="en-US"/>
        </w:rPr>
        <w:t>and the anterior boundary of the base of support (anteroposterior position of the toe projection to the ground)</w:t>
      </w:r>
      <w:r w:rsidR="00976FAD" w:rsidRPr="00687D89">
        <w:rPr>
          <w:color w:val="000000" w:themeColor="text1"/>
          <w:lang w:val="en-US"/>
        </w:rPr>
        <w:t>, adapted for the simplified kinematic model based on Süptitz et al. (2013):</w:t>
      </w:r>
    </w:p>
    <w:p w14:paraId="7AA5AFDF" w14:textId="77777777" w:rsidR="00A62A07" w:rsidRPr="00687D89" w:rsidRDefault="00337A2D" w:rsidP="00A62A07">
      <w:pPr>
        <w:spacing w:after="0"/>
        <w:jc w:val="both"/>
        <w:rPr>
          <w:color w:val="000000" w:themeColor="text1"/>
          <w:lang w:val="en-US"/>
        </w:rPr>
      </w:pPr>
      <m:oMathPara>
        <m:oMath>
          <m:r>
            <m:rPr>
              <m:sty m:val="p"/>
            </m:rPr>
            <w:rPr>
              <w:rFonts w:ascii="Cambria Math" w:hAnsi="Cambria Math"/>
              <w:color w:val="000000" w:themeColor="text1"/>
              <w:szCs w:val="24"/>
              <w:lang w:val="en-US"/>
            </w:rPr>
            <m:t>Extrapolated center of mass=</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P</m:t>
              </m:r>
            </m:e>
            <m:sub>
              <m:r>
                <w:rPr>
                  <w:rFonts w:ascii="Cambria Math" w:hAnsi="Cambria Math"/>
                  <w:color w:val="000000" w:themeColor="text1"/>
                  <w:szCs w:val="24"/>
                  <w:lang w:val="en-US"/>
                </w:rPr>
                <m:t>Troch</m:t>
              </m:r>
            </m:sub>
          </m:sSub>
          <m:r>
            <m:rPr>
              <m:sty m:val="p"/>
            </m:rPr>
            <w:rPr>
              <w:rFonts w:ascii="Cambria Math" w:hAnsi="Cambria Math"/>
              <w:color w:val="000000" w:themeColor="text1"/>
              <w:szCs w:val="24"/>
              <w:lang w:val="en-US"/>
            </w:rPr>
            <m:t xml:space="preserve">+ </m:t>
          </m:r>
          <m:f>
            <m:fPr>
              <m:ctrlPr>
                <w:rPr>
                  <w:rFonts w:ascii="Cambria Math" w:hAnsi="Cambria Math"/>
                  <w:color w:val="000000" w:themeColor="text1"/>
                  <w:szCs w:val="24"/>
                  <w:lang w:val="en-US"/>
                </w:rPr>
              </m:ctrlPr>
            </m:fPr>
            <m:num>
              <m:f>
                <m:fPr>
                  <m:ctrlPr>
                    <w:rPr>
                      <w:rFonts w:ascii="Cambria Math" w:hAnsi="Cambria Math"/>
                      <w:i/>
                      <w:color w:val="000000" w:themeColor="text1"/>
                      <w:szCs w:val="24"/>
                      <w:lang w:val="en-US"/>
                    </w:rPr>
                  </m:ctrlPr>
                </m:fPr>
                <m:num>
                  <m:d>
                    <m:dPr>
                      <m:ctrlPr>
                        <w:rPr>
                          <w:rFonts w:ascii="Cambria Math" w:hAnsi="Cambria Math"/>
                          <w:i/>
                          <w:color w:val="000000" w:themeColor="text1"/>
                          <w:szCs w:val="24"/>
                          <w:lang w:val="en-US"/>
                        </w:rPr>
                      </m:ctrlPr>
                    </m:dPr>
                    <m:e>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v</m:t>
                          </m:r>
                        </m:e>
                        <m:sub>
                          <m:r>
                            <w:rPr>
                              <w:rFonts w:ascii="Cambria Math" w:hAnsi="Cambria Math"/>
                              <w:color w:val="000000" w:themeColor="text1"/>
                              <w:szCs w:val="24"/>
                              <w:lang w:val="en-US"/>
                            </w:rPr>
                            <m:t>Troch</m:t>
                          </m:r>
                        </m:sub>
                      </m:sSub>
                      <m:r>
                        <w:rPr>
                          <w:rFonts w:ascii="Cambria Math" w:hAnsi="Cambria Math"/>
                          <w:color w:val="000000" w:themeColor="text1"/>
                          <w:szCs w:val="24"/>
                          <w:lang w:val="en-US"/>
                        </w:rPr>
                        <m:t xml:space="preserve">+ </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v</m:t>
                          </m:r>
                        </m:e>
                        <m:sub>
                          <m:r>
                            <w:rPr>
                              <w:rFonts w:ascii="Cambria Math" w:hAnsi="Cambria Math"/>
                              <w:color w:val="000000" w:themeColor="text1"/>
                              <w:szCs w:val="24"/>
                              <w:lang w:val="en-US"/>
                            </w:rPr>
                            <m:t>C7</m:t>
                          </m:r>
                        </m:sub>
                      </m:sSub>
                    </m:e>
                  </m:d>
                </m:num>
                <m:den>
                  <m:r>
                    <w:rPr>
                      <w:rFonts w:ascii="Cambria Math" w:hAnsi="Cambria Math"/>
                      <w:color w:val="000000" w:themeColor="text1"/>
                      <w:szCs w:val="24"/>
                      <w:lang w:val="en-US"/>
                    </w:rPr>
                    <m:t>2</m:t>
                  </m:r>
                </m:den>
              </m:f>
              <m:r>
                <w:rPr>
                  <w:rFonts w:ascii="Cambria Math" w:hAnsi="Cambria Math"/>
                  <w:color w:val="000000" w:themeColor="text1"/>
                  <w:szCs w:val="24"/>
                  <w:lang w:val="en-US"/>
                </w:rPr>
                <m:t xml:space="preserve">+ </m:t>
              </m:r>
              <m:d>
                <m:dPr>
                  <m:begChr m:val="|"/>
                  <m:endChr m:val="|"/>
                  <m:ctrlPr>
                    <w:rPr>
                      <w:rFonts w:ascii="Cambria Math" w:hAnsi="Cambria Math"/>
                      <w:i/>
                      <w:color w:val="000000" w:themeColor="text1"/>
                      <w:szCs w:val="24"/>
                      <w:lang w:val="en-US"/>
                    </w:rPr>
                  </m:ctrlPr>
                </m:dPr>
                <m:e>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v</m:t>
                      </m:r>
                    </m:e>
                    <m:sub>
                      <m:r>
                        <w:rPr>
                          <w:rFonts w:ascii="Cambria Math" w:hAnsi="Cambria Math"/>
                          <w:color w:val="000000" w:themeColor="text1"/>
                          <w:szCs w:val="24"/>
                          <w:lang w:val="en-US"/>
                        </w:rPr>
                        <m:t>BoS</m:t>
                      </m:r>
                    </m:sub>
                  </m:sSub>
                </m:e>
              </m:d>
            </m:num>
            <m:den>
              <m:rad>
                <m:radPr>
                  <m:degHide m:val="1"/>
                  <m:ctrlPr>
                    <w:rPr>
                      <w:rFonts w:ascii="Cambria Math" w:hAnsi="Cambria Math"/>
                      <w:i/>
                      <w:color w:val="000000" w:themeColor="text1"/>
                      <w:szCs w:val="24"/>
                      <w:lang w:val="en-US"/>
                    </w:rPr>
                  </m:ctrlPr>
                </m:radPr>
                <m:deg/>
                <m:e>
                  <m:f>
                    <m:fPr>
                      <m:ctrlPr>
                        <w:rPr>
                          <w:rFonts w:ascii="Cambria Math" w:hAnsi="Cambria Math"/>
                          <w:i/>
                          <w:color w:val="000000" w:themeColor="text1"/>
                          <w:szCs w:val="24"/>
                          <w:lang w:val="en-US"/>
                        </w:rPr>
                      </m:ctrlPr>
                    </m:fPr>
                    <m:num>
                      <m:r>
                        <w:rPr>
                          <w:rFonts w:ascii="Cambria Math" w:hAnsi="Cambria Math"/>
                          <w:color w:val="000000" w:themeColor="text1"/>
                          <w:szCs w:val="24"/>
                          <w:lang w:val="en-US"/>
                        </w:rPr>
                        <m:t>g</m:t>
                      </m:r>
                    </m:num>
                    <m:den>
                      <m:r>
                        <w:rPr>
                          <w:rFonts w:ascii="Cambria Math" w:hAnsi="Cambria Math"/>
                          <w:color w:val="000000" w:themeColor="text1"/>
                          <w:szCs w:val="24"/>
                          <w:lang w:val="en-US"/>
                        </w:rPr>
                        <m:t>L</m:t>
                      </m:r>
                    </m:den>
                  </m:f>
                </m:e>
              </m:rad>
            </m:den>
          </m:f>
        </m:oMath>
      </m:oMathPara>
    </w:p>
    <w:p w14:paraId="4158F9B8" w14:textId="4C503E5E" w:rsidR="006352AD" w:rsidRPr="00687D89" w:rsidRDefault="00A62A07" w:rsidP="004B3CB1">
      <w:pPr>
        <w:spacing w:after="0"/>
        <w:jc w:val="both"/>
        <w:rPr>
          <w:color w:val="000000" w:themeColor="text1"/>
          <w:lang w:val="en-US"/>
        </w:rPr>
      </w:pPr>
      <w:r w:rsidRPr="00687D89">
        <w:rPr>
          <w:color w:val="000000" w:themeColor="text1"/>
          <w:lang w:val="en-US"/>
        </w:rPr>
        <w:t>where P</w:t>
      </w:r>
      <w:r w:rsidRPr="00687D89">
        <w:rPr>
          <w:color w:val="000000" w:themeColor="text1"/>
          <w:vertAlign w:val="subscript"/>
          <w:lang w:val="en-US"/>
        </w:rPr>
        <w:t>Tro</w:t>
      </w:r>
      <w:r w:rsidR="006717A1" w:rsidRPr="00687D89">
        <w:rPr>
          <w:color w:val="000000" w:themeColor="text1"/>
          <w:vertAlign w:val="subscript"/>
          <w:lang w:val="en-US"/>
        </w:rPr>
        <w:t>ch</w:t>
      </w:r>
      <w:r w:rsidR="006717A1" w:rsidRPr="00687D89">
        <w:rPr>
          <w:color w:val="000000" w:themeColor="text1"/>
          <w:lang w:val="en-US"/>
        </w:rPr>
        <w:t xml:space="preserve"> is the average anteroposterior</w:t>
      </w:r>
      <w:r w:rsidRPr="00687D89">
        <w:rPr>
          <w:color w:val="000000" w:themeColor="text1"/>
          <w:lang w:val="en-US"/>
        </w:rPr>
        <w:t xml:space="preserve"> com</w:t>
      </w:r>
      <w:r w:rsidR="006717A1" w:rsidRPr="00687D89">
        <w:rPr>
          <w:color w:val="000000" w:themeColor="text1"/>
          <w:lang w:val="en-US"/>
        </w:rPr>
        <w:t>ponent of the projection of the</w:t>
      </w:r>
      <w:r w:rsidRPr="00687D89">
        <w:rPr>
          <w:color w:val="000000" w:themeColor="text1"/>
          <w:lang w:val="en-US"/>
        </w:rPr>
        <w:t xml:space="preserve"> trochanter markers to the ground, v</w:t>
      </w:r>
      <w:r w:rsidRPr="00687D89">
        <w:rPr>
          <w:color w:val="000000" w:themeColor="text1"/>
          <w:vertAlign w:val="subscript"/>
          <w:lang w:val="en-US"/>
        </w:rPr>
        <w:t>Tro</w:t>
      </w:r>
      <w:r w:rsidR="00976FAD" w:rsidRPr="00687D89">
        <w:rPr>
          <w:color w:val="000000" w:themeColor="text1"/>
          <w:vertAlign w:val="subscript"/>
          <w:lang w:val="en-US"/>
        </w:rPr>
        <w:t>ch</w:t>
      </w:r>
      <w:r w:rsidRPr="00687D89">
        <w:rPr>
          <w:color w:val="000000" w:themeColor="text1"/>
          <w:lang w:val="en-US"/>
        </w:rPr>
        <w:t xml:space="preserve"> is the average horizontal velocity of the trochanter markers, v</w:t>
      </w:r>
      <w:r w:rsidRPr="00687D89">
        <w:rPr>
          <w:color w:val="000000" w:themeColor="text1"/>
          <w:vertAlign w:val="subscript"/>
          <w:lang w:val="en-US"/>
        </w:rPr>
        <w:t>C7</w:t>
      </w:r>
      <w:r w:rsidRPr="00687D89">
        <w:rPr>
          <w:color w:val="000000" w:themeColor="text1"/>
          <w:lang w:val="en-US"/>
        </w:rPr>
        <w:t xml:space="preserve"> is the horizontal velocity of the C7 marker, v</w:t>
      </w:r>
      <w:r w:rsidRPr="00687D89">
        <w:rPr>
          <w:color w:val="000000" w:themeColor="text1"/>
          <w:vertAlign w:val="subscript"/>
          <w:lang w:val="en-US"/>
        </w:rPr>
        <w:t>BoS</w:t>
      </w:r>
      <w:r w:rsidRPr="00687D89">
        <w:rPr>
          <w:color w:val="000000" w:themeColor="text1"/>
          <w:lang w:val="en-US"/>
        </w:rPr>
        <w:t xml:space="preserve"> the </w:t>
      </w:r>
      <w:r w:rsidR="00086CC9" w:rsidRPr="00687D89">
        <w:rPr>
          <w:color w:val="000000" w:themeColor="text1"/>
          <w:lang w:val="en-US"/>
        </w:rPr>
        <w:t xml:space="preserve">average </w:t>
      </w:r>
      <w:r w:rsidR="003A2D2C" w:rsidRPr="00687D89">
        <w:rPr>
          <w:color w:val="000000" w:themeColor="text1"/>
          <w:lang w:val="en-US"/>
        </w:rPr>
        <w:t>anteroposterior</w:t>
      </w:r>
      <w:r w:rsidRPr="00687D89">
        <w:rPr>
          <w:color w:val="000000" w:themeColor="text1"/>
          <w:lang w:val="en-US"/>
        </w:rPr>
        <w:t xml:space="preserve"> velocity of the </w:t>
      </w:r>
      <w:r w:rsidR="00086CC9" w:rsidRPr="00687D89">
        <w:rPr>
          <w:color w:val="000000" w:themeColor="text1"/>
          <w:lang w:val="en-US"/>
        </w:rPr>
        <w:t>foot markers during stance (approximately equal to the velocity of the treadmill</w:t>
      </w:r>
      <w:r w:rsidR="001D4113" w:rsidRPr="00687D89">
        <w:rPr>
          <w:color w:val="000000" w:themeColor="text1"/>
          <w:lang w:val="en-US"/>
        </w:rPr>
        <w:t xml:space="preserve"> belt</w:t>
      </w:r>
      <w:r w:rsidR="00086CC9" w:rsidRPr="00687D89">
        <w:rPr>
          <w:color w:val="000000" w:themeColor="text1"/>
          <w:lang w:val="en-US"/>
        </w:rPr>
        <w:t>)</w:t>
      </w:r>
      <w:r w:rsidRPr="00687D89">
        <w:rPr>
          <w:color w:val="000000" w:themeColor="text1"/>
          <w:lang w:val="en-US"/>
        </w:rPr>
        <w:t xml:space="preserve">, g is the </w:t>
      </w:r>
      <w:r w:rsidR="001D4113" w:rsidRPr="00687D89">
        <w:rPr>
          <w:color w:val="000000" w:themeColor="text1"/>
          <w:lang w:val="en-US"/>
        </w:rPr>
        <w:t>gravitational acceleration,</w:t>
      </w:r>
      <w:r w:rsidRPr="00687D89">
        <w:rPr>
          <w:color w:val="000000" w:themeColor="text1"/>
          <w:lang w:val="en-US"/>
        </w:rPr>
        <w:t xml:space="preserve"> a</w:t>
      </w:r>
      <w:r w:rsidR="00E94B12" w:rsidRPr="00687D89">
        <w:rPr>
          <w:color w:val="000000" w:themeColor="text1"/>
          <w:lang w:val="en-US"/>
        </w:rPr>
        <w:t xml:space="preserve">nd L </w:t>
      </w:r>
      <w:r w:rsidRPr="00687D89">
        <w:rPr>
          <w:color w:val="000000" w:themeColor="text1"/>
          <w:lang w:val="en-US"/>
        </w:rPr>
        <w:t xml:space="preserve">is the </w:t>
      </w:r>
      <w:r w:rsidR="001D4113" w:rsidRPr="00687D89">
        <w:rPr>
          <w:color w:val="000000" w:themeColor="text1"/>
          <w:lang w:val="en-US"/>
        </w:rPr>
        <w:t>pendulum length (the average distance between the trochanter and the ankle joint center of rotation of the left and right leg in the sagittal plane).</w:t>
      </w:r>
      <w:r w:rsidR="00ED7E07" w:rsidRPr="00687D89">
        <w:rPr>
          <w:color w:val="000000" w:themeColor="text1"/>
          <w:lang w:val="en-US"/>
        </w:rPr>
        <w:t xml:space="preserve"> </w:t>
      </w:r>
      <w:r w:rsidR="006352AD" w:rsidRPr="00687D89">
        <w:rPr>
          <w:color w:val="000000" w:themeColor="text1"/>
          <w:lang w:val="en-US"/>
        </w:rPr>
        <w:t>This reduced kinematic model</w:t>
      </w:r>
      <w:r w:rsidR="006352AD" w:rsidRPr="00687D89">
        <w:rPr>
          <w:color w:val="000000" w:themeColor="text1"/>
        </w:rPr>
        <w:t xml:space="preserve"> </w:t>
      </w:r>
      <w:r w:rsidR="006352AD" w:rsidRPr="00687D89">
        <w:rPr>
          <w:color w:val="000000" w:themeColor="text1"/>
          <w:lang w:val="en-US"/>
        </w:rPr>
        <w:t xml:space="preserve">has been previously validated </w:t>
      </w:r>
      <w:r w:rsidR="00731B9D" w:rsidRPr="00687D89">
        <w:rPr>
          <w:color w:val="000000" w:themeColor="text1"/>
          <w:lang w:val="en-US"/>
        </w:rPr>
        <w:t xml:space="preserve">(Süptitz et al. 2013) </w:t>
      </w:r>
      <w:r w:rsidR="002A1C91" w:rsidRPr="00687D89">
        <w:rPr>
          <w:color w:val="000000" w:themeColor="text1"/>
          <w:lang w:val="en-US"/>
        </w:rPr>
        <w:t>as</w:t>
      </w:r>
      <w:r w:rsidR="006352AD" w:rsidRPr="00687D89">
        <w:rPr>
          <w:color w:val="000000" w:themeColor="text1"/>
          <w:lang w:val="en-US"/>
        </w:rPr>
        <w:t xml:space="preserve"> appropriate to assess dynamic stability parameters</w:t>
      </w:r>
      <w:r w:rsidR="004B3CB1" w:rsidRPr="00687D89">
        <w:rPr>
          <w:color w:val="000000" w:themeColor="text1"/>
          <w:lang w:val="en-US"/>
        </w:rPr>
        <w:t xml:space="preserve"> </w:t>
      </w:r>
      <w:r w:rsidR="00731B9D" w:rsidRPr="00687D89">
        <w:rPr>
          <w:color w:val="000000" w:themeColor="text1"/>
          <w:lang w:val="en-US"/>
        </w:rPr>
        <w:t>(</w:t>
      </w:r>
      <w:r w:rsidR="00731B9D" w:rsidRPr="00687D89">
        <w:rPr>
          <w:color w:val="000000" w:themeColor="text1"/>
          <w:lang w:val="en-GB"/>
        </w:rPr>
        <w:t>X</w:t>
      </w:r>
      <w:r w:rsidR="00731B9D" w:rsidRPr="00687D89">
        <w:rPr>
          <w:color w:val="000000" w:themeColor="text1"/>
          <w:vertAlign w:val="subscript"/>
          <w:lang w:val="en-GB"/>
        </w:rPr>
        <w:t>CoM</w:t>
      </w:r>
      <w:r w:rsidR="00731B9D" w:rsidRPr="00687D89">
        <w:rPr>
          <w:color w:val="000000" w:themeColor="text1"/>
          <w:lang w:val="en-US"/>
        </w:rPr>
        <w:t xml:space="preserve"> and MoS) </w:t>
      </w:r>
      <w:r w:rsidR="004B3CB1" w:rsidRPr="00687D89">
        <w:rPr>
          <w:color w:val="000000" w:themeColor="text1"/>
          <w:lang w:val="en-US"/>
        </w:rPr>
        <w:t>during unperturbed and perturbed treadmill walking</w:t>
      </w:r>
      <w:r w:rsidR="00731B9D" w:rsidRPr="00687D89">
        <w:rPr>
          <w:color w:val="000000" w:themeColor="text1"/>
          <w:lang w:val="en-US"/>
        </w:rPr>
        <w:t xml:space="preserve"> (perturbed and recovery steps)</w:t>
      </w:r>
      <w:r w:rsidR="006352AD" w:rsidRPr="00687D89">
        <w:rPr>
          <w:color w:val="000000" w:themeColor="text1"/>
          <w:lang w:val="en-US"/>
        </w:rPr>
        <w:t xml:space="preserve"> </w:t>
      </w:r>
      <w:r w:rsidR="00BA1984" w:rsidRPr="00687D89">
        <w:rPr>
          <w:color w:val="000000" w:themeColor="text1"/>
          <w:lang w:val="en-US"/>
        </w:rPr>
        <w:t xml:space="preserve">with the same perturbation task and walking velocity </w:t>
      </w:r>
      <w:r w:rsidR="002A1C91" w:rsidRPr="00687D89">
        <w:rPr>
          <w:color w:val="000000" w:themeColor="text1"/>
          <w:lang w:val="en-US"/>
        </w:rPr>
        <w:t>as the current study with the same</w:t>
      </w:r>
      <w:r w:rsidR="00922A62" w:rsidRPr="00687D89">
        <w:rPr>
          <w:color w:val="000000" w:themeColor="text1"/>
          <w:lang w:val="en-US"/>
        </w:rPr>
        <w:t xml:space="preserve"> age group of the current study</w:t>
      </w:r>
      <w:r w:rsidR="002A1C91" w:rsidRPr="00687D89">
        <w:rPr>
          <w:color w:val="000000" w:themeColor="text1"/>
          <w:lang w:val="en-US"/>
        </w:rPr>
        <w:t>,</w:t>
      </w:r>
      <w:r w:rsidR="00731B9D" w:rsidRPr="00687D89">
        <w:rPr>
          <w:color w:val="000000" w:themeColor="text1"/>
          <w:lang w:val="en-US"/>
        </w:rPr>
        <w:t xml:space="preserve"> </w:t>
      </w:r>
      <w:r w:rsidR="005C6946" w:rsidRPr="00687D89">
        <w:rPr>
          <w:color w:val="000000" w:themeColor="text1"/>
          <w:lang w:val="en-US"/>
        </w:rPr>
        <w:t xml:space="preserve">showing </w:t>
      </w:r>
      <w:r w:rsidR="002A1C91" w:rsidRPr="00687D89">
        <w:rPr>
          <w:color w:val="000000" w:themeColor="text1"/>
          <w:lang w:val="en-US"/>
        </w:rPr>
        <w:t>significant correlations (on average r = .90; p &lt; 0.05) with</w:t>
      </w:r>
      <w:r w:rsidR="006352AD" w:rsidRPr="00687D89">
        <w:rPr>
          <w:color w:val="000000" w:themeColor="text1"/>
          <w:lang w:val="en-US"/>
        </w:rPr>
        <w:t xml:space="preserve"> a full body kinematic model</w:t>
      </w:r>
      <w:r w:rsidR="003A2D2C" w:rsidRPr="00687D89">
        <w:rPr>
          <w:color w:val="000000" w:themeColor="text1"/>
          <w:lang w:val="en-US"/>
        </w:rPr>
        <w:t xml:space="preserve"> </w:t>
      </w:r>
      <w:r w:rsidR="004B3CB1" w:rsidRPr="00687D89">
        <w:rPr>
          <w:color w:val="000000" w:themeColor="text1"/>
          <w:lang w:val="en-US"/>
        </w:rPr>
        <w:t>across trials.</w:t>
      </w:r>
      <w:r w:rsidR="004A229C" w:rsidRPr="00687D89">
        <w:rPr>
          <w:color w:val="000000" w:themeColor="text1"/>
          <w:lang w:val="en-US"/>
        </w:rPr>
        <w:t xml:space="preserve"> </w:t>
      </w:r>
    </w:p>
    <w:p w14:paraId="0D70DD7D" w14:textId="77777777" w:rsidR="00C75636" w:rsidRPr="00687D89" w:rsidRDefault="00C75636" w:rsidP="004B3CB1">
      <w:pPr>
        <w:spacing w:after="0"/>
        <w:jc w:val="both"/>
        <w:rPr>
          <w:color w:val="000000" w:themeColor="text1"/>
          <w:lang w:val="en-US"/>
        </w:rPr>
      </w:pPr>
    </w:p>
    <w:p w14:paraId="3DEDCF7D" w14:textId="77777777" w:rsidR="00C75636" w:rsidRPr="00687D89" w:rsidRDefault="00C75636" w:rsidP="00C75636">
      <w:pPr>
        <w:spacing w:after="0"/>
        <w:jc w:val="both"/>
        <w:rPr>
          <w:b/>
          <w:strike/>
          <w:color w:val="000000" w:themeColor="text1"/>
          <w:lang w:val="en-US"/>
        </w:rPr>
      </w:pPr>
      <w:r w:rsidRPr="00687D89">
        <w:rPr>
          <w:b/>
          <w:color w:val="000000" w:themeColor="text1"/>
          <w:lang w:val="en-US"/>
        </w:rPr>
        <w:t>Insert Figure 2</w:t>
      </w:r>
    </w:p>
    <w:p w14:paraId="673DC866" w14:textId="77777777" w:rsidR="00C75636" w:rsidRPr="00687D89" w:rsidRDefault="00C75636" w:rsidP="004B3CB1">
      <w:pPr>
        <w:spacing w:after="0"/>
        <w:jc w:val="both"/>
        <w:rPr>
          <w:color w:val="000000" w:themeColor="text1"/>
          <w:lang w:val="en-US"/>
        </w:rPr>
      </w:pPr>
    </w:p>
    <w:p w14:paraId="483DD0AA" w14:textId="25C69CC3" w:rsidR="00536006" w:rsidRPr="00687D89" w:rsidRDefault="00E03DFF" w:rsidP="00536006">
      <w:pPr>
        <w:pStyle w:val="Heading2"/>
        <w:spacing w:before="0"/>
        <w:rPr>
          <w:b w:val="0"/>
          <w:i/>
          <w:color w:val="000000" w:themeColor="text1"/>
          <w:lang w:val="en-US"/>
        </w:rPr>
      </w:pPr>
      <w:r w:rsidRPr="00687D89">
        <w:rPr>
          <w:b w:val="0"/>
          <w:i/>
          <w:color w:val="000000" w:themeColor="text1"/>
          <w:lang w:val="en-US"/>
        </w:rPr>
        <w:lastRenderedPageBreak/>
        <w:t>Analysis of</w:t>
      </w:r>
      <w:r w:rsidR="00536006" w:rsidRPr="00687D89">
        <w:rPr>
          <w:b w:val="0"/>
          <w:i/>
          <w:color w:val="000000" w:themeColor="text1"/>
          <w:lang w:val="en-US"/>
        </w:rPr>
        <w:t xml:space="preserve"> triceps surae </w:t>
      </w:r>
      <w:r w:rsidR="002E05BF" w:rsidRPr="00687D89">
        <w:rPr>
          <w:b w:val="0"/>
          <w:i/>
          <w:color w:val="000000" w:themeColor="text1"/>
          <w:lang w:val="en-US"/>
        </w:rPr>
        <w:t xml:space="preserve">neuromechanical </w:t>
      </w:r>
      <w:r w:rsidR="00536006" w:rsidRPr="00687D89">
        <w:rPr>
          <w:b w:val="0"/>
          <w:i/>
          <w:color w:val="000000" w:themeColor="text1"/>
          <w:lang w:val="en-US"/>
        </w:rPr>
        <w:t>properties</w:t>
      </w:r>
    </w:p>
    <w:p w14:paraId="067ADAE9" w14:textId="58D0645F" w:rsidR="00536006" w:rsidRPr="00687D89" w:rsidRDefault="00CE1614" w:rsidP="001D28FC">
      <w:pPr>
        <w:spacing w:after="0"/>
        <w:jc w:val="both"/>
        <w:rPr>
          <w:color w:val="000000" w:themeColor="text1"/>
          <w:szCs w:val="24"/>
          <w:lang w:val="en-US"/>
        </w:rPr>
      </w:pPr>
      <w:r w:rsidRPr="00687D89">
        <w:rPr>
          <w:color w:val="000000" w:themeColor="text1"/>
          <w:lang w:val="en-US"/>
        </w:rPr>
        <w:t>T</w:t>
      </w:r>
      <w:r w:rsidR="00536006" w:rsidRPr="00687D89">
        <w:rPr>
          <w:color w:val="000000" w:themeColor="text1"/>
          <w:lang w:val="en-US"/>
        </w:rPr>
        <w:t xml:space="preserve">he mechanical properties of the TS MTU of the </w:t>
      </w:r>
      <w:r w:rsidR="00536006" w:rsidRPr="00687D89">
        <w:rPr>
          <w:color w:val="000000" w:themeColor="text1"/>
          <w:szCs w:val="24"/>
          <w:lang w:val="en-US"/>
        </w:rPr>
        <w:t>preferred leg for step initiation</w:t>
      </w:r>
      <w:r w:rsidR="00536006" w:rsidRPr="00687D89">
        <w:rPr>
          <w:color w:val="000000" w:themeColor="text1"/>
          <w:lang w:val="en-US"/>
        </w:rPr>
        <w:t xml:space="preserve"> were assessed using ultrasonography and dynamometry synchronously </w:t>
      </w:r>
      <w:r w:rsidR="00A96BD7" w:rsidRPr="00687D89">
        <w:rPr>
          <w:color w:val="000000" w:themeColor="text1"/>
          <w:lang w:val="en-US"/>
        </w:rPr>
        <w:t xml:space="preserve">with </w:t>
      </w:r>
      <w:r w:rsidR="00317188" w:rsidRPr="00687D89">
        <w:rPr>
          <w:color w:val="000000" w:themeColor="text1"/>
          <w:lang w:val="en-US"/>
        </w:rPr>
        <w:t xml:space="preserve">the participants </w:t>
      </w:r>
      <w:r w:rsidR="009A3767" w:rsidRPr="00687D89">
        <w:rPr>
          <w:color w:val="000000" w:themeColor="text1"/>
          <w:lang w:val="en-US"/>
        </w:rPr>
        <w:t>seated</w:t>
      </w:r>
      <w:r w:rsidR="00307EB3" w:rsidRPr="00687D89">
        <w:rPr>
          <w:color w:val="000000" w:themeColor="text1"/>
          <w:lang w:val="en-US"/>
        </w:rPr>
        <w:t>,</w:t>
      </w:r>
      <w:r w:rsidR="009A3767" w:rsidRPr="00687D89">
        <w:rPr>
          <w:color w:val="000000" w:themeColor="text1"/>
          <w:lang w:val="en-US"/>
        </w:rPr>
        <w:t xml:space="preserve"> </w:t>
      </w:r>
      <w:r w:rsidR="00A96BD7" w:rsidRPr="00687D89">
        <w:rPr>
          <w:color w:val="000000" w:themeColor="text1"/>
          <w:lang w:val="en-US"/>
        </w:rPr>
        <w:t xml:space="preserve">ankle and knee joints </w:t>
      </w:r>
      <w:r w:rsidR="00317188" w:rsidRPr="00687D89">
        <w:rPr>
          <w:color w:val="000000" w:themeColor="text1"/>
          <w:lang w:val="en-US"/>
        </w:rPr>
        <w:t>fixed</w:t>
      </w:r>
      <w:r w:rsidR="00A96BD7" w:rsidRPr="00687D89">
        <w:rPr>
          <w:color w:val="000000" w:themeColor="text1"/>
          <w:lang w:val="en-US"/>
        </w:rPr>
        <w:t xml:space="preserve"> at 90° (thigh and foot perpendicular to the shank) and th</w:t>
      </w:r>
      <w:r w:rsidR="00317188" w:rsidRPr="00687D89">
        <w:rPr>
          <w:color w:val="000000" w:themeColor="text1"/>
          <w:lang w:val="en-US"/>
        </w:rPr>
        <w:t>e</w:t>
      </w:r>
      <w:r w:rsidR="00A96BD7" w:rsidRPr="00687D89">
        <w:rPr>
          <w:color w:val="000000" w:themeColor="text1"/>
          <w:lang w:val="en-US"/>
        </w:rPr>
        <w:t xml:space="preserve"> f</w:t>
      </w:r>
      <w:r w:rsidR="00317188" w:rsidRPr="00687D89">
        <w:rPr>
          <w:color w:val="000000" w:themeColor="text1"/>
          <w:lang w:val="en-US"/>
        </w:rPr>
        <w:t>oot</w:t>
      </w:r>
      <w:r w:rsidR="00A96BD7" w:rsidRPr="00687D89">
        <w:rPr>
          <w:color w:val="000000" w:themeColor="text1"/>
          <w:lang w:val="en-US"/>
        </w:rPr>
        <w:t xml:space="preserve"> placed on a custom-made strain gauge dynamometer (1000 Hz</w:t>
      </w:r>
      <w:r w:rsidR="00203E97" w:rsidRPr="00687D89">
        <w:rPr>
          <w:color w:val="000000" w:themeColor="text1"/>
          <w:lang w:val="en-US"/>
        </w:rPr>
        <w:t>; please also see Epro et al. 2017</w:t>
      </w:r>
      <w:r w:rsidR="00A96BD7" w:rsidRPr="00687D89">
        <w:rPr>
          <w:color w:val="000000" w:themeColor="text1"/>
          <w:lang w:val="en-US"/>
        </w:rPr>
        <w:t>).</w:t>
      </w:r>
      <w:r w:rsidR="00536006" w:rsidRPr="00687D89">
        <w:rPr>
          <w:color w:val="000000" w:themeColor="text1"/>
          <w:lang w:val="en-US"/>
        </w:rPr>
        <w:t xml:space="preserve"> </w:t>
      </w:r>
      <w:r w:rsidR="00536006" w:rsidRPr="00687D89">
        <w:rPr>
          <w:color w:val="000000" w:themeColor="text1"/>
          <w:szCs w:val="24"/>
          <w:lang w:val="en-US"/>
        </w:rPr>
        <w:t xml:space="preserve">Inverse dynamics were used to </w:t>
      </w:r>
      <w:r w:rsidR="00536006" w:rsidRPr="00687D89">
        <w:rPr>
          <w:color w:val="000000" w:themeColor="text1"/>
          <w:lang w:val="en-US"/>
        </w:rPr>
        <w:t xml:space="preserve">calculate the resultant joint moments acting about the ankle joint, accounting for the gravitational moments using a passive measurement. </w:t>
      </w:r>
      <w:r w:rsidR="003E68BE" w:rsidRPr="00687D89">
        <w:rPr>
          <w:color w:val="000000" w:themeColor="text1"/>
          <w:lang w:val="en-US"/>
        </w:rPr>
        <w:t>Following a standardized warm-up (Maganaris et al. 1998), all</w:t>
      </w:r>
      <w:r w:rsidR="00687D89" w:rsidRPr="00687D89">
        <w:rPr>
          <w:color w:val="000000" w:themeColor="text1"/>
          <w:lang w:val="en-US"/>
        </w:rPr>
        <w:t xml:space="preserve"> </w:t>
      </w:r>
      <w:r w:rsidR="00536006" w:rsidRPr="00687D89">
        <w:rPr>
          <w:color w:val="000000" w:themeColor="text1"/>
          <w:lang w:val="en-US"/>
        </w:rPr>
        <w:t>participants performed six separate maximal voluntary isometric ankle plantarflexion contractions (MVC) with</w:t>
      </w:r>
      <w:r w:rsidR="00266740" w:rsidRPr="00687D89">
        <w:rPr>
          <w:color w:val="000000" w:themeColor="text1"/>
          <w:lang w:val="en-US"/>
        </w:rPr>
        <w:t xml:space="preserve"> visual feedback and </w:t>
      </w:r>
      <w:r w:rsidR="00536006" w:rsidRPr="00687D89">
        <w:rPr>
          <w:color w:val="000000" w:themeColor="text1"/>
          <w:lang w:val="en-US"/>
        </w:rPr>
        <w:t>verbal encouragement from the researchers</w:t>
      </w:r>
      <w:r w:rsidR="00266740" w:rsidRPr="00687D89">
        <w:rPr>
          <w:color w:val="000000" w:themeColor="text1"/>
          <w:lang w:val="en-US"/>
        </w:rPr>
        <w:t xml:space="preserve">. </w:t>
      </w:r>
      <w:r w:rsidR="00FC638E" w:rsidRPr="00687D89">
        <w:rPr>
          <w:color w:val="000000" w:themeColor="text1"/>
          <w:lang w:val="en-US"/>
        </w:rPr>
        <w:t xml:space="preserve">The first three MVCs (“as strong as possible”) were foremost performed to assess the maximal ankle plantarflexion moment for each participant, whereas the </w:t>
      </w:r>
      <w:r w:rsidR="00307EB3" w:rsidRPr="00687D89">
        <w:rPr>
          <w:color w:val="000000" w:themeColor="text1"/>
          <w:lang w:val="en-US"/>
        </w:rPr>
        <w:t xml:space="preserve">second </w:t>
      </w:r>
      <w:r w:rsidR="00FC638E" w:rsidRPr="00687D89">
        <w:rPr>
          <w:color w:val="000000" w:themeColor="text1"/>
          <w:lang w:val="en-US"/>
        </w:rPr>
        <w:t xml:space="preserve">three were performed as MVC ramp contractions </w:t>
      </w:r>
      <w:r w:rsidR="00825F34" w:rsidRPr="00687D89">
        <w:rPr>
          <w:color w:val="000000" w:themeColor="text1"/>
          <w:lang w:val="en-US"/>
        </w:rPr>
        <w:t xml:space="preserve">in order to calculate </w:t>
      </w:r>
      <w:r w:rsidR="00FC638E" w:rsidRPr="00687D89">
        <w:rPr>
          <w:color w:val="000000" w:themeColor="text1"/>
          <w:lang w:val="en-US"/>
        </w:rPr>
        <w:t xml:space="preserve">the </w:t>
      </w:r>
      <w:bookmarkStart w:id="21" w:name="OLE_LINK4"/>
      <w:bookmarkStart w:id="22" w:name="OLE_LINK5"/>
      <w:bookmarkStart w:id="23" w:name="OLE_LINK6"/>
      <w:bookmarkStart w:id="24" w:name="OLE_LINK7"/>
      <w:bookmarkStart w:id="25" w:name="OLE_LINK8"/>
      <w:bookmarkStart w:id="26" w:name="OLE_LINK9"/>
      <w:r w:rsidR="00FC638E" w:rsidRPr="00687D89">
        <w:rPr>
          <w:color w:val="000000" w:themeColor="text1"/>
          <w:lang w:val="en-US"/>
        </w:rPr>
        <w:t>Achilles tendon</w:t>
      </w:r>
      <w:bookmarkEnd w:id="21"/>
      <w:bookmarkEnd w:id="22"/>
      <w:bookmarkEnd w:id="23"/>
      <w:bookmarkEnd w:id="24"/>
      <w:bookmarkEnd w:id="25"/>
      <w:bookmarkEnd w:id="26"/>
      <w:r w:rsidR="00FC638E" w:rsidRPr="00687D89">
        <w:rPr>
          <w:color w:val="000000" w:themeColor="text1"/>
          <w:lang w:val="en-US"/>
        </w:rPr>
        <w:t xml:space="preserve"> </w:t>
      </w:r>
      <w:r w:rsidR="00825F34" w:rsidRPr="00687D89">
        <w:rPr>
          <w:color w:val="000000" w:themeColor="text1"/>
          <w:lang w:val="en-US"/>
        </w:rPr>
        <w:t>force-length relationship</w:t>
      </w:r>
      <w:r w:rsidR="00507598" w:rsidRPr="00687D89">
        <w:rPr>
          <w:color w:val="000000" w:themeColor="text1"/>
          <w:lang w:val="en-US"/>
        </w:rPr>
        <w:t>. Standardized ramp contractions</w:t>
      </w:r>
      <w:r w:rsidR="00FC638E" w:rsidRPr="00687D89">
        <w:rPr>
          <w:color w:val="000000" w:themeColor="text1"/>
          <w:lang w:val="en-US"/>
        </w:rPr>
        <w:t xml:space="preserve"> </w:t>
      </w:r>
      <w:r w:rsidR="004D3A53" w:rsidRPr="00687D89">
        <w:rPr>
          <w:color w:val="000000" w:themeColor="text1"/>
          <w:szCs w:val="24"/>
        </w:rPr>
        <w:t>(3 seconds until maximum plantarflexion moment)</w:t>
      </w:r>
      <w:r w:rsidR="004D3A53" w:rsidRPr="00687D89">
        <w:rPr>
          <w:color w:val="000000" w:themeColor="text1"/>
          <w:lang w:val="en-US"/>
        </w:rPr>
        <w:t xml:space="preserve"> </w:t>
      </w:r>
      <w:r w:rsidR="00E1156A" w:rsidRPr="00687D89">
        <w:rPr>
          <w:color w:val="000000" w:themeColor="text1"/>
          <w:szCs w:val="24"/>
        </w:rPr>
        <w:t>ensure that the excursion of the tendon is relatively slow</w:t>
      </w:r>
      <w:r w:rsidR="001F1BF0" w:rsidRPr="00687D89">
        <w:rPr>
          <w:color w:val="000000" w:themeColor="text1"/>
          <w:szCs w:val="24"/>
        </w:rPr>
        <w:t xml:space="preserve"> </w:t>
      </w:r>
      <w:r w:rsidR="00E1156A" w:rsidRPr="00687D89">
        <w:rPr>
          <w:color w:val="000000" w:themeColor="text1"/>
          <w:szCs w:val="24"/>
        </w:rPr>
        <w:t xml:space="preserve">and </w:t>
      </w:r>
      <w:r w:rsidR="001F1BF0" w:rsidRPr="00687D89">
        <w:rPr>
          <w:color w:val="000000" w:themeColor="text1"/>
          <w:szCs w:val="24"/>
        </w:rPr>
        <w:t xml:space="preserve">thereby </w:t>
      </w:r>
      <w:r w:rsidR="00E1156A" w:rsidRPr="00687D89">
        <w:rPr>
          <w:color w:val="000000" w:themeColor="text1"/>
          <w:szCs w:val="24"/>
        </w:rPr>
        <w:t xml:space="preserve">improve post data processing of the </w:t>
      </w:r>
      <w:r w:rsidR="00A437E0" w:rsidRPr="00687D89">
        <w:rPr>
          <w:color w:val="000000" w:themeColor="text1"/>
          <w:szCs w:val="24"/>
        </w:rPr>
        <w:t>ultrasound</w:t>
      </w:r>
      <w:r w:rsidR="00E1156A" w:rsidRPr="00687D89">
        <w:rPr>
          <w:color w:val="000000" w:themeColor="text1"/>
          <w:szCs w:val="24"/>
        </w:rPr>
        <w:t xml:space="preserve"> image sequences</w:t>
      </w:r>
      <w:r w:rsidR="00FC638E" w:rsidRPr="00687D89">
        <w:rPr>
          <w:color w:val="000000" w:themeColor="text1"/>
          <w:lang w:val="en-US"/>
        </w:rPr>
        <w:t>.</w:t>
      </w:r>
      <w:r w:rsidR="00BC340E" w:rsidRPr="00687D89">
        <w:rPr>
          <w:color w:val="000000" w:themeColor="text1"/>
          <w:lang w:val="en-US"/>
        </w:rPr>
        <w:t xml:space="preserve"> </w:t>
      </w:r>
      <w:r w:rsidR="00536006" w:rsidRPr="00687D89">
        <w:rPr>
          <w:color w:val="000000" w:themeColor="text1"/>
          <w:lang w:val="en-US"/>
        </w:rPr>
        <w:t>All six MVC plantarflexion contractions were used to assess the individual TS muscle strength (maximal plantarflexion moment).</w:t>
      </w:r>
      <w:r w:rsidR="006D44C4" w:rsidRPr="00687D89">
        <w:rPr>
          <w:color w:val="000000" w:themeColor="text1"/>
          <w:lang w:val="en-US"/>
        </w:rPr>
        <w:t xml:space="preserve"> </w:t>
      </w:r>
      <w:r w:rsidR="00023115" w:rsidRPr="00687D89">
        <w:rPr>
          <w:color w:val="000000" w:themeColor="text1"/>
          <w:lang w:val="en-US"/>
        </w:rPr>
        <w:t>Achilles tendon</w:t>
      </w:r>
      <w:r w:rsidR="00536006" w:rsidRPr="00687D89">
        <w:rPr>
          <w:color w:val="000000" w:themeColor="text1"/>
          <w:lang w:val="en-US"/>
        </w:rPr>
        <w:t xml:space="preserve"> force was determined by dividing the resultant ankle joint moment by t</w:t>
      </w:r>
      <w:bookmarkStart w:id="27" w:name="Mendeley_Bookmark_Ouv9pFGI6S"/>
      <w:r w:rsidR="001E4D96" w:rsidRPr="00687D89">
        <w:rPr>
          <w:color w:val="000000" w:themeColor="text1"/>
          <w:lang w:val="en-US"/>
        </w:rPr>
        <w:t>he individual tendon moment arm. The Achilles tendon moment arm was individually determined using the tendon excursion method (An et al. 1983, 1984; Maganaris et al. 1998) for each participant at the Pre measurement between 85 and 105 deg</w:t>
      </w:r>
      <w:r w:rsidR="00307EB3" w:rsidRPr="00687D89">
        <w:rPr>
          <w:color w:val="000000" w:themeColor="text1"/>
          <w:lang w:val="en-US"/>
        </w:rPr>
        <w:t>rees</w:t>
      </w:r>
      <w:r w:rsidR="001E4D96" w:rsidRPr="00687D89">
        <w:rPr>
          <w:color w:val="000000" w:themeColor="text1"/>
          <w:lang w:val="en-US"/>
        </w:rPr>
        <w:t xml:space="preserve"> ankle joint angle</w:t>
      </w:r>
      <w:r w:rsidR="00307EB3" w:rsidRPr="00687D89">
        <w:rPr>
          <w:color w:val="000000" w:themeColor="text1"/>
          <w:lang w:val="en-US"/>
        </w:rPr>
        <w:t>s</w:t>
      </w:r>
      <w:r w:rsidR="001E4D96" w:rsidRPr="00687D89">
        <w:rPr>
          <w:color w:val="000000" w:themeColor="text1"/>
          <w:lang w:val="en-US"/>
        </w:rPr>
        <w:t xml:space="preserve"> (Epro et al. 2017).</w:t>
      </w:r>
      <w:bookmarkEnd w:id="27"/>
      <w:r w:rsidR="00C96716" w:rsidRPr="00687D89">
        <w:rPr>
          <w:color w:val="000000" w:themeColor="text1"/>
          <w:lang w:val="en-US"/>
        </w:rPr>
        <w:t xml:space="preserve"> </w:t>
      </w:r>
      <w:r w:rsidR="00536006" w:rsidRPr="00687D89">
        <w:rPr>
          <w:color w:val="000000" w:themeColor="text1"/>
          <w:szCs w:val="24"/>
          <w:lang w:val="en-US"/>
        </w:rPr>
        <w:t xml:space="preserve">The displacement of the </w:t>
      </w:r>
      <w:bookmarkStart w:id="28" w:name="OLE_LINK3"/>
      <w:r w:rsidR="00536006" w:rsidRPr="00687D89">
        <w:rPr>
          <w:color w:val="000000" w:themeColor="text1"/>
          <w:szCs w:val="24"/>
          <w:lang w:val="en-US"/>
        </w:rPr>
        <w:t>myotendinous junction</w:t>
      </w:r>
      <w:bookmarkEnd w:id="28"/>
      <w:r w:rsidR="00536006" w:rsidRPr="00687D89">
        <w:rPr>
          <w:color w:val="000000" w:themeColor="text1"/>
          <w:szCs w:val="24"/>
          <w:lang w:val="en-US"/>
        </w:rPr>
        <w:t xml:space="preserve"> of the m. gastrocnemius medialis during the controlled ramp contractions was analysed using a securely positioned linear array ultrasound probe (29 Hz; MyLab</w:t>
      </w:r>
      <w:r w:rsidR="00536006" w:rsidRPr="00687D89">
        <w:rPr>
          <w:color w:val="000000" w:themeColor="text1"/>
          <w:szCs w:val="24"/>
          <w:vertAlign w:val="superscript"/>
          <w:lang w:val="en-US"/>
        </w:rPr>
        <w:t>TM</w:t>
      </w:r>
      <w:r w:rsidR="00536006" w:rsidRPr="00687D89">
        <w:rPr>
          <w:color w:val="000000" w:themeColor="text1"/>
          <w:szCs w:val="24"/>
          <w:lang w:val="en-US"/>
        </w:rPr>
        <w:t xml:space="preserve">Five, Esaote; Genoa, Italy) and by manually digitizing the displacement of the </w:t>
      </w:r>
      <w:r w:rsidR="005C62F5" w:rsidRPr="00687D89">
        <w:rPr>
          <w:color w:val="000000" w:themeColor="text1"/>
          <w:szCs w:val="24"/>
          <w:lang w:val="en-US"/>
        </w:rPr>
        <w:t>myotendinous junction</w:t>
      </w:r>
      <w:r w:rsidR="00536006" w:rsidRPr="00687D89">
        <w:rPr>
          <w:color w:val="000000" w:themeColor="text1"/>
          <w:szCs w:val="24"/>
          <w:lang w:val="en-US"/>
        </w:rPr>
        <w:t xml:space="preserve"> using video </w:t>
      </w:r>
      <w:r w:rsidR="00536006" w:rsidRPr="00687D89">
        <w:rPr>
          <w:color w:val="000000" w:themeColor="text1"/>
          <w:szCs w:val="24"/>
          <w:lang w:val="en-US"/>
        </w:rPr>
        <w:lastRenderedPageBreak/>
        <w:t xml:space="preserve">analysis software (Simi Motion 5.0, SIMI Reality Motion System GmbH, Unterschleißheim, Germany). </w:t>
      </w:r>
      <w:r w:rsidR="001D28FC" w:rsidRPr="00687D89">
        <w:rPr>
          <w:color w:val="000000" w:themeColor="text1"/>
          <w:szCs w:val="24"/>
          <w:lang w:val="en-US"/>
        </w:rPr>
        <w:t>During each contraction</w:t>
      </w:r>
      <w:r w:rsidR="00EE1546" w:rsidRPr="00687D89">
        <w:rPr>
          <w:color w:val="000000" w:themeColor="text1"/>
          <w:szCs w:val="24"/>
          <w:lang w:val="en-US"/>
        </w:rPr>
        <w:t>,</w:t>
      </w:r>
      <w:r w:rsidR="001D28FC" w:rsidRPr="00687D89">
        <w:rPr>
          <w:color w:val="000000" w:themeColor="text1"/>
          <w:szCs w:val="24"/>
          <w:lang w:val="en-US"/>
        </w:rPr>
        <w:t xml:space="preserve"> t</w:t>
      </w:r>
      <w:r w:rsidR="00B23D11" w:rsidRPr="00687D89">
        <w:rPr>
          <w:color w:val="000000" w:themeColor="text1"/>
          <w:szCs w:val="24"/>
          <w:lang w:val="en-US"/>
        </w:rPr>
        <w:t xml:space="preserve">he effect of inevitable ankle joint angular rotation on the </w:t>
      </w:r>
      <w:r w:rsidR="001D28FC" w:rsidRPr="00687D89">
        <w:rPr>
          <w:color w:val="000000" w:themeColor="text1"/>
          <w:szCs w:val="24"/>
          <w:lang w:val="en-US"/>
        </w:rPr>
        <w:t>obtained</w:t>
      </w:r>
      <w:r w:rsidR="00B23D11" w:rsidRPr="00687D89">
        <w:rPr>
          <w:color w:val="000000" w:themeColor="text1"/>
          <w:szCs w:val="24"/>
          <w:lang w:val="en-US"/>
        </w:rPr>
        <w:t xml:space="preserve"> tendon elongation was taken into account using a potentiometer </w:t>
      </w:r>
      <w:r w:rsidR="001D28FC" w:rsidRPr="00687D89">
        <w:rPr>
          <w:color w:val="000000" w:themeColor="text1"/>
          <w:szCs w:val="24"/>
          <w:lang w:val="en-US"/>
        </w:rPr>
        <w:t>positioned</w:t>
      </w:r>
      <w:r w:rsidR="00B23D11" w:rsidRPr="00687D89">
        <w:rPr>
          <w:color w:val="000000" w:themeColor="text1"/>
          <w:szCs w:val="24"/>
          <w:lang w:val="en-US"/>
        </w:rPr>
        <w:t xml:space="preserve"> under the heel to calculate changes in the ankle joint angle </w:t>
      </w:r>
      <w:r w:rsidR="001D28FC" w:rsidRPr="00687D89">
        <w:rPr>
          <w:color w:val="000000" w:themeColor="text1"/>
          <w:szCs w:val="24"/>
          <w:lang w:val="en-US"/>
        </w:rPr>
        <w:t>through the inverse tangent of the ratio of the heel lift to the distance between the ankle joint axis</w:t>
      </w:r>
      <w:r w:rsidR="00B23D11" w:rsidRPr="00687D89">
        <w:rPr>
          <w:color w:val="000000" w:themeColor="text1"/>
          <w:szCs w:val="24"/>
          <w:lang w:val="en-US"/>
        </w:rPr>
        <w:t xml:space="preserve"> (Ackermans et al. 2016; Epro et al. 2017). </w:t>
      </w:r>
      <w:r w:rsidR="00536006" w:rsidRPr="00687D89">
        <w:rPr>
          <w:color w:val="000000" w:themeColor="text1"/>
          <w:szCs w:val="24"/>
          <w:lang w:val="en-US"/>
        </w:rPr>
        <w:t xml:space="preserve">The </w:t>
      </w:r>
      <w:r w:rsidR="00023115" w:rsidRPr="00687D89">
        <w:rPr>
          <w:color w:val="000000" w:themeColor="text1"/>
          <w:lang w:val="en-US"/>
        </w:rPr>
        <w:t>Achilles tendon</w:t>
      </w:r>
      <w:r w:rsidR="00536006" w:rsidRPr="00687D89">
        <w:rPr>
          <w:color w:val="000000" w:themeColor="text1"/>
          <w:szCs w:val="24"/>
          <w:lang w:val="en-US"/>
        </w:rPr>
        <w:t xml:space="preserve"> stiffness </w:t>
      </w:r>
      <w:r w:rsidR="000B311A" w:rsidRPr="00687D89">
        <w:rPr>
          <w:color w:val="000000" w:themeColor="text1"/>
          <w:szCs w:val="24"/>
          <w:lang w:val="en-US"/>
        </w:rPr>
        <w:t xml:space="preserve">(mean </w:t>
      </w:r>
      <w:r w:rsidR="00C3263C" w:rsidRPr="00687D89">
        <w:rPr>
          <w:color w:val="000000" w:themeColor="text1"/>
          <w:szCs w:val="24"/>
          <w:lang w:val="en-US"/>
        </w:rPr>
        <w:t xml:space="preserve">value of </w:t>
      </w:r>
      <w:r w:rsidR="000B311A" w:rsidRPr="00687D89">
        <w:rPr>
          <w:color w:val="000000" w:themeColor="text1"/>
          <w:szCs w:val="24"/>
          <w:lang w:val="en-US"/>
        </w:rPr>
        <w:t xml:space="preserve">three </w:t>
      </w:r>
      <w:r w:rsidR="00C3263C" w:rsidRPr="00687D89">
        <w:rPr>
          <w:color w:val="000000" w:themeColor="text1"/>
          <w:szCs w:val="24"/>
          <w:lang w:val="en-US"/>
        </w:rPr>
        <w:t xml:space="preserve">MVC </w:t>
      </w:r>
      <w:r w:rsidR="000B311A" w:rsidRPr="00687D89">
        <w:rPr>
          <w:color w:val="000000" w:themeColor="text1"/>
          <w:szCs w:val="24"/>
          <w:lang w:val="en-US"/>
        </w:rPr>
        <w:t xml:space="preserve">ramp contractions) </w:t>
      </w:r>
      <w:r w:rsidR="00536006" w:rsidRPr="00687D89">
        <w:rPr>
          <w:color w:val="000000" w:themeColor="text1"/>
          <w:szCs w:val="24"/>
          <w:lang w:val="en-US"/>
        </w:rPr>
        <w:t xml:space="preserve">was determined </w:t>
      </w:r>
      <w:r w:rsidR="000B311A" w:rsidRPr="00687D89">
        <w:rPr>
          <w:color w:val="000000" w:themeColor="text1"/>
          <w:szCs w:val="24"/>
          <w:lang w:val="en-US"/>
        </w:rPr>
        <w:t xml:space="preserve">as </w:t>
      </w:r>
      <w:r w:rsidR="00536006" w:rsidRPr="00687D89">
        <w:rPr>
          <w:color w:val="000000" w:themeColor="text1"/>
          <w:szCs w:val="24"/>
          <w:lang w:val="en-US"/>
        </w:rPr>
        <w:t>slope of the calculated tendon force and resultant tendon elongation relationship between 50% and 100% of maximum tendon force using linear regression.</w:t>
      </w:r>
    </w:p>
    <w:p w14:paraId="322CC542" w14:textId="2083CBA1" w:rsidR="00536006" w:rsidRPr="00687D89" w:rsidRDefault="00536006" w:rsidP="006D32B8">
      <w:pPr>
        <w:spacing w:after="0"/>
        <w:jc w:val="both"/>
        <w:rPr>
          <w:color w:val="000000" w:themeColor="text1"/>
          <w:lang w:val="en-US"/>
        </w:rPr>
      </w:pPr>
      <w:r w:rsidRPr="00687D89">
        <w:rPr>
          <w:color w:val="000000" w:themeColor="text1"/>
          <w:lang w:val="en-US"/>
        </w:rPr>
        <w:t>In order to assess TS motor skill performance, the participants had to trac</w:t>
      </w:r>
      <w:r w:rsidR="001F59C3" w:rsidRPr="00687D89">
        <w:rPr>
          <w:color w:val="000000" w:themeColor="text1"/>
          <w:lang w:val="en-US"/>
        </w:rPr>
        <w:t>e</w:t>
      </w:r>
      <w:r w:rsidRPr="00687D89">
        <w:rPr>
          <w:color w:val="000000" w:themeColor="text1"/>
          <w:lang w:val="en-US"/>
        </w:rPr>
        <w:t xml:space="preserve"> different pre-defined functions displayed on a computer screen by controlling a moving circular cursor with precise bilateral ankle plantarflexions, limited to a maximum intensity of 30% MVC. </w:t>
      </w:r>
      <w:r w:rsidR="007B02EC" w:rsidRPr="00687D89">
        <w:rPr>
          <w:color w:val="000000" w:themeColor="text1"/>
          <w:lang w:val="en-US"/>
        </w:rPr>
        <w:t>Each function was presented two times with</w:t>
      </w:r>
      <w:r w:rsidR="00AE599B" w:rsidRPr="00687D89">
        <w:rPr>
          <w:color w:val="000000" w:themeColor="text1"/>
          <w:lang w:val="en-US"/>
        </w:rPr>
        <w:t xml:space="preserve"> two</w:t>
      </w:r>
      <w:r w:rsidR="0061660B" w:rsidRPr="00687D89">
        <w:rPr>
          <w:color w:val="000000" w:themeColor="text1"/>
          <w:lang w:val="en-US"/>
        </w:rPr>
        <w:t xml:space="preserve"> </w:t>
      </w:r>
      <w:r w:rsidR="007B02EC" w:rsidRPr="00687D89">
        <w:rPr>
          <w:color w:val="000000" w:themeColor="text1"/>
          <w:lang w:val="en-US"/>
        </w:rPr>
        <w:t xml:space="preserve">different </w:t>
      </w:r>
      <w:r w:rsidR="0061660B" w:rsidRPr="00687D89">
        <w:rPr>
          <w:color w:val="000000" w:themeColor="text1"/>
          <w:lang w:val="en-US"/>
        </w:rPr>
        <w:t xml:space="preserve">cursor </w:t>
      </w:r>
      <w:r w:rsidR="0073142B" w:rsidRPr="00687D89">
        <w:rPr>
          <w:color w:val="000000" w:themeColor="text1"/>
          <w:lang w:val="en-US"/>
        </w:rPr>
        <w:t>movement</w:t>
      </w:r>
      <w:r w:rsidR="00723907" w:rsidRPr="00687D89">
        <w:rPr>
          <w:color w:val="000000" w:themeColor="text1"/>
          <w:lang w:val="en-US"/>
        </w:rPr>
        <w:t>s</w:t>
      </w:r>
      <w:r w:rsidRPr="00687D89">
        <w:rPr>
          <w:color w:val="000000" w:themeColor="text1"/>
          <w:lang w:val="en-US"/>
        </w:rPr>
        <w:t xml:space="preserve">: </w:t>
      </w:r>
      <w:r w:rsidR="00AE599B" w:rsidRPr="00687D89">
        <w:rPr>
          <w:color w:val="000000" w:themeColor="text1"/>
          <w:lang w:val="en-US"/>
        </w:rPr>
        <w:t xml:space="preserve">time over the function </w:t>
      </w:r>
      <w:r w:rsidR="00791002" w:rsidRPr="00687D89">
        <w:rPr>
          <w:color w:val="000000" w:themeColor="text1"/>
          <w:lang w:val="en-US"/>
        </w:rPr>
        <w:t>with</w:t>
      </w:r>
      <w:r w:rsidR="00AE599B" w:rsidRPr="00687D89">
        <w:rPr>
          <w:color w:val="000000" w:themeColor="text1"/>
          <w:lang w:val="en-US"/>
        </w:rPr>
        <w:t xml:space="preserve"> </w:t>
      </w:r>
      <w:r w:rsidR="00222F6F" w:rsidRPr="00687D89">
        <w:rPr>
          <w:color w:val="000000" w:themeColor="text1"/>
          <w:lang w:val="en-US"/>
        </w:rPr>
        <w:t>80s of continuous tracing (slow)</w:t>
      </w:r>
      <w:r w:rsidR="001F59C3" w:rsidRPr="00687D89">
        <w:rPr>
          <w:color w:val="000000" w:themeColor="text1"/>
          <w:lang w:val="en-US"/>
        </w:rPr>
        <w:t xml:space="preserve"> </w:t>
      </w:r>
      <w:r w:rsidR="00791002" w:rsidRPr="00687D89">
        <w:rPr>
          <w:color w:val="000000" w:themeColor="text1"/>
          <w:lang w:val="en-US"/>
        </w:rPr>
        <w:t>and with</w:t>
      </w:r>
      <w:r w:rsidR="00222F6F" w:rsidRPr="00687D89">
        <w:rPr>
          <w:color w:val="000000" w:themeColor="text1"/>
          <w:lang w:val="en-US"/>
        </w:rPr>
        <w:t xml:space="preserve"> 20s of continuous tracing (fast)</w:t>
      </w:r>
      <w:r w:rsidRPr="00687D89">
        <w:rPr>
          <w:color w:val="000000" w:themeColor="text1"/>
          <w:lang w:val="en-US"/>
        </w:rPr>
        <w:t>. The measurement was carried out using a custom-made training device described in more detail in the section</w:t>
      </w:r>
      <w:r w:rsidRPr="00687D89">
        <w:rPr>
          <w:i/>
          <w:color w:val="000000" w:themeColor="text1"/>
          <w:lang w:val="en-US"/>
        </w:rPr>
        <w:t xml:space="preserve"> “Triceps surae </w:t>
      </w:r>
      <w:r w:rsidR="008958B1" w:rsidRPr="00687D89">
        <w:rPr>
          <w:i/>
          <w:color w:val="000000" w:themeColor="text1"/>
          <w:lang w:val="en-US"/>
        </w:rPr>
        <w:t>neuromuscular</w:t>
      </w:r>
      <w:r w:rsidR="008958B1" w:rsidRPr="00687D89" w:rsidDel="008958B1">
        <w:rPr>
          <w:i/>
          <w:color w:val="000000" w:themeColor="text1"/>
          <w:lang w:val="en-US"/>
        </w:rPr>
        <w:t xml:space="preserve"> </w:t>
      </w:r>
      <w:r w:rsidRPr="00687D89">
        <w:rPr>
          <w:i/>
          <w:color w:val="000000" w:themeColor="text1"/>
          <w:lang w:val="en-US"/>
        </w:rPr>
        <w:t>exercise intervention”</w:t>
      </w:r>
      <w:r w:rsidRPr="00687D89">
        <w:rPr>
          <w:color w:val="000000" w:themeColor="text1"/>
          <w:lang w:val="en-US"/>
        </w:rPr>
        <w:t>. The TS motor skill performance was determined by calculating the mean deviation from the presented function, which was then normalized to the individuals’ bilateral maximal plantarflexion moment (relative mean deviation) at each measurement time point (Pre, Post 14w and Post 1.5y). In order to avoid possible errors through differences in subjects’ attention between the measurement time points, th</w:t>
      </w:r>
      <w:r w:rsidR="001F59C3" w:rsidRPr="00687D89">
        <w:rPr>
          <w:color w:val="000000" w:themeColor="text1"/>
          <w:lang w:val="en-US"/>
        </w:rPr>
        <w:t>e first and last 5% of the trac</w:t>
      </w:r>
      <w:r w:rsidRPr="00687D89">
        <w:rPr>
          <w:color w:val="000000" w:themeColor="text1"/>
          <w:lang w:val="en-US"/>
        </w:rPr>
        <w:t xml:space="preserve">ed data were excluded from the mean and relative mean deviation calculations. For the Pre, Post 14w and Post 1.5y measurement time points four separate functions were used to determine the motor skill performance: two pre-defined functions, which occurred only in these measurement </w:t>
      </w:r>
      <w:r w:rsidRPr="00687D89">
        <w:rPr>
          <w:color w:val="000000" w:themeColor="text1"/>
          <w:lang w:val="en-US"/>
        </w:rPr>
        <w:lastRenderedPageBreak/>
        <w:t>sessions (transfer functions: Funct</w:t>
      </w:r>
      <w:r w:rsidRPr="00687D89">
        <w:rPr>
          <w:color w:val="000000" w:themeColor="text1"/>
          <w:vertAlign w:val="subscript"/>
          <w:lang w:val="en-US"/>
        </w:rPr>
        <w:t>TR1</w:t>
      </w:r>
      <w:r w:rsidRPr="00687D89">
        <w:rPr>
          <w:color w:val="000000" w:themeColor="text1"/>
          <w:lang w:val="en-US"/>
        </w:rPr>
        <w:t xml:space="preserve"> and Funct</w:t>
      </w:r>
      <w:r w:rsidRPr="00687D89">
        <w:rPr>
          <w:color w:val="000000" w:themeColor="text1"/>
          <w:vertAlign w:val="subscript"/>
          <w:lang w:val="en-US"/>
        </w:rPr>
        <w:t>TR2</w:t>
      </w:r>
      <w:r w:rsidRPr="00687D89">
        <w:rPr>
          <w:color w:val="000000" w:themeColor="text1"/>
          <w:lang w:val="en-US"/>
        </w:rPr>
        <w:t xml:space="preserve">; Fig. </w:t>
      </w:r>
      <w:r w:rsidR="00F631B3" w:rsidRPr="00687D89">
        <w:rPr>
          <w:color w:val="000000" w:themeColor="text1"/>
          <w:lang w:val="en-US"/>
        </w:rPr>
        <w:t>3</w:t>
      </w:r>
      <w:r w:rsidRPr="00687D89">
        <w:rPr>
          <w:color w:val="000000" w:themeColor="text1"/>
          <w:lang w:val="en-US"/>
        </w:rPr>
        <w:t>) and two functions, which were practiced in each training session (constant functions: Funct</w:t>
      </w:r>
      <w:r w:rsidRPr="00687D89">
        <w:rPr>
          <w:color w:val="000000" w:themeColor="text1"/>
          <w:vertAlign w:val="subscript"/>
          <w:lang w:val="en-US"/>
        </w:rPr>
        <w:t>CT1</w:t>
      </w:r>
      <w:r w:rsidRPr="00687D89">
        <w:rPr>
          <w:color w:val="000000" w:themeColor="text1"/>
          <w:lang w:val="en-US"/>
        </w:rPr>
        <w:t xml:space="preserve"> and Funct</w:t>
      </w:r>
      <w:r w:rsidRPr="00687D89">
        <w:rPr>
          <w:color w:val="000000" w:themeColor="text1"/>
          <w:vertAlign w:val="subscript"/>
          <w:lang w:val="en-US"/>
        </w:rPr>
        <w:t>CT2</w:t>
      </w:r>
      <w:r w:rsidRPr="00687D89">
        <w:rPr>
          <w:color w:val="000000" w:themeColor="text1"/>
          <w:lang w:val="en-US"/>
        </w:rPr>
        <w:t xml:space="preserve">; Fig. </w:t>
      </w:r>
      <w:r w:rsidR="00F631B3" w:rsidRPr="00687D89">
        <w:rPr>
          <w:color w:val="000000" w:themeColor="text1"/>
          <w:lang w:val="en-US"/>
        </w:rPr>
        <w:t>3</w:t>
      </w:r>
      <w:r w:rsidRPr="00687D89">
        <w:rPr>
          <w:color w:val="000000" w:themeColor="text1"/>
          <w:lang w:val="en-US"/>
        </w:rPr>
        <w:t>).</w:t>
      </w:r>
    </w:p>
    <w:p w14:paraId="3C6D1DA1" w14:textId="77777777" w:rsidR="008B7CB7" w:rsidRPr="00687D89" w:rsidRDefault="008B7CB7" w:rsidP="006D32B8">
      <w:pPr>
        <w:spacing w:after="0"/>
        <w:jc w:val="both"/>
        <w:rPr>
          <w:color w:val="000000" w:themeColor="text1"/>
          <w:lang w:val="en-US"/>
        </w:rPr>
      </w:pPr>
    </w:p>
    <w:p w14:paraId="7A9839AF" w14:textId="576538AB" w:rsidR="00536006" w:rsidRPr="00687D89" w:rsidRDefault="00536006" w:rsidP="00536006">
      <w:pPr>
        <w:spacing w:after="0"/>
        <w:jc w:val="both"/>
        <w:rPr>
          <w:b/>
          <w:color w:val="000000" w:themeColor="text1"/>
          <w:lang w:val="en-US"/>
        </w:rPr>
      </w:pPr>
      <w:r w:rsidRPr="00687D89">
        <w:rPr>
          <w:b/>
          <w:color w:val="000000" w:themeColor="text1"/>
          <w:lang w:val="en-US"/>
        </w:rPr>
        <w:t xml:space="preserve">Insert Figure </w:t>
      </w:r>
      <w:r w:rsidR="00C25E55" w:rsidRPr="00687D89">
        <w:rPr>
          <w:b/>
          <w:color w:val="000000" w:themeColor="text1"/>
          <w:lang w:val="en-US"/>
        </w:rPr>
        <w:t>3</w:t>
      </w:r>
    </w:p>
    <w:p w14:paraId="4775FB31" w14:textId="77777777" w:rsidR="008B7CB7" w:rsidRPr="00687D89" w:rsidRDefault="008B7CB7" w:rsidP="00536006">
      <w:pPr>
        <w:spacing w:after="0"/>
        <w:jc w:val="both"/>
        <w:rPr>
          <w:b/>
          <w:color w:val="000000" w:themeColor="text1"/>
          <w:lang w:val="en-US"/>
        </w:rPr>
      </w:pPr>
    </w:p>
    <w:p w14:paraId="3CE9DE11" w14:textId="5341EA54" w:rsidR="00536006" w:rsidRPr="00687D89" w:rsidRDefault="005F0531" w:rsidP="00536006">
      <w:pPr>
        <w:pStyle w:val="Heading2"/>
        <w:rPr>
          <w:b w:val="0"/>
          <w:i/>
          <w:color w:val="000000" w:themeColor="text1"/>
          <w:lang w:val="en-US"/>
        </w:rPr>
      </w:pPr>
      <w:r w:rsidRPr="00687D89">
        <w:rPr>
          <w:b w:val="0"/>
          <w:i/>
          <w:color w:val="000000" w:themeColor="text1"/>
          <w:lang w:val="en-US"/>
        </w:rPr>
        <w:t>Tr</w:t>
      </w:r>
      <w:r w:rsidR="00536006" w:rsidRPr="00687D89">
        <w:rPr>
          <w:b w:val="0"/>
          <w:i/>
          <w:color w:val="000000" w:themeColor="text1"/>
          <w:lang w:val="en-US"/>
        </w:rPr>
        <w:t xml:space="preserve">iceps surae </w:t>
      </w:r>
      <w:r w:rsidR="008958B1" w:rsidRPr="00687D89">
        <w:rPr>
          <w:b w:val="0"/>
          <w:i/>
          <w:color w:val="000000" w:themeColor="text1"/>
          <w:lang w:val="en-US"/>
        </w:rPr>
        <w:t>neuromuscular</w:t>
      </w:r>
      <w:r w:rsidR="008958B1" w:rsidRPr="00687D89" w:rsidDel="008958B1">
        <w:rPr>
          <w:b w:val="0"/>
          <w:i/>
          <w:color w:val="000000" w:themeColor="text1"/>
          <w:lang w:val="en-US"/>
        </w:rPr>
        <w:t xml:space="preserve"> </w:t>
      </w:r>
      <w:r w:rsidR="00536006" w:rsidRPr="00687D89">
        <w:rPr>
          <w:b w:val="0"/>
          <w:i/>
          <w:color w:val="000000" w:themeColor="text1"/>
          <w:lang w:val="en-US"/>
        </w:rPr>
        <w:t>exercise intervention</w:t>
      </w:r>
    </w:p>
    <w:p w14:paraId="18AC749F" w14:textId="0DF19B4C" w:rsidR="00536006" w:rsidRPr="00296509" w:rsidRDefault="00536006" w:rsidP="00536006">
      <w:pPr>
        <w:spacing w:after="0"/>
        <w:jc w:val="both"/>
        <w:rPr>
          <w:color w:val="000000" w:themeColor="text1"/>
          <w:lang w:val="en-US"/>
        </w:rPr>
      </w:pPr>
      <w:r w:rsidRPr="00687D89">
        <w:rPr>
          <w:color w:val="000000" w:themeColor="text1"/>
          <w:lang w:val="en-US"/>
        </w:rPr>
        <w:t xml:space="preserve">The </w:t>
      </w:r>
      <w:r w:rsidR="00B82AA7" w:rsidRPr="00687D89">
        <w:rPr>
          <w:color w:val="000000" w:themeColor="text1"/>
          <w:lang w:val="en-US"/>
        </w:rPr>
        <w:t>GAIT+NM</w:t>
      </w:r>
      <w:r w:rsidRPr="00687D89">
        <w:rPr>
          <w:color w:val="000000" w:themeColor="text1"/>
          <w:lang w:val="en-US"/>
        </w:rPr>
        <w:t xml:space="preserve"> group underwent a supervised resistance exercise intervention (approximately 50 minutes each session) three times per week for 14 weeks (except for week 1 and 2, where training was performed twice), after which the exercise was continued twice a week for 1.5 years. Each training session consisted of five sets of four repetitions of isometric plantarflexion contractions for both legs individually and then together (90% of MVC; 3s loading, 3s relax</w:t>
      </w:r>
      <w:r w:rsidR="00F31D7B" w:rsidRPr="00687D89">
        <w:rPr>
          <w:color w:val="000000" w:themeColor="text1"/>
          <w:lang w:val="en-US"/>
        </w:rPr>
        <w:t>ation), which has shown to increase TS muscle strength</w:t>
      </w:r>
      <w:r w:rsidR="006554C8" w:rsidRPr="00687D89">
        <w:rPr>
          <w:color w:val="000000" w:themeColor="text1"/>
          <w:lang w:val="en-US"/>
        </w:rPr>
        <w:t>,</w:t>
      </w:r>
      <w:r w:rsidR="00F31D7B" w:rsidRPr="00687D89">
        <w:rPr>
          <w:color w:val="000000" w:themeColor="text1"/>
          <w:lang w:val="en-US"/>
        </w:rPr>
        <w:t xml:space="preserve"> as well as tendon stiffness</w:t>
      </w:r>
      <w:r w:rsidR="006554C8" w:rsidRPr="00687D89">
        <w:rPr>
          <w:color w:val="000000" w:themeColor="text1"/>
          <w:lang w:val="en-US"/>
        </w:rPr>
        <w:t>,</w:t>
      </w:r>
      <w:r w:rsidR="00F31D7B" w:rsidRPr="00687D89">
        <w:rPr>
          <w:color w:val="000000" w:themeColor="text1"/>
          <w:lang w:val="en-US"/>
        </w:rPr>
        <w:t xml:space="preserve"> in both younger and older adults (Arampatzis</w:t>
      </w:r>
      <w:r w:rsidR="00BE6DE1" w:rsidRPr="00687D89">
        <w:rPr>
          <w:color w:val="000000" w:themeColor="text1"/>
          <w:lang w:val="en-US"/>
        </w:rPr>
        <w:t xml:space="preserve"> et al. 2007</w:t>
      </w:r>
      <w:r w:rsidR="00632F60" w:rsidRPr="00687D89">
        <w:rPr>
          <w:color w:val="000000" w:themeColor="text1"/>
          <w:lang w:val="en-US"/>
        </w:rPr>
        <w:t xml:space="preserve">; </w:t>
      </w:r>
      <w:r w:rsidR="00DB7A56" w:rsidRPr="00687D89">
        <w:rPr>
          <w:color w:val="000000" w:themeColor="text1"/>
          <w:lang w:val="en-US"/>
        </w:rPr>
        <w:t xml:space="preserve">Karamanidis et al. </w:t>
      </w:r>
      <w:r w:rsidR="00C05B73" w:rsidRPr="00687D89">
        <w:rPr>
          <w:color w:val="000000" w:themeColor="text1"/>
          <w:lang w:val="en-US"/>
        </w:rPr>
        <w:t>2014</w:t>
      </w:r>
      <w:r w:rsidR="00DB7A56" w:rsidRPr="00687D89">
        <w:rPr>
          <w:color w:val="000000" w:themeColor="text1"/>
          <w:lang w:val="en-US"/>
        </w:rPr>
        <w:t xml:space="preserve">; </w:t>
      </w:r>
      <w:r w:rsidR="00632F60" w:rsidRPr="00687D89">
        <w:rPr>
          <w:color w:val="000000" w:themeColor="text1"/>
          <w:lang w:val="en-US"/>
        </w:rPr>
        <w:t>Epro et al. 2017</w:t>
      </w:r>
      <w:r w:rsidR="00F31D7B" w:rsidRPr="00687D89">
        <w:rPr>
          <w:color w:val="000000" w:themeColor="text1"/>
          <w:lang w:val="en-US"/>
        </w:rPr>
        <w:t>).</w:t>
      </w:r>
      <w:r w:rsidRPr="00687D89">
        <w:rPr>
          <w:color w:val="000000" w:themeColor="text1"/>
          <w:lang w:val="en-US"/>
        </w:rPr>
        <w:t xml:space="preserve"> The exercise was carried out using eight custom-made training devices </w:t>
      </w:r>
      <w:r w:rsidR="006A2704" w:rsidRPr="00687D89">
        <w:rPr>
          <w:color w:val="000000" w:themeColor="text1"/>
          <w:lang w:val="en-US"/>
        </w:rPr>
        <w:t xml:space="preserve">each </w:t>
      </w:r>
      <w:r w:rsidRPr="00687D89">
        <w:rPr>
          <w:color w:val="000000" w:themeColor="text1"/>
          <w:lang w:val="en-US"/>
        </w:rPr>
        <w:t>equipped with</w:t>
      </w:r>
      <w:r w:rsidR="006A2704" w:rsidRPr="00687D89">
        <w:rPr>
          <w:color w:val="000000" w:themeColor="text1"/>
          <w:lang w:val="en-US"/>
        </w:rPr>
        <w:t xml:space="preserve"> two</w:t>
      </w:r>
      <w:r w:rsidRPr="00687D89">
        <w:rPr>
          <w:color w:val="000000" w:themeColor="text1"/>
          <w:lang w:val="en-US"/>
        </w:rPr>
        <w:t xml:space="preserve"> custom-made strain gauge type dynamometers (1000 Hz; ankle and knee angle fixed at 90°; Fig</w:t>
      </w:r>
      <w:r w:rsidR="00687D89" w:rsidRPr="00687D89">
        <w:rPr>
          <w:color w:val="000000" w:themeColor="text1"/>
          <w:lang w:val="en-US"/>
        </w:rPr>
        <w:t>.</w:t>
      </w:r>
      <w:r w:rsidRPr="00687D89">
        <w:rPr>
          <w:color w:val="000000" w:themeColor="text1"/>
          <w:lang w:val="en-US"/>
        </w:rPr>
        <w:t xml:space="preserve"> </w:t>
      </w:r>
      <w:r w:rsidR="00BF7C31" w:rsidRPr="00687D89">
        <w:rPr>
          <w:color w:val="000000" w:themeColor="text1"/>
          <w:lang w:val="en-US"/>
        </w:rPr>
        <w:t>3</w:t>
      </w:r>
      <w:r w:rsidRPr="00687D89">
        <w:rPr>
          <w:color w:val="000000" w:themeColor="text1"/>
          <w:lang w:val="en-US"/>
        </w:rPr>
        <w:t xml:space="preserve">) </w:t>
      </w:r>
      <w:r w:rsidR="006A2704" w:rsidRPr="00687D89">
        <w:rPr>
          <w:color w:val="000000" w:themeColor="text1"/>
          <w:lang w:val="en-US"/>
        </w:rPr>
        <w:t>to</w:t>
      </w:r>
      <w:r w:rsidR="002610CC" w:rsidRPr="00687D89">
        <w:rPr>
          <w:color w:val="000000" w:themeColor="text1"/>
          <w:lang w:val="en-US"/>
        </w:rPr>
        <w:t xml:space="preserve"> determine </w:t>
      </w:r>
      <w:r w:rsidR="006A2704" w:rsidRPr="00687D89">
        <w:rPr>
          <w:color w:val="000000" w:themeColor="text1"/>
          <w:lang w:val="en-US"/>
        </w:rPr>
        <w:t>the plantarflexion moments for both legs separately</w:t>
      </w:r>
      <w:r w:rsidR="000D2922" w:rsidRPr="00687D89">
        <w:rPr>
          <w:color w:val="000000" w:themeColor="text1"/>
          <w:lang w:val="en-US"/>
        </w:rPr>
        <w:t>,</w:t>
      </w:r>
      <w:r w:rsidR="006A2704" w:rsidRPr="00687D89">
        <w:rPr>
          <w:color w:val="000000" w:themeColor="text1"/>
          <w:lang w:val="en-US"/>
        </w:rPr>
        <w:t xml:space="preserve"> </w:t>
      </w:r>
      <w:r w:rsidRPr="00687D89">
        <w:rPr>
          <w:color w:val="000000" w:themeColor="text1"/>
          <w:lang w:val="en-US"/>
        </w:rPr>
        <w:t>and a visual feedback system developed with LabVIEW (2013 SP1; National Instruments, Austin, TX, USA).</w:t>
      </w:r>
      <w:r w:rsidR="006A2704" w:rsidRPr="00687D89">
        <w:rPr>
          <w:color w:val="000000" w:themeColor="text1"/>
          <w:lang w:val="en-US"/>
        </w:rPr>
        <w:t xml:space="preserve"> </w:t>
      </w:r>
      <w:r w:rsidRPr="00687D89">
        <w:rPr>
          <w:color w:val="000000" w:themeColor="text1"/>
          <w:lang w:val="en-US"/>
        </w:rPr>
        <w:t xml:space="preserve">The resultant moments at the ankle joint were determined as described </w:t>
      </w:r>
      <w:r w:rsidR="002C52F4" w:rsidRPr="00687D89">
        <w:rPr>
          <w:color w:val="000000" w:themeColor="text1"/>
          <w:lang w:val="en-US"/>
        </w:rPr>
        <w:t>in the previous section</w:t>
      </w:r>
      <w:r w:rsidR="009357F8" w:rsidRPr="00687D89">
        <w:rPr>
          <w:color w:val="000000" w:themeColor="text1"/>
          <w:lang w:val="en-US"/>
        </w:rPr>
        <w:t xml:space="preserve"> </w:t>
      </w:r>
      <w:r w:rsidR="002C52F4" w:rsidRPr="00687D89">
        <w:rPr>
          <w:color w:val="000000" w:themeColor="text1"/>
          <w:lang w:val="en-US"/>
        </w:rPr>
        <w:t>(</w:t>
      </w:r>
      <w:r w:rsidR="002C52F4" w:rsidRPr="00687D89">
        <w:rPr>
          <w:i/>
          <w:color w:val="000000" w:themeColor="text1"/>
          <w:lang w:val="en-US"/>
        </w:rPr>
        <w:t xml:space="preserve">“Analysis of triceps surae </w:t>
      </w:r>
      <w:r w:rsidR="00DD3B37" w:rsidRPr="00687D89">
        <w:rPr>
          <w:i/>
          <w:color w:val="000000" w:themeColor="text1"/>
          <w:lang w:val="en-US"/>
        </w:rPr>
        <w:t>neuromechanical</w:t>
      </w:r>
      <w:r w:rsidR="008958B1" w:rsidRPr="00687D89" w:rsidDel="008958B1">
        <w:rPr>
          <w:i/>
          <w:color w:val="000000" w:themeColor="text1"/>
          <w:lang w:val="en-US"/>
        </w:rPr>
        <w:t xml:space="preserve"> </w:t>
      </w:r>
      <w:r w:rsidR="002C52F4" w:rsidRPr="00687D89">
        <w:rPr>
          <w:i/>
          <w:color w:val="000000" w:themeColor="text1"/>
          <w:lang w:val="en-US"/>
        </w:rPr>
        <w:t>properties”</w:t>
      </w:r>
      <w:r w:rsidR="002C52F4" w:rsidRPr="00687D89">
        <w:rPr>
          <w:color w:val="000000" w:themeColor="text1"/>
          <w:lang w:val="en-US"/>
        </w:rPr>
        <w:t>).</w:t>
      </w:r>
    </w:p>
    <w:p w14:paraId="2B02B2E2" w14:textId="52C3D51D" w:rsidR="00536006" w:rsidRPr="00687D89" w:rsidRDefault="00536006" w:rsidP="00536006">
      <w:pPr>
        <w:spacing w:after="0"/>
        <w:jc w:val="both"/>
        <w:rPr>
          <w:color w:val="000000" w:themeColor="text1"/>
          <w:lang w:val="en-US"/>
        </w:rPr>
      </w:pPr>
      <w:r w:rsidRPr="00687D89">
        <w:rPr>
          <w:color w:val="000000" w:themeColor="text1"/>
          <w:lang w:val="en-US"/>
        </w:rPr>
        <w:t xml:space="preserve">The exercise intervention also incorporated a TS specific motor skill training program intended to provoke greater excitability of the motor cortex areas representing specific muscles using the same devices as for the isometric contractions, which was based on previous work of the research groups of Perez and Jensen </w:t>
      </w:r>
      <w:bookmarkStart w:id="29" w:name="Mendeley_Bookmark_mcneeshGBS"/>
      <w:r w:rsidRPr="00687D89">
        <w:rPr>
          <w:color w:val="000000" w:themeColor="text1"/>
          <w:lang w:val="en-US"/>
        </w:rPr>
        <w:t>(Perez et al. 2004; Jensen et al. 2005)</w:t>
      </w:r>
      <w:bookmarkEnd w:id="29"/>
      <w:r w:rsidRPr="00687D89">
        <w:rPr>
          <w:color w:val="000000" w:themeColor="text1"/>
          <w:lang w:val="en-US"/>
        </w:rPr>
        <w:t xml:space="preserve">. The TS specific motor skill training </w:t>
      </w:r>
      <w:r w:rsidRPr="00687D89">
        <w:rPr>
          <w:color w:val="000000" w:themeColor="text1"/>
          <w:lang w:val="en-US"/>
        </w:rPr>
        <w:lastRenderedPageBreak/>
        <w:t>was carried out by using bilateral ankle plantarflexion contractions with a low intensity (30-45% of MVC), where the participants had to trac</w:t>
      </w:r>
      <w:r w:rsidR="001F59C3" w:rsidRPr="00687D89">
        <w:rPr>
          <w:color w:val="000000" w:themeColor="text1"/>
          <w:lang w:val="en-US"/>
        </w:rPr>
        <w:t>e</w:t>
      </w:r>
      <w:r w:rsidRPr="00687D89">
        <w:rPr>
          <w:color w:val="000000" w:themeColor="text1"/>
          <w:lang w:val="en-US"/>
        </w:rPr>
        <w:t xml:space="preserve"> four different pre-defined functions displayed on a computer screen with two different </w:t>
      </w:r>
      <w:r w:rsidR="00621D67" w:rsidRPr="00687D89">
        <w:rPr>
          <w:color w:val="000000" w:themeColor="text1"/>
          <w:lang w:val="en-US"/>
        </w:rPr>
        <w:t xml:space="preserve">cursor </w:t>
      </w:r>
      <w:r w:rsidR="0073142B" w:rsidRPr="00687D89">
        <w:rPr>
          <w:color w:val="000000" w:themeColor="text1"/>
          <w:lang w:val="en-US"/>
        </w:rPr>
        <w:t>movement</w:t>
      </w:r>
      <w:r w:rsidR="00723907" w:rsidRPr="00687D89">
        <w:rPr>
          <w:color w:val="000000" w:themeColor="text1"/>
          <w:lang w:val="en-US"/>
        </w:rPr>
        <w:t xml:space="preserve"> </w:t>
      </w:r>
      <w:r w:rsidRPr="00687D89">
        <w:rPr>
          <w:color w:val="000000" w:themeColor="text1"/>
          <w:lang w:val="en-US"/>
        </w:rPr>
        <w:t>(</w:t>
      </w:r>
      <w:r w:rsidR="0090750A" w:rsidRPr="00687D89">
        <w:rPr>
          <w:color w:val="000000" w:themeColor="text1"/>
          <w:lang w:val="en-US"/>
        </w:rPr>
        <w:t>20s and 80s of continuous tracing</w:t>
      </w:r>
      <w:r w:rsidRPr="00687D89">
        <w:rPr>
          <w:color w:val="000000" w:themeColor="text1"/>
          <w:lang w:val="en-US"/>
        </w:rPr>
        <w:t>) as described above</w:t>
      </w:r>
      <w:r w:rsidR="007103C1" w:rsidRPr="00687D89">
        <w:rPr>
          <w:color w:val="000000" w:themeColor="text1"/>
          <w:lang w:val="en-US"/>
        </w:rPr>
        <w:t xml:space="preserve"> in</w:t>
      </w:r>
      <w:r w:rsidR="00251FD4" w:rsidRPr="00687D89">
        <w:rPr>
          <w:color w:val="000000" w:themeColor="text1"/>
          <w:lang w:val="en-US"/>
        </w:rPr>
        <w:t xml:space="preserve"> the section</w:t>
      </w:r>
      <w:r w:rsidR="007103C1" w:rsidRPr="00687D89">
        <w:rPr>
          <w:color w:val="000000" w:themeColor="text1"/>
          <w:lang w:val="en-US"/>
        </w:rPr>
        <w:t xml:space="preserve"> “</w:t>
      </w:r>
      <w:r w:rsidR="007103C1" w:rsidRPr="00687D89">
        <w:rPr>
          <w:i/>
          <w:color w:val="000000" w:themeColor="text1"/>
          <w:lang w:val="en-US"/>
        </w:rPr>
        <w:t xml:space="preserve">Analysis of triceps surae </w:t>
      </w:r>
      <w:r w:rsidR="008958B1" w:rsidRPr="00687D89">
        <w:rPr>
          <w:i/>
          <w:color w:val="000000" w:themeColor="text1"/>
          <w:lang w:val="en-US"/>
        </w:rPr>
        <w:t>neuro</w:t>
      </w:r>
      <w:r w:rsidR="00B97BB5" w:rsidRPr="00687D89">
        <w:rPr>
          <w:i/>
          <w:color w:val="000000" w:themeColor="text1"/>
          <w:lang w:val="en-US"/>
        </w:rPr>
        <w:t>mechanical</w:t>
      </w:r>
      <w:r w:rsidR="007103C1" w:rsidRPr="00687D89">
        <w:rPr>
          <w:i/>
          <w:color w:val="000000" w:themeColor="text1"/>
          <w:lang w:val="en-US"/>
        </w:rPr>
        <w:t xml:space="preserve"> properties”</w:t>
      </w:r>
      <w:r w:rsidRPr="00687D89">
        <w:rPr>
          <w:color w:val="000000" w:themeColor="text1"/>
          <w:lang w:val="en-US"/>
        </w:rPr>
        <w:t xml:space="preserve">. In comparison to the measurement sessions, the two transfer functions were replaced with two further functions, which were varied with each training session accordingly so that all subjects traced the same functions in a given training session (varied functions; Fig. </w:t>
      </w:r>
      <w:r w:rsidR="00A76CB4" w:rsidRPr="00687D89">
        <w:rPr>
          <w:color w:val="000000" w:themeColor="text1"/>
          <w:lang w:val="en-US"/>
        </w:rPr>
        <w:t>3</w:t>
      </w:r>
      <w:r w:rsidRPr="00687D89">
        <w:rPr>
          <w:color w:val="000000" w:themeColor="text1"/>
          <w:lang w:val="en-US"/>
        </w:rPr>
        <w:t xml:space="preserve">). Each training session consisted of two repetitions of four functions, once with </w:t>
      </w:r>
      <w:r w:rsidR="00AB0E3D" w:rsidRPr="00687D89">
        <w:rPr>
          <w:color w:val="000000" w:themeColor="text1"/>
          <w:lang w:val="en-US"/>
        </w:rPr>
        <w:t>both</w:t>
      </w:r>
      <w:r w:rsidRPr="00687D89">
        <w:rPr>
          <w:color w:val="000000" w:themeColor="text1"/>
          <w:lang w:val="en-US"/>
        </w:rPr>
        <w:t xml:space="preserve"> velocit</w:t>
      </w:r>
      <w:r w:rsidR="00AB0E3D" w:rsidRPr="00687D89">
        <w:rPr>
          <w:color w:val="000000" w:themeColor="text1"/>
          <w:lang w:val="en-US"/>
        </w:rPr>
        <w:t xml:space="preserve">ies </w:t>
      </w:r>
      <w:r w:rsidRPr="00687D89">
        <w:rPr>
          <w:color w:val="000000" w:themeColor="text1"/>
          <w:lang w:val="en-US"/>
        </w:rPr>
        <w:t xml:space="preserve">(80s or 20s) with approximately one minute of rest between each set. </w:t>
      </w:r>
    </w:p>
    <w:p w14:paraId="219547A5" w14:textId="77777777" w:rsidR="00536006" w:rsidRPr="00687D89" w:rsidRDefault="00536006" w:rsidP="00536006">
      <w:pPr>
        <w:spacing w:after="0"/>
        <w:jc w:val="both"/>
        <w:rPr>
          <w:color w:val="000000" w:themeColor="text1"/>
          <w:lang w:val="en-US"/>
        </w:rPr>
      </w:pPr>
      <w:r w:rsidRPr="00687D89">
        <w:rPr>
          <w:color w:val="000000" w:themeColor="text1"/>
          <w:lang w:val="en-US"/>
        </w:rPr>
        <w:t xml:space="preserve">For each subject the intensity for every individual training session (90% of MVC for the TS MTU resistance training and 30-45% of MVC for the specific motor skill training) was determined according to the maximal resultant ankle plantarflexion moment (both unilateral and bilateral) performed at the start of each training session, conducted after a standardized warm-up of 2–3 minutes of submaximal isometric contractions. Thereby the training load was adjusted individually at every session and was gradually increased according to the progression made in TS muscle strength over the 1.5 years of exercise intervention. Furthermore, to ensure maximal attention to the tasks, all training sessions were </w:t>
      </w:r>
      <w:r w:rsidR="00F544B8" w:rsidRPr="00687D89">
        <w:rPr>
          <w:color w:val="000000" w:themeColor="text1"/>
          <w:lang w:val="en-US"/>
        </w:rPr>
        <w:t>supervised.</w:t>
      </w:r>
    </w:p>
    <w:p w14:paraId="76EA399D" w14:textId="77777777" w:rsidR="00536006" w:rsidRPr="00687D89" w:rsidRDefault="00536006" w:rsidP="00536006">
      <w:pPr>
        <w:spacing w:after="0"/>
        <w:jc w:val="both"/>
        <w:rPr>
          <w:color w:val="000000" w:themeColor="text1"/>
          <w:lang w:val="en-US"/>
        </w:rPr>
      </w:pPr>
    </w:p>
    <w:p w14:paraId="12B1307A" w14:textId="77777777" w:rsidR="00536006" w:rsidRPr="00687D89" w:rsidRDefault="00536006" w:rsidP="00536006">
      <w:pPr>
        <w:pStyle w:val="Heading2"/>
        <w:spacing w:before="0"/>
        <w:rPr>
          <w:b w:val="0"/>
          <w:i/>
          <w:color w:val="000000" w:themeColor="text1"/>
          <w:lang w:val="en-US"/>
        </w:rPr>
      </w:pPr>
      <w:r w:rsidRPr="00687D89">
        <w:rPr>
          <w:b w:val="0"/>
          <w:i/>
          <w:color w:val="000000" w:themeColor="text1"/>
          <w:lang w:val="en-US"/>
        </w:rPr>
        <w:t>Statistics</w:t>
      </w:r>
    </w:p>
    <w:p w14:paraId="329D764A" w14:textId="649FADD9" w:rsidR="00536006" w:rsidRPr="00687D89" w:rsidRDefault="00536006" w:rsidP="00536006">
      <w:pPr>
        <w:spacing w:after="0"/>
        <w:jc w:val="both"/>
        <w:rPr>
          <w:color w:val="000000" w:themeColor="text1"/>
          <w:lang w:val="en-US"/>
        </w:rPr>
      </w:pPr>
      <w:r w:rsidRPr="00687D89">
        <w:rPr>
          <w:color w:val="000000" w:themeColor="text1"/>
          <w:lang w:val="en-US"/>
        </w:rPr>
        <w:t xml:space="preserve">The </w:t>
      </w:r>
      <w:r w:rsidR="007D1FE5" w:rsidRPr="00687D89">
        <w:rPr>
          <w:color w:val="000000" w:themeColor="text1"/>
          <w:lang w:val="en-US"/>
        </w:rPr>
        <w:t>GAIT+NM</w:t>
      </w:r>
      <w:r w:rsidRPr="00687D89">
        <w:rPr>
          <w:color w:val="000000" w:themeColor="text1"/>
          <w:lang w:val="en-US"/>
        </w:rPr>
        <w:t xml:space="preserve"> group (n=21) was decreased after 14 weeks of intervention to a subsample of 12 older adults, who continued the exercise for the whole 1.5 years. The </w:t>
      </w:r>
      <w:r w:rsidR="00861E05" w:rsidRPr="00687D89">
        <w:rPr>
          <w:color w:val="000000" w:themeColor="text1"/>
          <w:lang w:val="en-US"/>
        </w:rPr>
        <w:t>GAIT</w:t>
      </w:r>
      <w:r w:rsidRPr="00687D89">
        <w:rPr>
          <w:color w:val="000000" w:themeColor="text1"/>
          <w:lang w:val="en-US"/>
        </w:rPr>
        <w:t xml:space="preserve"> group (n=13) took part at all three measurement time points (Pre, Post 14 weeks and Post 1.5 years). Accordingly, the statistical analyses with the </w:t>
      </w:r>
      <w:r w:rsidR="007D1FE5" w:rsidRPr="00687D89">
        <w:rPr>
          <w:color w:val="000000" w:themeColor="text1"/>
          <w:lang w:val="en-US"/>
        </w:rPr>
        <w:t>GAIT+NM</w:t>
      </w:r>
      <w:r w:rsidRPr="00687D89">
        <w:rPr>
          <w:color w:val="000000" w:themeColor="text1"/>
          <w:lang w:val="en-US"/>
        </w:rPr>
        <w:t xml:space="preserve"> group were performed once with the 12 subjects </w:t>
      </w:r>
      <w:r w:rsidRPr="00687D89">
        <w:rPr>
          <w:color w:val="000000" w:themeColor="text1"/>
          <w:lang w:val="en-US"/>
        </w:rPr>
        <w:lastRenderedPageBreak/>
        <w:t xml:space="preserve">completing the long-term intervention (all three measurement time points) and once with the 21 subjects finishing the medium term intervention (first two measurement time points). For better understanding, these subjects are marked as </w:t>
      </w:r>
      <w:r w:rsidR="007D1FE5" w:rsidRPr="00687D89">
        <w:rPr>
          <w:color w:val="000000" w:themeColor="text1"/>
          <w:lang w:val="en-US"/>
        </w:rPr>
        <w:t>GAIT+NM</w:t>
      </w:r>
      <w:r w:rsidR="007D1FE5" w:rsidRPr="00687D89">
        <w:rPr>
          <w:color w:val="000000" w:themeColor="text1"/>
          <w:vertAlign w:val="subscript"/>
          <w:lang w:val="en-US"/>
        </w:rPr>
        <w:t>14w</w:t>
      </w:r>
      <w:r w:rsidR="007D1FE5" w:rsidRPr="00687D89">
        <w:rPr>
          <w:color w:val="000000" w:themeColor="text1"/>
          <w:lang w:val="en-US"/>
        </w:rPr>
        <w:t xml:space="preserve"> and GAIT+NM</w:t>
      </w:r>
      <w:r w:rsidRPr="00687D89">
        <w:rPr>
          <w:color w:val="000000" w:themeColor="text1"/>
          <w:vertAlign w:val="subscript"/>
          <w:lang w:val="en-US"/>
        </w:rPr>
        <w:t>1.5y</w:t>
      </w:r>
      <w:r w:rsidRPr="00687D89">
        <w:rPr>
          <w:color w:val="000000" w:themeColor="text1"/>
          <w:lang w:val="en-US"/>
        </w:rPr>
        <w:t xml:space="preserve"> respectively in the text and figures in the following sections. Independent samples T-tests were used to identify possible differences in age, body mass and body height between the formed subject groups. A two-way repeated measures analysis of variance (ANOVA) with the subject group (</w:t>
      </w:r>
      <w:r w:rsidR="005B544E" w:rsidRPr="00687D89">
        <w:rPr>
          <w:color w:val="000000" w:themeColor="text1"/>
          <w:lang w:val="en-US"/>
        </w:rPr>
        <w:t>GAIT, GAIT+NM</w:t>
      </w:r>
      <w:r w:rsidR="005B544E" w:rsidRPr="00687D89">
        <w:rPr>
          <w:color w:val="000000" w:themeColor="text1"/>
          <w:vertAlign w:val="subscript"/>
          <w:lang w:val="en-US"/>
        </w:rPr>
        <w:t>14w</w:t>
      </w:r>
      <w:r w:rsidR="005B544E" w:rsidRPr="00687D89">
        <w:rPr>
          <w:color w:val="000000" w:themeColor="text1"/>
          <w:lang w:val="en-US"/>
        </w:rPr>
        <w:t xml:space="preserve"> and GAIT+NM</w:t>
      </w:r>
      <w:r w:rsidR="005B544E" w:rsidRPr="00687D89">
        <w:rPr>
          <w:color w:val="000000" w:themeColor="text1"/>
          <w:vertAlign w:val="subscript"/>
          <w:lang w:val="en-US"/>
        </w:rPr>
        <w:t>1.5y</w:t>
      </w:r>
      <w:r w:rsidRPr="00687D89">
        <w:rPr>
          <w:color w:val="000000" w:themeColor="text1"/>
          <w:lang w:val="en-US"/>
        </w:rPr>
        <w:t xml:space="preserve">) and time point (Pre, Post 14 weeks and Post 1.5 years) as factors was implemented to identify potential exercise-related effects on TS muscle strength, </w:t>
      </w:r>
      <w:r w:rsidR="00023115" w:rsidRPr="00687D89">
        <w:rPr>
          <w:color w:val="000000" w:themeColor="text1"/>
          <w:lang w:val="en-US"/>
        </w:rPr>
        <w:t>Achilles tendon</w:t>
      </w:r>
      <w:r w:rsidRPr="00687D89">
        <w:rPr>
          <w:color w:val="000000" w:themeColor="text1"/>
          <w:lang w:val="en-US"/>
        </w:rPr>
        <w:t xml:space="preserve"> stiffness and motor skill performance (</w:t>
      </w:r>
      <w:r w:rsidRPr="00687D89">
        <w:rPr>
          <w:color w:val="000000" w:themeColor="text1"/>
          <w:szCs w:val="24"/>
          <w:lang w:val="en-US"/>
        </w:rPr>
        <w:t>relative mean deviations</w:t>
      </w:r>
      <w:r w:rsidRPr="00687D89">
        <w:rPr>
          <w:color w:val="000000" w:themeColor="text1"/>
          <w:lang w:val="en-US"/>
        </w:rPr>
        <w:t>) in the four pre-defined functions (Funct</w:t>
      </w:r>
      <w:r w:rsidRPr="00687D89">
        <w:rPr>
          <w:color w:val="000000" w:themeColor="text1"/>
          <w:vertAlign w:val="subscript"/>
          <w:lang w:val="en-US"/>
        </w:rPr>
        <w:t>CT1</w:t>
      </w:r>
      <w:r w:rsidRPr="00687D89">
        <w:rPr>
          <w:color w:val="000000" w:themeColor="text1"/>
          <w:lang w:val="en-US"/>
        </w:rPr>
        <w:t>, Funct</w:t>
      </w:r>
      <w:r w:rsidRPr="00687D89">
        <w:rPr>
          <w:color w:val="000000" w:themeColor="text1"/>
          <w:vertAlign w:val="subscript"/>
          <w:lang w:val="en-US"/>
        </w:rPr>
        <w:t>CT2</w:t>
      </w:r>
      <w:r w:rsidRPr="00687D89">
        <w:rPr>
          <w:color w:val="000000" w:themeColor="text1"/>
          <w:lang w:val="en-US"/>
        </w:rPr>
        <w:t>, Funct</w:t>
      </w:r>
      <w:r w:rsidRPr="00687D89">
        <w:rPr>
          <w:color w:val="000000" w:themeColor="text1"/>
          <w:vertAlign w:val="subscript"/>
          <w:lang w:val="en-US"/>
        </w:rPr>
        <w:t>TR1</w:t>
      </w:r>
      <w:r w:rsidRPr="00687D89">
        <w:rPr>
          <w:color w:val="000000" w:themeColor="text1"/>
          <w:lang w:val="en-US"/>
        </w:rPr>
        <w:t xml:space="preserve"> and Funct</w:t>
      </w:r>
      <w:r w:rsidRPr="00687D89">
        <w:rPr>
          <w:color w:val="000000" w:themeColor="text1"/>
          <w:vertAlign w:val="subscript"/>
          <w:lang w:val="en-US"/>
        </w:rPr>
        <w:t>TR2</w:t>
      </w:r>
      <w:r w:rsidRPr="00687D89">
        <w:rPr>
          <w:color w:val="000000" w:themeColor="text1"/>
          <w:lang w:val="en-US"/>
        </w:rPr>
        <w:t>). Two-way repeated measures ANOVAs with the subject group and trial (T1</w:t>
      </w:r>
      <w:r w:rsidRPr="00687D89">
        <w:rPr>
          <w:color w:val="000000" w:themeColor="text1"/>
          <w:vertAlign w:val="subscript"/>
          <w:lang w:val="en-US"/>
        </w:rPr>
        <w:t>Pre</w:t>
      </w:r>
      <w:r w:rsidRPr="00687D89">
        <w:rPr>
          <w:color w:val="000000" w:themeColor="text1"/>
          <w:lang w:val="en-US"/>
        </w:rPr>
        <w:t>, T8</w:t>
      </w:r>
      <w:r w:rsidRPr="00687D89">
        <w:rPr>
          <w:color w:val="000000" w:themeColor="text1"/>
          <w:vertAlign w:val="subscript"/>
          <w:lang w:val="en-US"/>
        </w:rPr>
        <w:t>Pre</w:t>
      </w:r>
      <w:r w:rsidRPr="00687D89">
        <w:rPr>
          <w:color w:val="000000" w:themeColor="text1"/>
          <w:lang w:val="en-US"/>
        </w:rPr>
        <w:t>, T1</w:t>
      </w:r>
      <w:r w:rsidRPr="00687D89">
        <w:rPr>
          <w:color w:val="000000" w:themeColor="text1"/>
          <w:vertAlign w:val="subscript"/>
          <w:lang w:val="en-US"/>
        </w:rPr>
        <w:t>Post14w</w:t>
      </w:r>
      <w:r w:rsidRPr="00687D89">
        <w:rPr>
          <w:color w:val="000000" w:themeColor="text1"/>
          <w:lang w:val="en-US"/>
        </w:rPr>
        <w:t>, T8</w:t>
      </w:r>
      <w:r w:rsidRPr="00687D89">
        <w:rPr>
          <w:color w:val="000000" w:themeColor="text1"/>
          <w:vertAlign w:val="subscript"/>
          <w:lang w:val="en-US"/>
        </w:rPr>
        <w:t>Post14w</w:t>
      </w:r>
      <w:r w:rsidRPr="00687D89">
        <w:rPr>
          <w:color w:val="000000" w:themeColor="text1"/>
          <w:lang w:val="en-US"/>
        </w:rPr>
        <w:t>, T1</w:t>
      </w:r>
      <w:r w:rsidRPr="00687D89">
        <w:rPr>
          <w:color w:val="000000" w:themeColor="text1"/>
          <w:vertAlign w:val="subscript"/>
          <w:lang w:val="en-US"/>
        </w:rPr>
        <w:t>Post1.5y</w:t>
      </w:r>
      <w:r w:rsidRPr="00687D89">
        <w:rPr>
          <w:color w:val="000000" w:themeColor="text1"/>
          <w:lang w:val="en-US"/>
        </w:rPr>
        <w:t xml:space="preserve"> and T8</w:t>
      </w:r>
      <w:r w:rsidRPr="00687D89">
        <w:rPr>
          <w:color w:val="000000" w:themeColor="text1"/>
          <w:vertAlign w:val="subscript"/>
          <w:lang w:val="en-US"/>
        </w:rPr>
        <w:t>Post1.5y</w:t>
      </w:r>
      <w:r w:rsidRPr="00687D89">
        <w:rPr>
          <w:color w:val="000000" w:themeColor="text1"/>
          <w:lang w:val="en-US"/>
        </w:rPr>
        <w:t xml:space="preserve">) as factors was used to determine possible acute adaptive improvements and retention of MoS during the recovery response to the unexpected trip perturbation task separately for the </w:t>
      </w:r>
      <w:r w:rsidRPr="00687D89">
        <w:rPr>
          <w:color w:val="000000" w:themeColor="text1"/>
          <w:szCs w:val="24"/>
          <w:lang w:val="en-US"/>
        </w:rPr>
        <w:t>perturbed step (</w:t>
      </w:r>
      <w:r w:rsidR="008B20F9" w:rsidRPr="00687D89">
        <w:rPr>
          <w:color w:val="000000" w:themeColor="text1"/>
          <w:szCs w:val="24"/>
          <w:lang w:val="en-US"/>
        </w:rPr>
        <w:t xml:space="preserve">TD </w:t>
      </w:r>
      <w:r w:rsidRPr="00687D89">
        <w:rPr>
          <w:color w:val="000000" w:themeColor="text1"/>
          <w:szCs w:val="24"/>
          <w:lang w:val="en-US"/>
        </w:rPr>
        <w:t>Pert) and first recovery step after the perturbation (</w:t>
      </w:r>
      <w:r w:rsidR="008B20F9" w:rsidRPr="00687D89">
        <w:rPr>
          <w:color w:val="000000" w:themeColor="text1"/>
          <w:szCs w:val="24"/>
          <w:lang w:val="en-US"/>
        </w:rPr>
        <w:t xml:space="preserve">TD </w:t>
      </w:r>
      <w:r w:rsidRPr="00687D89">
        <w:rPr>
          <w:color w:val="000000" w:themeColor="text1"/>
          <w:lang w:val="en-US"/>
        </w:rPr>
        <w:t xml:space="preserve">Reco1L). For </w:t>
      </w:r>
      <w:r w:rsidR="00CF246E" w:rsidRPr="00687D89">
        <w:rPr>
          <w:color w:val="000000" w:themeColor="text1"/>
          <w:lang w:val="en-US"/>
        </w:rPr>
        <w:t xml:space="preserve">the </w:t>
      </w:r>
      <w:r w:rsidRPr="00687D89">
        <w:rPr>
          <w:color w:val="000000" w:themeColor="text1"/>
          <w:lang w:val="en-US"/>
        </w:rPr>
        <w:t>unperturbed gait (</w:t>
      </w:r>
      <w:r w:rsidR="007C3868" w:rsidRPr="00687D89">
        <w:rPr>
          <w:color w:val="000000" w:themeColor="text1"/>
          <w:lang w:val="en-US"/>
        </w:rPr>
        <w:t xml:space="preserve">TD </w:t>
      </w:r>
      <w:r w:rsidRPr="00687D89">
        <w:rPr>
          <w:color w:val="000000" w:themeColor="text1"/>
          <w:lang w:val="en-US"/>
        </w:rPr>
        <w:t>Base</w:t>
      </w:r>
      <w:r w:rsidR="00CF7C67" w:rsidRPr="00687D89">
        <w:rPr>
          <w:color w:val="000000" w:themeColor="text1"/>
          <w:lang w:val="en-US"/>
        </w:rPr>
        <w:t>; assessed always prior T1</w:t>
      </w:r>
      <w:r w:rsidR="00587511" w:rsidRPr="00687D89">
        <w:rPr>
          <w:color w:val="000000" w:themeColor="text1"/>
          <w:lang w:val="en-US"/>
        </w:rPr>
        <w:t xml:space="preserve"> as </w:t>
      </w:r>
      <w:r w:rsidR="00CE7FD5" w:rsidRPr="00687D89">
        <w:rPr>
          <w:color w:val="000000" w:themeColor="text1"/>
          <w:lang w:val="en-US"/>
        </w:rPr>
        <w:t xml:space="preserve">an </w:t>
      </w:r>
      <w:r w:rsidR="00CF7C67" w:rsidRPr="00687D89">
        <w:rPr>
          <w:color w:val="000000" w:themeColor="text1"/>
          <w:lang w:val="en-US"/>
        </w:rPr>
        <w:t>average of 12 consecutive steps of unperturbed walking with the ankle strap</w:t>
      </w:r>
      <w:r w:rsidRPr="00687D89">
        <w:rPr>
          <w:color w:val="000000" w:themeColor="text1"/>
          <w:lang w:val="en-US"/>
        </w:rPr>
        <w:t>)</w:t>
      </w:r>
      <w:r w:rsidR="00D61E95" w:rsidRPr="00687D89">
        <w:rPr>
          <w:color w:val="000000" w:themeColor="text1"/>
          <w:lang w:val="en-US"/>
        </w:rPr>
        <w:t>,</w:t>
      </w:r>
      <w:r w:rsidRPr="00687D89">
        <w:rPr>
          <w:color w:val="000000" w:themeColor="text1"/>
          <w:lang w:val="en-US"/>
        </w:rPr>
        <w:t xml:space="preserve"> a further two-way repeated measures ANOVA was implemented with </w:t>
      </w:r>
      <w:r w:rsidR="00CF7C67" w:rsidRPr="00687D89">
        <w:rPr>
          <w:color w:val="000000" w:themeColor="text1"/>
          <w:lang w:val="en-US"/>
        </w:rPr>
        <w:t>subject group and time point (Pre, Post 14 weeks and Post 1.5 years) as factors</w:t>
      </w:r>
      <w:r w:rsidRPr="00687D89">
        <w:rPr>
          <w:color w:val="000000" w:themeColor="text1"/>
          <w:lang w:val="en-US"/>
        </w:rPr>
        <w:t>.</w:t>
      </w:r>
      <w:r w:rsidRPr="00687D89">
        <w:rPr>
          <w:color w:val="000000" w:themeColor="text1"/>
          <w:szCs w:val="24"/>
          <w:lang w:val="en-US"/>
        </w:rPr>
        <w:t xml:space="preserve"> Significant main effects and interactions were further analysed using the Bonferroni post-hoc comparison.</w:t>
      </w:r>
      <w:r w:rsidRPr="00687D89">
        <w:rPr>
          <w:color w:val="000000" w:themeColor="text1"/>
          <w:lang w:val="en-US"/>
        </w:rPr>
        <w:t xml:space="preserve"> The significance level was set at α=0.05, with all results in the text, tables and figures presented as mean and </w:t>
      </w:r>
      <w:r w:rsidR="008B3CFE" w:rsidRPr="00687D89">
        <w:rPr>
          <w:color w:val="000000" w:themeColor="text1"/>
          <w:lang w:val="en-US"/>
        </w:rPr>
        <w:t>SD</w:t>
      </w:r>
      <w:r w:rsidRPr="00687D89">
        <w:rPr>
          <w:color w:val="000000" w:themeColor="text1"/>
          <w:lang w:val="en-US"/>
        </w:rPr>
        <w:t>. All statistical analyses were conducted using the software Statistica (Release 10.0; Statsoft Inc., Tulsa, OK, USA).</w:t>
      </w:r>
    </w:p>
    <w:p w14:paraId="5DCFB0AD" w14:textId="77777777" w:rsidR="00536006" w:rsidRPr="00C827B9" w:rsidRDefault="00536006" w:rsidP="00536006">
      <w:pPr>
        <w:spacing w:after="0"/>
        <w:jc w:val="both"/>
        <w:rPr>
          <w:lang w:val="en-US"/>
        </w:rPr>
      </w:pPr>
    </w:p>
    <w:p w14:paraId="03B9B4BE" w14:textId="77777777" w:rsidR="00536006" w:rsidRPr="00C827B9" w:rsidRDefault="00536006" w:rsidP="00536006">
      <w:pPr>
        <w:pStyle w:val="Heading1"/>
        <w:spacing w:before="0"/>
        <w:jc w:val="both"/>
        <w:rPr>
          <w:szCs w:val="24"/>
          <w:lang w:val="en-US"/>
        </w:rPr>
      </w:pPr>
      <w:r w:rsidRPr="00C827B9">
        <w:rPr>
          <w:szCs w:val="24"/>
          <w:lang w:val="en-US"/>
        </w:rPr>
        <w:lastRenderedPageBreak/>
        <w:t>Results</w:t>
      </w:r>
    </w:p>
    <w:p w14:paraId="065792FA" w14:textId="6BEE8958" w:rsidR="00536006" w:rsidRPr="000F6752" w:rsidRDefault="00536006" w:rsidP="00536006">
      <w:pPr>
        <w:pStyle w:val="Heading2"/>
        <w:rPr>
          <w:b w:val="0"/>
          <w:i/>
          <w:color w:val="000000" w:themeColor="text1"/>
          <w:lang w:val="en-US"/>
        </w:rPr>
      </w:pPr>
      <w:r w:rsidRPr="00C827B9">
        <w:rPr>
          <w:b w:val="0"/>
          <w:i/>
          <w:lang w:val="en-US"/>
        </w:rPr>
        <w:t>Cha</w:t>
      </w:r>
      <w:r w:rsidRPr="000F6752">
        <w:rPr>
          <w:b w:val="0"/>
          <w:i/>
          <w:color w:val="000000" w:themeColor="text1"/>
          <w:lang w:val="en-US"/>
        </w:rPr>
        <w:t xml:space="preserve">nges in triceps surae </w:t>
      </w:r>
      <w:r w:rsidR="009E0B8F" w:rsidRPr="000F6752">
        <w:rPr>
          <w:b w:val="0"/>
          <w:i/>
          <w:color w:val="000000" w:themeColor="text1"/>
          <w:lang w:val="en-US"/>
        </w:rPr>
        <w:t xml:space="preserve">neuromechanical </w:t>
      </w:r>
      <w:r w:rsidRPr="000F6752">
        <w:rPr>
          <w:b w:val="0"/>
          <w:i/>
          <w:color w:val="000000" w:themeColor="text1"/>
          <w:lang w:val="en-US"/>
        </w:rPr>
        <w:t>properties</w:t>
      </w:r>
    </w:p>
    <w:p w14:paraId="68AE2BE7" w14:textId="4ED8AAB1" w:rsidR="00536006" w:rsidRPr="000F6752" w:rsidRDefault="00536006" w:rsidP="00536006">
      <w:pPr>
        <w:jc w:val="both"/>
        <w:rPr>
          <w:color w:val="000000" w:themeColor="text1"/>
          <w:lang w:val="en-US"/>
        </w:rPr>
      </w:pPr>
      <w:r w:rsidRPr="000F6752">
        <w:rPr>
          <w:color w:val="000000" w:themeColor="text1"/>
          <w:lang w:val="en-US"/>
        </w:rPr>
        <w:t>For the 14 weeks of exercise intervention with 21 older female adults (</w:t>
      </w:r>
      <w:r w:rsidR="006B492D" w:rsidRPr="000F6752">
        <w:rPr>
          <w:color w:val="000000" w:themeColor="text1"/>
          <w:lang w:val="en-US"/>
        </w:rPr>
        <w:t>GAIT+NM</w:t>
      </w:r>
      <w:r w:rsidR="006B492D" w:rsidRPr="000F6752">
        <w:rPr>
          <w:color w:val="000000" w:themeColor="text1"/>
          <w:vertAlign w:val="subscript"/>
          <w:lang w:val="en-US"/>
        </w:rPr>
        <w:t>14w</w:t>
      </w:r>
      <w:r w:rsidRPr="000F6752">
        <w:rPr>
          <w:color w:val="000000" w:themeColor="text1"/>
          <w:vertAlign w:val="subscript"/>
          <w:lang w:val="en-US"/>
        </w:rPr>
        <w:t xml:space="preserve"> </w:t>
      </w:r>
      <w:r w:rsidRPr="000F6752">
        <w:rPr>
          <w:color w:val="000000" w:themeColor="text1"/>
          <w:lang w:val="en-US"/>
        </w:rPr>
        <w:t xml:space="preserve">group), the implemented two-way ANOVA revealed a statistically significant subject group × time point interaction for the maximal ankle plantarflexion moment </w:t>
      </w:r>
      <w:r w:rsidR="007A2814" w:rsidRPr="000F6752">
        <w:rPr>
          <w:color w:val="000000" w:themeColor="text1"/>
          <w:lang w:val="en-US"/>
        </w:rPr>
        <w:t>(F</w:t>
      </w:r>
      <w:r w:rsidR="001E5525" w:rsidRPr="000F6752">
        <w:rPr>
          <w:color w:val="000000" w:themeColor="text1"/>
          <w:lang w:val="en-US"/>
        </w:rPr>
        <w:t xml:space="preserve"> </w:t>
      </w:r>
      <w:r w:rsidR="007A2814" w:rsidRPr="000F6752">
        <w:rPr>
          <w:color w:val="000000" w:themeColor="text1"/>
          <w:lang w:val="en-US"/>
        </w:rPr>
        <w:t>(1,</w:t>
      </w:r>
      <w:r w:rsidR="001E5525" w:rsidRPr="000F6752">
        <w:rPr>
          <w:color w:val="000000" w:themeColor="text1"/>
          <w:lang w:val="en-US"/>
        </w:rPr>
        <w:t xml:space="preserve"> </w:t>
      </w:r>
      <w:r w:rsidR="007A2814" w:rsidRPr="000F6752">
        <w:rPr>
          <w:color w:val="000000" w:themeColor="text1"/>
          <w:lang w:val="en-US"/>
        </w:rPr>
        <w:t>32) = 17.6</w:t>
      </w:r>
      <w:r w:rsidR="004D1E2F" w:rsidRPr="000F6752">
        <w:rPr>
          <w:color w:val="000000" w:themeColor="text1"/>
          <w:lang w:val="en-US"/>
        </w:rPr>
        <w:t>7</w:t>
      </w:r>
      <w:r w:rsidR="007A2814" w:rsidRPr="000F6752">
        <w:rPr>
          <w:color w:val="000000" w:themeColor="text1"/>
          <w:lang w:val="en-US"/>
        </w:rPr>
        <w:t>, p &lt; 0.0</w:t>
      </w:r>
      <w:r w:rsidR="002B2936">
        <w:rPr>
          <w:color w:val="000000" w:themeColor="text1"/>
          <w:lang w:val="en-US"/>
        </w:rPr>
        <w:t>5</w:t>
      </w:r>
      <w:r w:rsidR="007A2814" w:rsidRPr="000F6752">
        <w:rPr>
          <w:color w:val="000000" w:themeColor="text1"/>
          <w:lang w:val="en-US"/>
        </w:rPr>
        <w:t xml:space="preserve">) </w:t>
      </w:r>
      <w:r w:rsidRPr="000F6752">
        <w:rPr>
          <w:color w:val="000000" w:themeColor="text1"/>
          <w:lang w:val="en-US"/>
        </w:rPr>
        <w:t xml:space="preserve">and </w:t>
      </w:r>
      <w:r w:rsidR="00023115" w:rsidRPr="000F6752">
        <w:rPr>
          <w:color w:val="000000" w:themeColor="text1"/>
          <w:lang w:val="en-US"/>
        </w:rPr>
        <w:t>Achilles tendon</w:t>
      </w:r>
      <w:r w:rsidRPr="000F6752">
        <w:rPr>
          <w:color w:val="000000" w:themeColor="text1"/>
          <w:lang w:val="en-US"/>
        </w:rPr>
        <w:t xml:space="preserve"> stiffness</w:t>
      </w:r>
      <w:r w:rsidR="007A2814" w:rsidRPr="000F6752">
        <w:rPr>
          <w:color w:val="000000" w:themeColor="text1"/>
          <w:lang w:val="en-US"/>
        </w:rPr>
        <w:t xml:space="preserve"> (F</w:t>
      </w:r>
      <w:r w:rsidR="001E5525" w:rsidRPr="000F6752">
        <w:rPr>
          <w:color w:val="000000" w:themeColor="text1"/>
          <w:lang w:val="en-US"/>
        </w:rPr>
        <w:t xml:space="preserve"> </w:t>
      </w:r>
      <w:r w:rsidR="007A2814" w:rsidRPr="000F6752">
        <w:rPr>
          <w:color w:val="000000" w:themeColor="text1"/>
          <w:lang w:val="en-US"/>
        </w:rPr>
        <w:t>(1,</w:t>
      </w:r>
      <w:r w:rsidR="001E5525" w:rsidRPr="000F6752">
        <w:rPr>
          <w:color w:val="000000" w:themeColor="text1"/>
          <w:lang w:val="en-US"/>
        </w:rPr>
        <w:t xml:space="preserve"> </w:t>
      </w:r>
      <w:r w:rsidR="007A2814" w:rsidRPr="000F6752">
        <w:rPr>
          <w:color w:val="000000" w:themeColor="text1"/>
          <w:lang w:val="en-US"/>
        </w:rPr>
        <w:t>32) = 6.</w:t>
      </w:r>
      <w:r w:rsidR="00EC0649" w:rsidRPr="000F6752">
        <w:rPr>
          <w:color w:val="000000" w:themeColor="text1"/>
          <w:lang w:val="en-US"/>
        </w:rPr>
        <w:t>2</w:t>
      </w:r>
      <w:r w:rsidR="007A2814" w:rsidRPr="000F6752">
        <w:rPr>
          <w:color w:val="000000" w:themeColor="text1"/>
          <w:lang w:val="en-US"/>
        </w:rPr>
        <w:t>6, p &lt; 0.0</w:t>
      </w:r>
      <w:r w:rsidR="002B2936">
        <w:rPr>
          <w:color w:val="000000" w:themeColor="text1"/>
          <w:lang w:val="en-US"/>
        </w:rPr>
        <w:t>5</w:t>
      </w:r>
      <w:r w:rsidR="007A2814" w:rsidRPr="000F6752">
        <w:rPr>
          <w:color w:val="000000" w:themeColor="text1"/>
          <w:lang w:val="en-US"/>
        </w:rPr>
        <w:t>)</w:t>
      </w:r>
      <w:r w:rsidRPr="000F6752">
        <w:rPr>
          <w:color w:val="000000" w:themeColor="text1"/>
          <w:lang w:val="en-US"/>
        </w:rPr>
        <w:t xml:space="preserve">. The Bonferroni post-hoc analysis revealed significant changes in the maximal ankle plantarflexion moment (Pre: 116.4 ± 25.4 Nm vs. Post 14 weeks: 145.8 ± 35.3 Nm; p &lt; 0.001) and </w:t>
      </w:r>
      <w:r w:rsidR="00023115" w:rsidRPr="000F6752">
        <w:rPr>
          <w:color w:val="000000" w:themeColor="text1"/>
          <w:lang w:val="en-US"/>
        </w:rPr>
        <w:t>Achilles tendon</w:t>
      </w:r>
      <w:r w:rsidRPr="000F6752">
        <w:rPr>
          <w:color w:val="000000" w:themeColor="text1"/>
          <w:lang w:val="en-US"/>
        </w:rPr>
        <w:t xml:space="preserve"> stiffness (Pre: 513.3 ± 183.6 N·mm</w:t>
      </w:r>
      <w:r w:rsidRPr="000F6752">
        <w:rPr>
          <w:color w:val="000000" w:themeColor="text1"/>
          <w:vertAlign w:val="superscript"/>
          <w:lang w:val="en-US"/>
        </w:rPr>
        <w:t>-1</w:t>
      </w:r>
      <w:r w:rsidRPr="000F6752">
        <w:rPr>
          <w:color w:val="000000" w:themeColor="text1"/>
          <w:lang w:val="en-US"/>
        </w:rPr>
        <w:t xml:space="preserve"> vs. Post 14 weeks: 614.1 ± 190.1 N</w:t>
      </w:r>
      <w:r w:rsidRPr="000F6752">
        <w:rPr>
          <w:color w:val="000000" w:themeColor="text1"/>
          <w:szCs w:val="24"/>
          <w:lang w:val="en-US"/>
        </w:rPr>
        <w:t>·mm</w:t>
      </w:r>
      <w:r w:rsidRPr="000F6752">
        <w:rPr>
          <w:color w:val="000000" w:themeColor="text1"/>
          <w:szCs w:val="24"/>
          <w:vertAlign w:val="superscript"/>
          <w:lang w:val="en-US"/>
        </w:rPr>
        <w:t>-1</w:t>
      </w:r>
      <w:r w:rsidRPr="000F6752">
        <w:rPr>
          <w:color w:val="000000" w:themeColor="text1"/>
          <w:lang w:val="en-US"/>
        </w:rPr>
        <w:t xml:space="preserve">; p &lt; 0.05) for the </w:t>
      </w:r>
      <w:r w:rsidR="006B492D" w:rsidRPr="000F6752">
        <w:rPr>
          <w:color w:val="000000" w:themeColor="text1"/>
          <w:lang w:val="en-US"/>
        </w:rPr>
        <w:t>GAIT+NM</w:t>
      </w:r>
      <w:r w:rsidR="006B492D" w:rsidRPr="000F6752">
        <w:rPr>
          <w:color w:val="000000" w:themeColor="text1"/>
          <w:vertAlign w:val="subscript"/>
          <w:lang w:val="en-US"/>
        </w:rPr>
        <w:t>14w</w:t>
      </w:r>
      <w:r w:rsidRPr="000F6752">
        <w:rPr>
          <w:color w:val="000000" w:themeColor="text1"/>
          <w:lang w:val="en-US"/>
        </w:rPr>
        <w:t xml:space="preserve"> group Post 14 weeks in comparison to Pre measurement.</w:t>
      </w:r>
    </w:p>
    <w:p w14:paraId="7CD727C3" w14:textId="59ADCCCE" w:rsidR="00536006" w:rsidRPr="000F6752" w:rsidRDefault="00536006" w:rsidP="00536006">
      <w:pPr>
        <w:autoSpaceDE w:val="0"/>
        <w:autoSpaceDN w:val="0"/>
        <w:adjustRightInd w:val="0"/>
        <w:spacing w:after="0"/>
        <w:contextualSpacing/>
        <w:jc w:val="both"/>
        <w:rPr>
          <w:color w:val="000000" w:themeColor="text1"/>
          <w:vertAlign w:val="subscript"/>
          <w:lang w:val="en-US"/>
        </w:rPr>
      </w:pPr>
      <w:r w:rsidRPr="000F6752">
        <w:rPr>
          <w:color w:val="000000" w:themeColor="text1"/>
          <w:szCs w:val="24"/>
          <w:lang w:val="en-US"/>
        </w:rPr>
        <w:t>Considering the TS specific motor skill performance, the two way repeated measures ANOVA revealed a statistically significant (</w:t>
      </w:r>
      <w:r w:rsidR="00293C97" w:rsidRPr="000F6752">
        <w:rPr>
          <w:color w:val="000000" w:themeColor="text1"/>
          <w:szCs w:val="24"/>
          <w:lang w:val="en-US"/>
        </w:rPr>
        <w:t>10.79</w:t>
      </w:r>
      <w:r w:rsidR="00651AD9" w:rsidRPr="000F6752">
        <w:rPr>
          <w:color w:val="000000" w:themeColor="text1"/>
          <w:szCs w:val="24"/>
          <w:lang w:val="en-US"/>
        </w:rPr>
        <w:t xml:space="preserve"> </w:t>
      </w:r>
      <w:r w:rsidR="001E5525" w:rsidRPr="000F6752">
        <w:rPr>
          <w:color w:val="000000" w:themeColor="text1"/>
          <w:lang w:val="en-US"/>
        </w:rPr>
        <w:t xml:space="preserve">≤ </w:t>
      </w:r>
      <w:r w:rsidR="00651AD9" w:rsidRPr="000F6752">
        <w:rPr>
          <w:color w:val="000000" w:themeColor="text1"/>
          <w:lang w:val="en-US"/>
        </w:rPr>
        <w:t>F</w:t>
      </w:r>
      <w:r w:rsidR="001E5525" w:rsidRPr="000F6752">
        <w:rPr>
          <w:color w:val="000000" w:themeColor="text1"/>
          <w:lang w:val="en-US"/>
        </w:rPr>
        <w:t xml:space="preserve"> </w:t>
      </w:r>
      <w:r w:rsidR="00651AD9" w:rsidRPr="000F6752">
        <w:rPr>
          <w:color w:val="000000" w:themeColor="text1"/>
          <w:lang w:val="en-US"/>
        </w:rPr>
        <w:t>(1,</w:t>
      </w:r>
      <w:r w:rsidR="001E5525" w:rsidRPr="000F6752">
        <w:rPr>
          <w:color w:val="000000" w:themeColor="text1"/>
          <w:lang w:val="en-US"/>
        </w:rPr>
        <w:t xml:space="preserve"> </w:t>
      </w:r>
      <w:r w:rsidR="00651AD9" w:rsidRPr="000F6752">
        <w:rPr>
          <w:color w:val="000000" w:themeColor="text1"/>
          <w:lang w:val="en-US"/>
        </w:rPr>
        <w:t xml:space="preserve">32) ≤ </w:t>
      </w:r>
      <w:r w:rsidR="00293C97" w:rsidRPr="000F6752">
        <w:rPr>
          <w:color w:val="000000" w:themeColor="text1"/>
          <w:lang w:val="en-US"/>
        </w:rPr>
        <w:t>33.36</w:t>
      </w:r>
      <w:r w:rsidR="00651AD9" w:rsidRPr="000F6752">
        <w:rPr>
          <w:color w:val="000000" w:themeColor="text1"/>
          <w:lang w:val="en-US"/>
        </w:rPr>
        <w:t xml:space="preserve">, </w:t>
      </w:r>
      <w:r w:rsidRPr="000F6752">
        <w:rPr>
          <w:color w:val="000000" w:themeColor="text1"/>
          <w:lang w:val="en-US"/>
        </w:rPr>
        <w:t xml:space="preserve">p </w:t>
      </w:r>
      <w:r w:rsidR="00651AD9" w:rsidRPr="000F6752">
        <w:rPr>
          <w:color w:val="000000" w:themeColor="text1"/>
          <w:lang w:val="en-US"/>
        </w:rPr>
        <w:t>&lt;</w:t>
      </w:r>
      <w:r w:rsidRPr="000F6752">
        <w:rPr>
          <w:color w:val="000000" w:themeColor="text1"/>
          <w:lang w:val="en-US"/>
        </w:rPr>
        <w:t xml:space="preserve"> 0.0</w:t>
      </w:r>
      <w:r w:rsidR="002B2936">
        <w:rPr>
          <w:color w:val="000000" w:themeColor="text1"/>
          <w:lang w:val="en-US"/>
        </w:rPr>
        <w:t>5</w:t>
      </w:r>
      <w:r w:rsidRPr="000F6752">
        <w:rPr>
          <w:color w:val="000000" w:themeColor="text1"/>
          <w:szCs w:val="24"/>
          <w:lang w:val="en-US"/>
        </w:rPr>
        <w:t>) subject group × time point interaction</w:t>
      </w:r>
      <w:r w:rsidR="001F1815" w:rsidRPr="000F6752">
        <w:rPr>
          <w:color w:val="000000" w:themeColor="text1"/>
          <w:szCs w:val="24"/>
          <w:lang w:val="en-US"/>
        </w:rPr>
        <w:t xml:space="preserve"> for </w:t>
      </w:r>
      <w:r w:rsidR="00794BE6" w:rsidRPr="000F6752">
        <w:rPr>
          <w:color w:val="000000" w:themeColor="text1"/>
          <w:szCs w:val="24"/>
          <w:lang w:val="en-US"/>
        </w:rPr>
        <w:t>each analyz</w:t>
      </w:r>
      <w:r w:rsidR="001F1815" w:rsidRPr="000F6752">
        <w:rPr>
          <w:color w:val="000000" w:themeColor="text1"/>
          <w:szCs w:val="24"/>
          <w:lang w:val="en-US"/>
        </w:rPr>
        <w:t>ed function</w:t>
      </w:r>
      <w:r w:rsidRPr="000F6752">
        <w:rPr>
          <w:color w:val="000000" w:themeColor="text1"/>
          <w:szCs w:val="24"/>
          <w:lang w:val="en-US"/>
        </w:rPr>
        <w:t>.</w:t>
      </w:r>
      <w:r w:rsidRPr="000F6752">
        <w:rPr>
          <w:color w:val="000000" w:themeColor="text1"/>
          <w:lang w:val="en-US"/>
        </w:rPr>
        <w:t xml:space="preserve"> </w:t>
      </w:r>
      <w:r w:rsidRPr="000F6752">
        <w:rPr>
          <w:i/>
          <w:color w:val="000000" w:themeColor="text1"/>
          <w:lang w:val="en-US"/>
        </w:rPr>
        <w:t>Post hoc</w:t>
      </w:r>
      <w:r w:rsidRPr="000F6752">
        <w:rPr>
          <w:color w:val="000000" w:themeColor="text1"/>
          <w:lang w:val="en-US"/>
        </w:rPr>
        <w:t xml:space="preserve"> tests found no statistical differences</w:t>
      </w:r>
      <w:r w:rsidRPr="000F6752">
        <w:rPr>
          <w:color w:val="000000" w:themeColor="text1"/>
          <w:szCs w:val="24"/>
          <w:lang w:val="en-US"/>
        </w:rPr>
        <w:t xml:space="preserve"> </w:t>
      </w:r>
      <w:r w:rsidRPr="000F6752">
        <w:rPr>
          <w:color w:val="000000" w:themeColor="text1"/>
          <w:lang w:val="en-US"/>
        </w:rPr>
        <w:t>in the relative mean deviation</w:t>
      </w:r>
      <w:r w:rsidRPr="000F6752">
        <w:rPr>
          <w:color w:val="000000" w:themeColor="text1"/>
          <w:szCs w:val="24"/>
          <w:lang w:val="en-US"/>
        </w:rPr>
        <w:t xml:space="preserve"> between </w:t>
      </w:r>
      <w:r w:rsidRPr="000F6752">
        <w:rPr>
          <w:color w:val="000000" w:themeColor="text1"/>
          <w:lang w:val="en-US"/>
        </w:rPr>
        <w:t xml:space="preserve">the </w:t>
      </w:r>
      <w:r w:rsidR="00861E05" w:rsidRPr="000F6752">
        <w:rPr>
          <w:color w:val="000000" w:themeColor="text1"/>
          <w:lang w:val="en-US"/>
        </w:rPr>
        <w:t xml:space="preserve">GAIT </w:t>
      </w:r>
      <w:r w:rsidRPr="000F6752">
        <w:rPr>
          <w:color w:val="000000" w:themeColor="text1"/>
          <w:lang w:val="en-US"/>
        </w:rPr>
        <w:t xml:space="preserve">and </w:t>
      </w:r>
      <w:r w:rsidR="006B492D" w:rsidRPr="000F6752">
        <w:rPr>
          <w:color w:val="000000" w:themeColor="text1"/>
          <w:lang w:val="en-US"/>
        </w:rPr>
        <w:t>GAIT+NM</w:t>
      </w:r>
      <w:r w:rsidR="006B492D" w:rsidRPr="000F6752">
        <w:rPr>
          <w:color w:val="000000" w:themeColor="text1"/>
          <w:vertAlign w:val="subscript"/>
          <w:lang w:val="en-US"/>
        </w:rPr>
        <w:t>14w</w:t>
      </w:r>
      <w:r w:rsidRPr="000F6752">
        <w:rPr>
          <w:color w:val="000000" w:themeColor="text1"/>
          <w:lang w:val="en-US"/>
        </w:rPr>
        <w:t xml:space="preserve"> group</w:t>
      </w:r>
      <w:r w:rsidRPr="000F6752">
        <w:rPr>
          <w:color w:val="000000" w:themeColor="text1"/>
          <w:szCs w:val="24"/>
          <w:lang w:val="en-US"/>
        </w:rPr>
        <w:t xml:space="preserve"> at the </w:t>
      </w:r>
      <w:r w:rsidRPr="000F6752">
        <w:rPr>
          <w:color w:val="000000" w:themeColor="text1"/>
          <w:lang w:val="en-US"/>
        </w:rPr>
        <w:t xml:space="preserve">Pre measurement, regardless of the </w:t>
      </w:r>
      <w:r w:rsidR="00D446B4" w:rsidRPr="000F6752">
        <w:rPr>
          <w:color w:val="000000" w:themeColor="text1"/>
          <w:lang w:val="en-US"/>
        </w:rPr>
        <w:t>cursor</w:t>
      </w:r>
      <w:r w:rsidRPr="000F6752">
        <w:rPr>
          <w:color w:val="000000" w:themeColor="text1"/>
          <w:lang w:val="en-US"/>
        </w:rPr>
        <w:t xml:space="preserve"> </w:t>
      </w:r>
      <w:r w:rsidR="0073142B" w:rsidRPr="000F6752">
        <w:rPr>
          <w:color w:val="000000" w:themeColor="text1"/>
          <w:lang w:val="en-US"/>
        </w:rPr>
        <w:t>movement</w:t>
      </w:r>
      <w:r w:rsidRPr="000F6752">
        <w:rPr>
          <w:color w:val="000000" w:themeColor="text1"/>
          <w:lang w:val="en-US"/>
        </w:rPr>
        <w:t>.</w:t>
      </w:r>
      <w:r w:rsidRPr="000F6752">
        <w:rPr>
          <w:color w:val="000000" w:themeColor="text1"/>
          <w:szCs w:val="24"/>
          <w:lang w:val="en-US"/>
        </w:rPr>
        <w:t xml:space="preserve"> For the </w:t>
      </w:r>
      <w:r w:rsidR="006B492D" w:rsidRPr="000F6752">
        <w:rPr>
          <w:color w:val="000000" w:themeColor="text1"/>
          <w:lang w:val="en-US"/>
        </w:rPr>
        <w:t>GAIT+NM</w:t>
      </w:r>
      <w:r w:rsidR="006B492D" w:rsidRPr="000F6752">
        <w:rPr>
          <w:color w:val="000000" w:themeColor="text1"/>
          <w:vertAlign w:val="subscript"/>
          <w:lang w:val="en-US"/>
        </w:rPr>
        <w:t>14w</w:t>
      </w:r>
      <w:r w:rsidRPr="000F6752">
        <w:rPr>
          <w:color w:val="000000" w:themeColor="text1"/>
          <w:lang w:val="en-US"/>
        </w:rPr>
        <w:t xml:space="preserve"> group,</w:t>
      </w:r>
      <w:r w:rsidRPr="000F6752">
        <w:rPr>
          <w:color w:val="000000" w:themeColor="text1"/>
          <w:szCs w:val="24"/>
          <w:lang w:val="en-US"/>
        </w:rPr>
        <w:t xml:space="preserve"> we found significantly (p &lt; 0.05) lower relative mean deviations for both velocities</w:t>
      </w:r>
      <w:r w:rsidRPr="000F6752">
        <w:rPr>
          <w:color w:val="000000" w:themeColor="text1"/>
          <w:lang w:val="en-US"/>
        </w:rPr>
        <w:t xml:space="preserve"> </w:t>
      </w:r>
      <w:r w:rsidRPr="000F6752">
        <w:rPr>
          <w:color w:val="000000" w:themeColor="text1"/>
          <w:szCs w:val="24"/>
          <w:lang w:val="en-US"/>
        </w:rPr>
        <w:t xml:space="preserve">(slow: </w:t>
      </w:r>
      <w:r w:rsidR="00F91808" w:rsidRPr="000F6752">
        <w:rPr>
          <w:color w:val="000000" w:themeColor="text1"/>
          <w:szCs w:val="24"/>
          <w:lang w:val="en-US"/>
        </w:rPr>
        <w:t>80</w:t>
      </w:r>
      <w:r w:rsidR="001A6098" w:rsidRPr="000F6752">
        <w:rPr>
          <w:color w:val="000000" w:themeColor="text1"/>
          <w:szCs w:val="24"/>
          <w:lang w:val="en-US"/>
        </w:rPr>
        <w:t>s</w:t>
      </w:r>
      <w:r w:rsidRPr="000F6752">
        <w:rPr>
          <w:color w:val="000000" w:themeColor="text1"/>
          <w:szCs w:val="24"/>
          <w:lang w:val="en-US"/>
        </w:rPr>
        <w:t xml:space="preserve"> and fast: </w:t>
      </w:r>
      <w:r w:rsidR="00F91808" w:rsidRPr="000F6752">
        <w:rPr>
          <w:color w:val="000000" w:themeColor="text1"/>
          <w:szCs w:val="24"/>
          <w:lang w:val="en-US"/>
        </w:rPr>
        <w:t>20</w:t>
      </w:r>
      <w:r w:rsidR="00926B46" w:rsidRPr="000F6752">
        <w:rPr>
          <w:color w:val="000000" w:themeColor="text1"/>
          <w:szCs w:val="24"/>
          <w:lang w:val="en-US"/>
        </w:rPr>
        <w:t>s</w:t>
      </w:r>
      <w:r w:rsidRPr="000F6752">
        <w:rPr>
          <w:color w:val="000000" w:themeColor="text1"/>
          <w:szCs w:val="24"/>
          <w:lang w:val="en-US"/>
        </w:rPr>
        <w:t xml:space="preserve">) </w:t>
      </w:r>
      <w:r w:rsidRPr="000F6752">
        <w:rPr>
          <w:color w:val="000000" w:themeColor="text1"/>
          <w:lang w:val="en-US"/>
        </w:rPr>
        <w:t>after</w:t>
      </w:r>
      <w:r w:rsidRPr="000F6752">
        <w:rPr>
          <w:color w:val="000000" w:themeColor="text1"/>
          <w:szCs w:val="24"/>
          <w:lang w:val="en-US"/>
        </w:rPr>
        <w:t xml:space="preserve"> the time period of 14 weeks in comparison to the Pre measurements for all four analyzed functions (</w:t>
      </w:r>
      <w:r w:rsidRPr="000F6752">
        <w:rPr>
          <w:color w:val="000000" w:themeColor="text1"/>
          <w:lang w:val="en-US"/>
        </w:rPr>
        <w:t xml:space="preserve">slow: on average over all functions Pre 4.1 ± 2.1 % vs. Post 14 weeks 1.2 ± 0.4 %; fast: Pre 4.5 ± 1.8 % vs. Post 14 weeks 1.8 ± 0.5 %; </w:t>
      </w:r>
      <w:r w:rsidR="00C22AD7" w:rsidRPr="000F6752">
        <w:rPr>
          <w:color w:val="000000" w:themeColor="text1"/>
          <w:lang w:val="en-US"/>
        </w:rPr>
        <w:t>Table 1 and</w:t>
      </w:r>
      <w:r w:rsidRPr="000F6752">
        <w:rPr>
          <w:color w:val="000000" w:themeColor="text1"/>
          <w:lang w:val="en-US"/>
        </w:rPr>
        <w:t xml:space="preserve"> Fig. </w:t>
      </w:r>
      <w:r w:rsidR="00C7679A" w:rsidRPr="000F6752">
        <w:rPr>
          <w:color w:val="000000" w:themeColor="text1"/>
          <w:lang w:val="en-US"/>
        </w:rPr>
        <w:t>4</w:t>
      </w:r>
      <w:r w:rsidRPr="000F6752">
        <w:rPr>
          <w:color w:val="000000" w:themeColor="text1"/>
          <w:lang w:val="en-US"/>
        </w:rPr>
        <w:t xml:space="preserve">). </w:t>
      </w:r>
    </w:p>
    <w:p w14:paraId="651D64CA" w14:textId="70E46091" w:rsidR="00536006" w:rsidRPr="000F6752" w:rsidRDefault="00536006" w:rsidP="00536006">
      <w:pPr>
        <w:autoSpaceDE w:val="0"/>
        <w:autoSpaceDN w:val="0"/>
        <w:adjustRightInd w:val="0"/>
        <w:spacing w:after="0"/>
        <w:contextualSpacing/>
        <w:jc w:val="both"/>
        <w:rPr>
          <w:color w:val="000000" w:themeColor="text1"/>
          <w:lang w:val="en-US"/>
        </w:rPr>
      </w:pPr>
      <w:r w:rsidRPr="000F6752">
        <w:rPr>
          <w:color w:val="000000" w:themeColor="text1"/>
          <w:lang w:val="en-US"/>
        </w:rPr>
        <w:t>Following the 1.5 year exercise intervention with the 12 older female adults (</w:t>
      </w:r>
      <w:r w:rsidR="006B492D" w:rsidRPr="000F6752">
        <w:rPr>
          <w:color w:val="000000" w:themeColor="text1"/>
          <w:lang w:val="en-US"/>
        </w:rPr>
        <w:t>GAIT+NM</w:t>
      </w:r>
      <w:r w:rsidR="006B492D" w:rsidRPr="000F6752">
        <w:rPr>
          <w:color w:val="000000" w:themeColor="text1"/>
          <w:vertAlign w:val="subscript"/>
          <w:lang w:val="en-US"/>
        </w:rPr>
        <w:t>1.5y</w:t>
      </w:r>
      <w:r w:rsidRPr="000F6752">
        <w:rPr>
          <w:color w:val="000000" w:themeColor="text1"/>
          <w:vertAlign w:val="subscript"/>
          <w:lang w:val="en-US"/>
        </w:rPr>
        <w:t xml:space="preserve"> </w:t>
      </w:r>
      <w:r w:rsidRPr="000F6752">
        <w:rPr>
          <w:color w:val="000000" w:themeColor="text1"/>
          <w:lang w:val="en-US"/>
        </w:rPr>
        <w:t>group), a subject group × time interaction was revealed</w:t>
      </w:r>
      <w:r w:rsidR="004F1D90" w:rsidRPr="000F6752">
        <w:rPr>
          <w:color w:val="000000" w:themeColor="text1"/>
          <w:lang w:val="en-US"/>
        </w:rPr>
        <w:t xml:space="preserve"> </w:t>
      </w:r>
      <w:r w:rsidR="00736C76" w:rsidRPr="000F6752">
        <w:rPr>
          <w:color w:val="000000" w:themeColor="text1"/>
          <w:lang w:val="en-US"/>
        </w:rPr>
        <w:t xml:space="preserve">for the maximal ankle plantarflexion moment (F (2, 46) = </w:t>
      </w:r>
      <w:r w:rsidR="00736C76" w:rsidRPr="000F6752">
        <w:rPr>
          <w:color w:val="000000" w:themeColor="text1"/>
          <w:szCs w:val="24"/>
          <w:lang w:val="en-US"/>
        </w:rPr>
        <w:t>3.43</w:t>
      </w:r>
      <w:r w:rsidR="00736C76" w:rsidRPr="000F6752">
        <w:rPr>
          <w:color w:val="000000" w:themeColor="text1"/>
          <w:lang w:val="en-US"/>
        </w:rPr>
        <w:t>, p &lt; 0.05) and Achilles tendon stiffness (F (2, 46) = 4.67, p &lt; 0.05).</w:t>
      </w:r>
      <w:r w:rsidR="00C311B0" w:rsidRPr="000F6752">
        <w:rPr>
          <w:color w:val="000000" w:themeColor="text1"/>
          <w:lang w:val="en-US"/>
        </w:rPr>
        <w:t xml:space="preserve"> The </w:t>
      </w:r>
      <w:r w:rsidR="00C311B0" w:rsidRPr="000F6752">
        <w:rPr>
          <w:i/>
          <w:color w:val="000000" w:themeColor="text1"/>
          <w:lang w:val="en-US"/>
        </w:rPr>
        <w:t>post hoc</w:t>
      </w:r>
      <w:r w:rsidR="00C311B0" w:rsidRPr="000F6752">
        <w:rPr>
          <w:color w:val="000000" w:themeColor="text1"/>
          <w:lang w:val="en-US"/>
        </w:rPr>
        <w:t xml:space="preserve"> test </w:t>
      </w:r>
      <w:r w:rsidR="002610CC" w:rsidRPr="000F6752">
        <w:rPr>
          <w:color w:val="000000" w:themeColor="text1"/>
          <w:lang w:val="en-US"/>
        </w:rPr>
        <w:t xml:space="preserve">revealed </w:t>
      </w:r>
      <w:r w:rsidR="00C311B0" w:rsidRPr="000F6752">
        <w:rPr>
          <w:color w:val="000000" w:themeColor="text1"/>
          <w:lang w:val="en-US"/>
        </w:rPr>
        <w:t xml:space="preserve">a significantly (p &lt; 0.001) higher maximal ankle plantarflexion moment (Pre: 116.3 </w:t>
      </w:r>
      <w:r w:rsidR="00C311B0" w:rsidRPr="000F6752">
        <w:rPr>
          <w:color w:val="000000" w:themeColor="text1"/>
          <w:lang w:val="en-US"/>
        </w:rPr>
        <w:lastRenderedPageBreak/>
        <w:t>± 30.8 Nm vs. Post 14 weeks: 141.5 ± 30.2 Nm vs. Post 1.5 years: 145.9 ± 30.2 Nm) and significantly (p &lt; 0.001) increased Achilles tendon stiffness (Pre: 488.4 ± 136.9 N·mm</w:t>
      </w:r>
      <w:r w:rsidR="00C311B0" w:rsidRPr="000F6752">
        <w:rPr>
          <w:color w:val="000000" w:themeColor="text1"/>
          <w:vertAlign w:val="superscript"/>
          <w:lang w:val="en-US"/>
        </w:rPr>
        <w:t>-1</w:t>
      </w:r>
      <w:r w:rsidR="00C311B0" w:rsidRPr="000F6752">
        <w:rPr>
          <w:color w:val="000000" w:themeColor="text1"/>
          <w:lang w:val="en-US"/>
        </w:rPr>
        <w:t xml:space="preserve"> vs. Post 14 weeks: 598.2 ± 141.2 N</w:t>
      </w:r>
      <w:r w:rsidR="00C311B0" w:rsidRPr="000F6752">
        <w:rPr>
          <w:color w:val="000000" w:themeColor="text1"/>
          <w:szCs w:val="24"/>
          <w:lang w:val="en-US"/>
        </w:rPr>
        <w:t>·mm</w:t>
      </w:r>
      <w:r w:rsidR="00C311B0" w:rsidRPr="000F6752">
        <w:rPr>
          <w:color w:val="000000" w:themeColor="text1"/>
          <w:szCs w:val="24"/>
          <w:vertAlign w:val="superscript"/>
          <w:lang w:val="en-US"/>
        </w:rPr>
        <w:t>-1</w:t>
      </w:r>
      <w:r w:rsidR="00C311B0" w:rsidRPr="000F6752">
        <w:rPr>
          <w:color w:val="000000" w:themeColor="text1"/>
          <w:szCs w:val="24"/>
          <w:lang w:val="en-US"/>
        </w:rPr>
        <w:t xml:space="preserve"> </w:t>
      </w:r>
      <w:r w:rsidR="00C311B0" w:rsidRPr="000F6752">
        <w:rPr>
          <w:color w:val="000000" w:themeColor="text1"/>
          <w:lang w:val="en-US"/>
        </w:rPr>
        <w:t>vs. Post 1.5 years: 637.1 ± 183.2 N</w:t>
      </w:r>
      <w:r w:rsidR="00C311B0" w:rsidRPr="000F6752">
        <w:rPr>
          <w:color w:val="000000" w:themeColor="text1"/>
          <w:szCs w:val="24"/>
          <w:lang w:val="en-US"/>
        </w:rPr>
        <w:t>·mm</w:t>
      </w:r>
      <w:r w:rsidR="00C311B0" w:rsidRPr="000F6752">
        <w:rPr>
          <w:color w:val="000000" w:themeColor="text1"/>
          <w:szCs w:val="24"/>
          <w:vertAlign w:val="superscript"/>
          <w:lang w:val="en-US"/>
        </w:rPr>
        <w:t>-1</w:t>
      </w:r>
      <w:r w:rsidR="00C311B0" w:rsidRPr="000F6752">
        <w:rPr>
          <w:color w:val="000000" w:themeColor="text1"/>
          <w:lang w:val="en-US"/>
        </w:rPr>
        <w:t>) after post 14 weeks and post 1.5 years exercise when compared with baseline values.</w:t>
      </w:r>
      <w:r w:rsidR="00A83231" w:rsidRPr="000F6752">
        <w:rPr>
          <w:color w:val="000000" w:themeColor="text1"/>
          <w:lang w:val="en-US"/>
        </w:rPr>
        <w:t xml:space="preserve"> </w:t>
      </w:r>
      <w:r w:rsidRPr="000F6752">
        <w:rPr>
          <w:color w:val="000000" w:themeColor="text1"/>
          <w:lang w:val="en-US"/>
        </w:rPr>
        <w:t xml:space="preserve">Furthermore, </w:t>
      </w:r>
      <w:r w:rsidR="001F1815" w:rsidRPr="000F6752">
        <w:rPr>
          <w:color w:val="000000" w:themeColor="text1"/>
          <w:lang w:val="en-US"/>
        </w:rPr>
        <w:t xml:space="preserve">a subject group × time interaction was revealed for each </w:t>
      </w:r>
      <w:r w:rsidR="007E35B1" w:rsidRPr="000F6752">
        <w:rPr>
          <w:color w:val="000000" w:themeColor="text1"/>
          <w:lang w:val="en-US"/>
        </w:rPr>
        <w:t xml:space="preserve">analyzed </w:t>
      </w:r>
      <w:r w:rsidR="001F1815" w:rsidRPr="000F6752">
        <w:rPr>
          <w:color w:val="000000" w:themeColor="text1"/>
          <w:lang w:val="en-US"/>
        </w:rPr>
        <w:t xml:space="preserve">function </w:t>
      </w:r>
      <w:r w:rsidR="007E35B1" w:rsidRPr="000F6752">
        <w:rPr>
          <w:color w:val="000000" w:themeColor="text1"/>
          <w:lang w:val="en-US"/>
        </w:rPr>
        <w:t>from</w:t>
      </w:r>
      <w:r w:rsidR="001F1815" w:rsidRPr="000F6752">
        <w:rPr>
          <w:color w:val="000000" w:themeColor="text1"/>
          <w:lang w:val="en-US"/>
        </w:rPr>
        <w:t xml:space="preserve"> the </w:t>
      </w:r>
      <w:r w:rsidR="007E35B1" w:rsidRPr="000F6752">
        <w:rPr>
          <w:color w:val="000000" w:themeColor="text1"/>
          <w:lang w:val="en-US"/>
        </w:rPr>
        <w:t xml:space="preserve">TS specific </w:t>
      </w:r>
      <w:r w:rsidR="001F1815" w:rsidRPr="000F6752">
        <w:rPr>
          <w:color w:val="000000" w:themeColor="text1"/>
          <w:lang w:val="en-US"/>
        </w:rPr>
        <w:t xml:space="preserve">motor skill </w:t>
      </w:r>
      <w:r w:rsidR="007E35B1" w:rsidRPr="000F6752">
        <w:rPr>
          <w:color w:val="000000" w:themeColor="text1"/>
          <w:lang w:val="en-US"/>
        </w:rPr>
        <w:t>training</w:t>
      </w:r>
      <w:r w:rsidR="00C442DF" w:rsidRPr="000F6752">
        <w:rPr>
          <w:color w:val="000000" w:themeColor="text1"/>
          <w:lang w:val="en-US"/>
        </w:rPr>
        <w:t xml:space="preserve"> </w:t>
      </w:r>
      <w:r w:rsidR="00C442DF" w:rsidRPr="000F6752">
        <w:rPr>
          <w:color w:val="000000" w:themeColor="text1"/>
          <w:szCs w:val="24"/>
          <w:lang w:val="en-US"/>
        </w:rPr>
        <w:t>(</w:t>
      </w:r>
      <w:r w:rsidR="000B1061" w:rsidRPr="000F6752">
        <w:rPr>
          <w:color w:val="000000" w:themeColor="text1"/>
          <w:szCs w:val="24"/>
          <w:lang w:val="en-US"/>
        </w:rPr>
        <w:t xml:space="preserve">6.70 </w:t>
      </w:r>
      <w:r w:rsidR="001E5525" w:rsidRPr="000F6752">
        <w:rPr>
          <w:color w:val="000000" w:themeColor="text1"/>
          <w:lang w:val="en-US"/>
        </w:rPr>
        <w:t xml:space="preserve">≤ </w:t>
      </w:r>
      <w:r w:rsidR="000B1061" w:rsidRPr="000F6752">
        <w:rPr>
          <w:color w:val="000000" w:themeColor="text1"/>
          <w:lang w:val="en-US"/>
        </w:rPr>
        <w:t>F</w:t>
      </w:r>
      <w:r w:rsidR="001E5525" w:rsidRPr="000F6752">
        <w:rPr>
          <w:color w:val="000000" w:themeColor="text1"/>
          <w:lang w:val="en-US"/>
        </w:rPr>
        <w:t xml:space="preserve"> </w:t>
      </w:r>
      <w:r w:rsidR="000B1061" w:rsidRPr="000F6752">
        <w:rPr>
          <w:color w:val="000000" w:themeColor="text1"/>
          <w:lang w:val="en-US"/>
        </w:rPr>
        <w:t>(2,</w:t>
      </w:r>
      <w:r w:rsidR="001E5525" w:rsidRPr="000F6752">
        <w:rPr>
          <w:color w:val="000000" w:themeColor="text1"/>
          <w:lang w:val="en-US"/>
        </w:rPr>
        <w:t xml:space="preserve"> </w:t>
      </w:r>
      <w:r w:rsidR="000B1061" w:rsidRPr="000F6752">
        <w:rPr>
          <w:color w:val="000000" w:themeColor="text1"/>
          <w:lang w:val="en-US"/>
        </w:rPr>
        <w:t>46) ≤ 28.27</w:t>
      </w:r>
      <w:r w:rsidR="00C442DF" w:rsidRPr="000F6752">
        <w:rPr>
          <w:color w:val="000000" w:themeColor="text1"/>
          <w:lang w:val="en-US"/>
        </w:rPr>
        <w:t>, p &lt; 0.0</w:t>
      </w:r>
      <w:r w:rsidR="002B2936">
        <w:rPr>
          <w:color w:val="000000" w:themeColor="text1"/>
          <w:lang w:val="en-US"/>
        </w:rPr>
        <w:t>5</w:t>
      </w:r>
      <w:r w:rsidR="00C442DF" w:rsidRPr="000F6752">
        <w:rPr>
          <w:color w:val="000000" w:themeColor="text1"/>
          <w:szCs w:val="24"/>
          <w:lang w:val="en-US"/>
        </w:rPr>
        <w:t>)</w:t>
      </w:r>
      <w:r w:rsidR="007E35B1" w:rsidRPr="000F6752">
        <w:rPr>
          <w:color w:val="000000" w:themeColor="text1"/>
          <w:szCs w:val="24"/>
          <w:lang w:val="en-US"/>
        </w:rPr>
        <w:t xml:space="preserve">. The following </w:t>
      </w:r>
      <w:r w:rsidR="007E35B1" w:rsidRPr="000F6752">
        <w:rPr>
          <w:i/>
          <w:color w:val="000000" w:themeColor="text1"/>
          <w:lang w:val="en-US"/>
        </w:rPr>
        <w:t>post hoc</w:t>
      </w:r>
      <w:r w:rsidR="007E35B1" w:rsidRPr="000F6752">
        <w:rPr>
          <w:color w:val="000000" w:themeColor="text1"/>
          <w:lang w:val="en-US"/>
        </w:rPr>
        <w:t xml:space="preserve"> tests detected an improvement compared to baseline in </w:t>
      </w:r>
      <w:r w:rsidRPr="000F6752">
        <w:rPr>
          <w:color w:val="000000" w:themeColor="text1"/>
          <w:lang w:val="en-US"/>
        </w:rPr>
        <w:t xml:space="preserve">Post 14 weeks and Post 1.5 years measurements in the </w:t>
      </w:r>
      <w:r w:rsidRPr="000F6752">
        <w:rPr>
          <w:color w:val="000000" w:themeColor="text1"/>
          <w:szCs w:val="24"/>
          <w:lang w:val="en-US"/>
        </w:rPr>
        <w:t>TS specific motor skill performance,</w:t>
      </w:r>
      <w:r w:rsidRPr="000F6752">
        <w:rPr>
          <w:color w:val="000000" w:themeColor="text1"/>
          <w:lang w:val="en-US"/>
        </w:rPr>
        <w:t xml:space="preserve"> were the </w:t>
      </w:r>
      <w:r w:rsidR="006B492D" w:rsidRPr="000F6752">
        <w:rPr>
          <w:color w:val="000000" w:themeColor="text1"/>
          <w:lang w:val="en-US"/>
        </w:rPr>
        <w:t>GAIT+NM</w:t>
      </w:r>
      <w:r w:rsidR="006B492D" w:rsidRPr="000F6752">
        <w:rPr>
          <w:color w:val="000000" w:themeColor="text1"/>
          <w:vertAlign w:val="subscript"/>
          <w:lang w:val="en-US"/>
        </w:rPr>
        <w:t>1.5y</w:t>
      </w:r>
      <w:r w:rsidRPr="000F6752">
        <w:rPr>
          <w:color w:val="000000" w:themeColor="text1"/>
          <w:vertAlign w:val="subscript"/>
          <w:lang w:val="en-US"/>
        </w:rPr>
        <w:t xml:space="preserve"> </w:t>
      </w:r>
      <w:r w:rsidRPr="000F6752">
        <w:rPr>
          <w:color w:val="000000" w:themeColor="text1"/>
          <w:lang w:val="en-US"/>
        </w:rPr>
        <w:t xml:space="preserve">group showed significantly </w:t>
      </w:r>
      <w:r w:rsidR="00AC7357" w:rsidRPr="00C827B9">
        <w:rPr>
          <w:color w:val="000000"/>
          <w:szCs w:val="24"/>
          <w:lang w:val="en-US"/>
        </w:rPr>
        <w:t xml:space="preserve">(p &lt; 0.05) </w:t>
      </w:r>
      <w:r w:rsidRPr="000F6752">
        <w:rPr>
          <w:color w:val="000000" w:themeColor="text1"/>
          <w:lang w:val="en-US"/>
        </w:rPr>
        <w:t xml:space="preserve">lower relative mean deviation values </w:t>
      </w:r>
      <w:r w:rsidRPr="000F6752">
        <w:rPr>
          <w:color w:val="000000" w:themeColor="text1"/>
          <w:szCs w:val="24"/>
          <w:lang w:val="en-US"/>
        </w:rPr>
        <w:t>in comparison to baseline in all four analyzed functions and velocities (</w:t>
      </w:r>
      <w:r w:rsidRPr="000F6752">
        <w:rPr>
          <w:color w:val="000000" w:themeColor="text1"/>
          <w:lang w:val="en-US"/>
        </w:rPr>
        <w:t xml:space="preserve">slow: on average over all functions Pre 4.1 ± 2.0 % vs. Post 14 weeks 1.1 ± 0.4 % vs. Post 1.5 years 1.0 ± 0.3 %; fast: Pre 4.5 ± 1.8 % vs. Post 14 weeks 1.7 ± 0.4 % vs. Post 1.5 years 1.6 ± 0.4 %; </w:t>
      </w:r>
      <w:r w:rsidR="00C22AD7" w:rsidRPr="000F6752">
        <w:rPr>
          <w:color w:val="000000" w:themeColor="text1"/>
          <w:lang w:val="en-US"/>
        </w:rPr>
        <w:t xml:space="preserve">Table 1 and Fig. </w:t>
      </w:r>
      <w:r w:rsidR="00C7679A" w:rsidRPr="000F6752">
        <w:rPr>
          <w:color w:val="000000" w:themeColor="text1"/>
          <w:lang w:val="en-US"/>
        </w:rPr>
        <w:t>4</w:t>
      </w:r>
      <w:r w:rsidRPr="000F6752">
        <w:rPr>
          <w:color w:val="000000" w:themeColor="text1"/>
          <w:lang w:val="en-US"/>
        </w:rPr>
        <w:t xml:space="preserve">). However, the </w:t>
      </w:r>
      <w:r w:rsidRPr="000F6752">
        <w:rPr>
          <w:i/>
          <w:color w:val="000000" w:themeColor="text1"/>
          <w:lang w:val="en-US"/>
        </w:rPr>
        <w:t>post hoc</w:t>
      </w:r>
      <w:r w:rsidRPr="000F6752">
        <w:rPr>
          <w:color w:val="000000" w:themeColor="text1"/>
          <w:lang w:val="en-US"/>
        </w:rPr>
        <w:t xml:space="preserve"> comparisons did not show any differences in the TS muscle strength, </w:t>
      </w:r>
      <w:r w:rsidR="00023115" w:rsidRPr="000F6752">
        <w:rPr>
          <w:color w:val="000000" w:themeColor="text1"/>
          <w:lang w:val="en-US"/>
        </w:rPr>
        <w:t>Achilles tendon</w:t>
      </w:r>
      <w:r w:rsidR="00C54D79" w:rsidRPr="000F6752">
        <w:rPr>
          <w:color w:val="000000" w:themeColor="text1"/>
          <w:lang w:val="en-US"/>
        </w:rPr>
        <w:t xml:space="preserve"> </w:t>
      </w:r>
      <w:r w:rsidRPr="000F6752">
        <w:rPr>
          <w:color w:val="000000" w:themeColor="text1"/>
          <w:lang w:val="en-US"/>
        </w:rPr>
        <w:t>stiffness and TS specific motor skill performance values between the Post 14 weeks and Post 1.5</w:t>
      </w:r>
      <w:r w:rsidR="00D86E54" w:rsidRPr="000F6752">
        <w:rPr>
          <w:color w:val="000000" w:themeColor="text1"/>
          <w:lang w:val="en-US"/>
        </w:rPr>
        <w:t xml:space="preserve"> </w:t>
      </w:r>
      <w:r w:rsidRPr="000F6752">
        <w:rPr>
          <w:color w:val="000000" w:themeColor="text1"/>
          <w:lang w:val="en-US"/>
        </w:rPr>
        <w:t>years measurement time points, which indicates a maintenance of, rather than further improvements in the analyzed parameters.</w:t>
      </w:r>
    </w:p>
    <w:p w14:paraId="33B08A73" w14:textId="77777777" w:rsidR="00536006" w:rsidRPr="000F6752" w:rsidRDefault="00536006" w:rsidP="00536006">
      <w:pPr>
        <w:autoSpaceDE w:val="0"/>
        <w:autoSpaceDN w:val="0"/>
        <w:adjustRightInd w:val="0"/>
        <w:spacing w:after="0"/>
        <w:contextualSpacing/>
        <w:jc w:val="both"/>
        <w:rPr>
          <w:color w:val="000000" w:themeColor="text1"/>
          <w:lang w:val="en-US"/>
        </w:rPr>
      </w:pPr>
    </w:p>
    <w:p w14:paraId="16BC3B4A" w14:textId="17AAAF23" w:rsidR="00536006" w:rsidRPr="000F6752" w:rsidRDefault="00536006" w:rsidP="00536006">
      <w:pPr>
        <w:autoSpaceDE w:val="0"/>
        <w:autoSpaceDN w:val="0"/>
        <w:adjustRightInd w:val="0"/>
        <w:spacing w:after="0"/>
        <w:contextualSpacing/>
        <w:jc w:val="both"/>
        <w:rPr>
          <w:b/>
          <w:color w:val="000000" w:themeColor="text1"/>
          <w:lang w:val="en-US"/>
        </w:rPr>
      </w:pPr>
      <w:r w:rsidRPr="000F6752">
        <w:rPr>
          <w:b/>
          <w:color w:val="000000" w:themeColor="text1"/>
          <w:lang w:val="en-US"/>
        </w:rPr>
        <w:t xml:space="preserve">Insert Figure </w:t>
      </w:r>
      <w:r w:rsidR="00C7679A" w:rsidRPr="000F6752">
        <w:rPr>
          <w:b/>
          <w:color w:val="000000" w:themeColor="text1"/>
          <w:lang w:val="en-US"/>
        </w:rPr>
        <w:t>4</w:t>
      </w:r>
    </w:p>
    <w:p w14:paraId="4E3B53BC" w14:textId="77777777" w:rsidR="00536006" w:rsidRPr="000F6752" w:rsidRDefault="00536006" w:rsidP="00536006">
      <w:pPr>
        <w:autoSpaceDE w:val="0"/>
        <w:autoSpaceDN w:val="0"/>
        <w:adjustRightInd w:val="0"/>
        <w:spacing w:after="0"/>
        <w:contextualSpacing/>
        <w:jc w:val="both"/>
        <w:rPr>
          <w:color w:val="000000" w:themeColor="text1"/>
          <w:lang w:val="en-US"/>
        </w:rPr>
      </w:pPr>
    </w:p>
    <w:p w14:paraId="55082292" w14:textId="596CB915" w:rsidR="00536006" w:rsidRPr="000F6752" w:rsidRDefault="00536006" w:rsidP="00536006">
      <w:pPr>
        <w:autoSpaceDE w:val="0"/>
        <w:autoSpaceDN w:val="0"/>
        <w:adjustRightInd w:val="0"/>
        <w:spacing w:after="0"/>
        <w:contextualSpacing/>
        <w:jc w:val="both"/>
        <w:rPr>
          <w:color w:val="000000" w:themeColor="text1"/>
          <w:szCs w:val="24"/>
          <w:lang w:val="en-US"/>
        </w:rPr>
      </w:pPr>
      <w:r w:rsidRPr="000F6752">
        <w:rPr>
          <w:color w:val="000000" w:themeColor="text1"/>
          <w:lang w:val="en-US"/>
        </w:rPr>
        <w:t xml:space="preserve">The </w:t>
      </w:r>
      <w:r w:rsidR="00861E05" w:rsidRPr="000F6752">
        <w:rPr>
          <w:color w:val="000000" w:themeColor="text1"/>
          <w:lang w:val="en-US"/>
        </w:rPr>
        <w:t>GAIT</w:t>
      </w:r>
      <w:r w:rsidRPr="000F6752">
        <w:rPr>
          <w:color w:val="000000" w:themeColor="text1"/>
          <w:lang w:val="en-US"/>
        </w:rPr>
        <w:t xml:space="preserve"> group, who experienced only the two single sessions of perturbations, did not demonstrate any statistically significant differences in maximal ankle plantarflexion moment (Pre: 117.5 ± 28.6 Nm vs. Post 14 weeks: 124.3 ± 29.5 Nm vs. Post 1.5 years: 126.9 ± 28.9 Nm) and </w:t>
      </w:r>
      <w:r w:rsidR="00023115" w:rsidRPr="000F6752">
        <w:rPr>
          <w:color w:val="000000" w:themeColor="text1"/>
          <w:lang w:val="en-US"/>
        </w:rPr>
        <w:t>Achilles tendon</w:t>
      </w:r>
      <w:r w:rsidRPr="000F6752">
        <w:rPr>
          <w:color w:val="000000" w:themeColor="text1"/>
          <w:lang w:val="en-US"/>
        </w:rPr>
        <w:t xml:space="preserve"> stiffness (Pre: 499.3 ± 121.0 N</w:t>
      </w:r>
      <w:r w:rsidRPr="000F6752">
        <w:rPr>
          <w:color w:val="000000" w:themeColor="text1"/>
          <w:szCs w:val="24"/>
          <w:lang w:val="en-US"/>
        </w:rPr>
        <w:t>·mm</w:t>
      </w:r>
      <w:r w:rsidRPr="000F6752">
        <w:rPr>
          <w:color w:val="000000" w:themeColor="text1"/>
          <w:szCs w:val="24"/>
          <w:vertAlign w:val="superscript"/>
          <w:lang w:val="en-US"/>
        </w:rPr>
        <w:t>-1</w:t>
      </w:r>
      <w:r w:rsidRPr="000F6752">
        <w:rPr>
          <w:color w:val="000000" w:themeColor="text1"/>
          <w:lang w:val="en-US"/>
        </w:rPr>
        <w:t xml:space="preserve"> vs. Post 14 weeks: 463.3 ± 148.2 N</w:t>
      </w:r>
      <w:r w:rsidRPr="000F6752">
        <w:rPr>
          <w:color w:val="000000" w:themeColor="text1"/>
          <w:szCs w:val="24"/>
          <w:lang w:val="en-US"/>
        </w:rPr>
        <w:t>·mm</w:t>
      </w:r>
      <w:r w:rsidRPr="000F6752">
        <w:rPr>
          <w:color w:val="000000" w:themeColor="text1"/>
          <w:szCs w:val="24"/>
          <w:vertAlign w:val="superscript"/>
          <w:lang w:val="en-US"/>
        </w:rPr>
        <w:t>-1</w:t>
      </w:r>
      <w:r w:rsidRPr="000F6752">
        <w:rPr>
          <w:color w:val="000000" w:themeColor="text1"/>
          <w:lang w:val="en-US"/>
        </w:rPr>
        <w:t xml:space="preserve"> vs. Post 1.5 years: 466.1 ± 130.8 N</w:t>
      </w:r>
      <w:r w:rsidRPr="000F6752">
        <w:rPr>
          <w:color w:val="000000" w:themeColor="text1"/>
          <w:szCs w:val="24"/>
          <w:lang w:val="en-US"/>
        </w:rPr>
        <w:t>·mm</w:t>
      </w:r>
      <w:r w:rsidRPr="000F6752">
        <w:rPr>
          <w:color w:val="000000" w:themeColor="text1"/>
          <w:szCs w:val="24"/>
          <w:vertAlign w:val="superscript"/>
          <w:lang w:val="en-US"/>
        </w:rPr>
        <w:t>-1</w:t>
      </w:r>
      <w:r w:rsidRPr="000F6752">
        <w:rPr>
          <w:color w:val="000000" w:themeColor="text1"/>
          <w:lang w:val="en-US"/>
        </w:rPr>
        <w:t xml:space="preserve">) between all three measurement time points. In the </w:t>
      </w:r>
      <w:r w:rsidRPr="000F6752">
        <w:rPr>
          <w:color w:val="000000" w:themeColor="text1"/>
          <w:lang w:val="en-US"/>
        </w:rPr>
        <w:lastRenderedPageBreak/>
        <w:t xml:space="preserve">baseline (Pre) measurement no statistical differences in maximal ankle plantarflexion moment and </w:t>
      </w:r>
      <w:r w:rsidR="00023115" w:rsidRPr="000F6752">
        <w:rPr>
          <w:color w:val="000000" w:themeColor="text1"/>
          <w:lang w:val="en-US"/>
        </w:rPr>
        <w:t>Achilles tendon</w:t>
      </w:r>
      <w:r w:rsidRPr="000F6752">
        <w:rPr>
          <w:color w:val="000000" w:themeColor="text1"/>
          <w:lang w:val="en-US"/>
        </w:rPr>
        <w:t xml:space="preserve"> stiffness were found between the subject groups (</w:t>
      </w:r>
      <w:r w:rsidR="00861E05" w:rsidRPr="000F6752">
        <w:rPr>
          <w:color w:val="000000" w:themeColor="text1"/>
          <w:lang w:val="en-US"/>
        </w:rPr>
        <w:t>GAIT</w:t>
      </w:r>
      <w:r w:rsidRPr="000F6752">
        <w:rPr>
          <w:color w:val="000000" w:themeColor="text1"/>
          <w:lang w:val="en-US"/>
        </w:rPr>
        <w:t xml:space="preserve">, </w:t>
      </w:r>
      <w:r w:rsidR="006842F8" w:rsidRPr="000F6752">
        <w:rPr>
          <w:color w:val="000000" w:themeColor="text1"/>
          <w:lang w:val="en-US"/>
        </w:rPr>
        <w:t>GAIT+NM</w:t>
      </w:r>
      <w:r w:rsidR="006842F8" w:rsidRPr="000F6752">
        <w:rPr>
          <w:color w:val="000000" w:themeColor="text1"/>
          <w:vertAlign w:val="subscript"/>
          <w:lang w:val="en-US"/>
        </w:rPr>
        <w:t>14w</w:t>
      </w:r>
      <w:r w:rsidRPr="000F6752">
        <w:rPr>
          <w:color w:val="000000" w:themeColor="text1"/>
          <w:lang w:val="en-US"/>
        </w:rPr>
        <w:t xml:space="preserve"> and </w:t>
      </w:r>
      <w:r w:rsidR="006B492D" w:rsidRPr="000F6752">
        <w:rPr>
          <w:color w:val="000000" w:themeColor="text1"/>
          <w:lang w:val="en-US"/>
        </w:rPr>
        <w:t>GAIT+NM</w:t>
      </w:r>
      <w:r w:rsidR="006B492D" w:rsidRPr="000F6752">
        <w:rPr>
          <w:color w:val="000000" w:themeColor="text1"/>
          <w:vertAlign w:val="subscript"/>
          <w:lang w:val="en-US"/>
        </w:rPr>
        <w:t>1.5y</w:t>
      </w:r>
      <w:r w:rsidRPr="000F6752">
        <w:rPr>
          <w:color w:val="000000" w:themeColor="text1"/>
          <w:lang w:val="en-US"/>
        </w:rPr>
        <w:t xml:space="preserve">). Similarly, the </w:t>
      </w:r>
      <w:r w:rsidR="00861E05" w:rsidRPr="000F6752">
        <w:rPr>
          <w:color w:val="000000" w:themeColor="text1"/>
          <w:lang w:val="en-US"/>
        </w:rPr>
        <w:t xml:space="preserve">GAIT </w:t>
      </w:r>
      <w:r w:rsidRPr="000F6752">
        <w:rPr>
          <w:color w:val="000000" w:themeColor="text1"/>
          <w:lang w:val="en-US"/>
        </w:rPr>
        <w:t>group showed no differences over the time points in the TS specific motor skill performance (</w:t>
      </w:r>
      <w:r w:rsidR="005D34D4" w:rsidRPr="000F6752">
        <w:rPr>
          <w:color w:val="000000" w:themeColor="text1"/>
          <w:lang w:val="en-US"/>
        </w:rPr>
        <w:t>relative mean deviation</w:t>
      </w:r>
      <w:r w:rsidRPr="000F6752">
        <w:rPr>
          <w:color w:val="000000" w:themeColor="text1"/>
          <w:lang w:val="en-US"/>
        </w:rPr>
        <w:t xml:space="preserve">) in either </w:t>
      </w:r>
      <w:r w:rsidR="00401C03" w:rsidRPr="000F6752">
        <w:rPr>
          <w:color w:val="000000" w:themeColor="text1"/>
          <w:lang w:val="en-US"/>
        </w:rPr>
        <w:t xml:space="preserve">cursor </w:t>
      </w:r>
      <w:r w:rsidR="0073142B" w:rsidRPr="000F6752">
        <w:rPr>
          <w:color w:val="000000" w:themeColor="text1"/>
          <w:lang w:val="en-US"/>
        </w:rPr>
        <w:t xml:space="preserve">movement </w:t>
      </w:r>
      <w:r w:rsidRPr="000F6752">
        <w:rPr>
          <w:color w:val="000000" w:themeColor="text1"/>
          <w:lang w:val="en-US"/>
        </w:rPr>
        <w:t xml:space="preserve">for the analyzed functions </w:t>
      </w:r>
      <w:r w:rsidRPr="000F6752">
        <w:rPr>
          <w:color w:val="000000" w:themeColor="text1"/>
          <w:szCs w:val="24"/>
          <w:lang w:val="en-US"/>
        </w:rPr>
        <w:t>(</w:t>
      </w:r>
      <w:r w:rsidRPr="000F6752">
        <w:rPr>
          <w:color w:val="000000" w:themeColor="text1"/>
          <w:lang w:val="en-US"/>
        </w:rPr>
        <w:t xml:space="preserve">slow: on average over all functions Pre 3.0 ± 1.0 % vs. Post 14 weeks 2.6 ± 1.0 % vs. Post 1.5 years 2.5 ± 0.8 %; fast: Pre 3.5 ± 0.9 % vs. Post 14 weeks 3.2 ± 0.9 % vs. Post 1.5 years 3.1 ± 0.7 %; </w:t>
      </w:r>
      <w:r w:rsidR="00C22AD7" w:rsidRPr="000F6752">
        <w:rPr>
          <w:color w:val="000000" w:themeColor="text1"/>
          <w:lang w:val="en-US"/>
        </w:rPr>
        <w:t xml:space="preserve">Table 1 and Fig. </w:t>
      </w:r>
      <w:r w:rsidR="00C7679A" w:rsidRPr="000F6752">
        <w:rPr>
          <w:color w:val="000000" w:themeColor="text1"/>
          <w:lang w:val="en-US"/>
        </w:rPr>
        <w:t>4</w:t>
      </w:r>
      <w:r w:rsidRPr="000F6752">
        <w:rPr>
          <w:color w:val="000000" w:themeColor="text1"/>
          <w:lang w:val="en-US"/>
        </w:rPr>
        <w:t>)</w:t>
      </w:r>
      <w:r w:rsidRPr="000F6752">
        <w:rPr>
          <w:color w:val="000000" w:themeColor="text1"/>
          <w:szCs w:val="24"/>
          <w:lang w:val="en-US"/>
        </w:rPr>
        <w:t xml:space="preserve">. </w:t>
      </w:r>
      <w:r w:rsidR="00DD25DB" w:rsidRPr="000F6752">
        <w:rPr>
          <w:color w:val="000000" w:themeColor="text1"/>
          <w:szCs w:val="24"/>
          <w:lang w:val="en-US"/>
        </w:rPr>
        <w:t xml:space="preserve">Further, </w:t>
      </w:r>
      <w:r w:rsidR="00E9122A" w:rsidRPr="000F6752">
        <w:rPr>
          <w:color w:val="000000" w:themeColor="text1"/>
          <w:szCs w:val="24"/>
          <w:lang w:val="en-US"/>
        </w:rPr>
        <w:t>in the baseline (Pre) measurement</w:t>
      </w:r>
      <w:r w:rsidR="00D61E95" w:rsidRPr="000F6752">
        <w:rPr>
          <w:color w:val="000000" w:themeColor="text1"/>
          <w:szCs w:val="24"/>
          <w:lang w:val="en-US"/>
        </w:rPr>
        <w:t>,</w:t>
      </w:r>
      <w:r w:rsidR="00E9122A" w:rsidRPr="000F6752">
        <w:rPr>
          <w:color w:val="000000" w:themeColor="text1"/>
          <w:szCs w:val="24"/>
          <w:lang w:val="en-US"/>
        </w:rPr>
        <w:t xml:space="preserve"> no statistical differences in </w:t>
      </w:r>
      <w:r w:rsidR="00E9122A" w:rsidRPr="000F6752">
        <w:rPr>
          <w:color w:val="000000" w:themeColor="text1"/>
          <w:lang w:val="en-US"/>
        </w:rPr>
        <w:t xml:space="preserve">relative mean deviation for </w:t>
      </w:r>
      <w:r w:rsidR="003F372F" w:rsidRPr="000F6752">
        <w:rPr>
          <w:color w:val="000000" w:themeColor="text1"/>
          <w:lang w:val="en-US"/>
        </w:rPr>
        <w:t>the functions Funct</w:t>
      </w:r>
      <w:r w:rsidR="003F372F" w:rsidRPr="000F6752">
        <w:rPr>
          <w:color w:val="000000" w:themeColor="text1"/>
          <w:vertAlign w:val="subscript"/>
          <w:lang w:val="en-US"/>
        </w:rPr>
        <w:t>CT1</w:t>
      </w:r>
      <w:r w:rsidR="003F372F" w:rsidRPr="000F6752">
        <w:rPr>
          <w:color w:val="000000" w:themeColor="text1"/>
          <w:lang w:val="en-US"/>
        </w:rPr>
        <w:t>, Funct</w:t>
      </w:r>
      <w:r w:rsidR="003F372F" w:rsidRPr="000F6752">
        <w:rPr>
          <w:color w:val="000000" w:themeColor="text1"/>
          <w:vertAlign w:val="subscript"/>
          <w:lang w:val="en-US"/>
        </w:rPr>
        <w:t>CT2</w:t>
      </w:r>
      <w:r w:rsidR="003F372F" w:rsidRPr="000F6752">
        <w:rPr>
          <w:color w:val="000000" w:themeColor="text1"/>
          <w:szCs w:val="24"/>
          <w:lang w:val="en-US"/>
        </w:rPr>
        <w:t xml:space="preserve"> and </w:t>
      </w:r>
      <w:r w:rsidR="003F372F" w:rsidRPr="000F6752">
        <w:rPr>
          <w:color w:val="000000" w:themeColor="text1"/>
          <w:lang w:val="en-US"/>
        </w:rPr>
        <w:t>Funct</w:t>
      </w:r>
      <w:r w:rsidR="003F372F" w:rsidRPr="000F6752">
        <w:rPr>
          <w:color w:val="000000" w:themeColor="text1"/>
          <w:vertAlign w:val="subscript"/>
          <w:lang w:val="en-US"/>
        </w:rPr>
        <w:t>TR1</w:t>
      </w:r>
      <w:r w:rsidR="003F372F" w:rsidRPr="000F6752">
        <w:rPr>
          <w:color w:val="000000" w:themeColor="text1"/>
          <w:szCs w:val="24"/>
          <w:lang w:val="en-US"/>
        </w:rPr>
        <w:t xml:space="preserve"> w</w:t>
      </w:r>
      <w:r w:rsidR="00E9122A" w:rsidRPr="000F6752">
        <w:rPr>
          <w:color w:val="000000" w:themeColor="text1"/>
          <w:szCs w:val="24"/>
          <w:lang w:val="en-US"/>
        </w:rPr>
        <w:t xml:space="preserve">ere found </w:t>
      </w:r>
      <w:r w:rsidR="003F372F" w:rsidRPr="000F6752">
        <w:rPr>
          <w:color w:val="000000" w:themeColor="text1"/>
          <w:szCs w:val="24"/>
          <w:lang w:val="en-US"/>
        </w:rPr>
        <w:t xml:space="preserve">between the subject groups. However, </w:t>
      </w:r>
      <w:r w:rsidR="00D61E95" w:rsidRPr="000F6752">
        <w:rPr>
          <w:color w:val="000000" w:themeColor="text1"/>
          <w:szCs w:val="24"/>
          <w:lang w:val="en-US"/>
        </w:rPr>
        <w:t xml:space="preserve">the </w:t>
      </w:r>
      <w:r w:rsidR="00861E05" w:rsidRPr="000F6752">
        <w:rPr>
          <w:color w:val="000000" w:themeColor="text1"/>
          <w:lang w:val="en-US"/>
        </w:rPr>
        <w:t>GAIT</w:t>
      </w:r>
      <w:r w:rsidR="003F372F" w:rsidRPr="000F6752">
        <w:rPr>
          <w:color w:val="000000" w:themeColor="text1"/>
          <w:szCs w:val="24"/>
          <w:lang w:val="en-US"/>
        </w:rPr>
        <w:t xml:space="preserve"> group showed significantly </w:t>
      </w:r>
      <w:r w:rsidR="003F372F" w:rsidRPr="000F6752">
        <w:rPr>
          <w:color w:val="000000" w:themeColor="text1"/>
          <w:lang w:val="en-US"/>
        </w:rPr>
        <w:t xml:space="preserve">(p &lt; 0.05) </w:t>
      </w:r>
      <w:r w:rsidR="003F372F" w:rsidRPr="000F6752">
        <w:rPr>
          <w:color w:val="000000" w:themeColor="text1"/>
          <w:szCs w:val="24"/>
          <w:lang w:val="en-US"/>
        </w:rPr>
        <w:t xml:space="preserve">lower </w:t>
      </w:r>
      <w:r w:rsidR="003F372F" w:rsidRPr="000F6752">
        <w:rPr>
          <w:color w:val="000000" w:themeColor="text1"/>
          <w:lang w:val="en-US"/>
        </w:rPr>
        <w:t>relative mean deviation</w:t>
      </w:r>
      <w:r w:rsidR="003F372F" w:rsidRPr="000F6752">
        <w:rPr>
          <w:color w:val="000000" w:themeColor="text1"/>
          <w:szCs w:val="24"/>
          <w:lang w:val="en-US"/>
        </w:rPr>
        <w:t xml:space="preserve"> in </w:t>
      </w:r>
      <w:r w:rsidR="003F372F" w:rsidRPr="000F6752">
        <w:rPr>
          <w:color w:val="000000" w:themeColor="text1"/>
          <w:lang w:val="en-US"/>
        </w:rPr>
        <w:t>Funct</w:t>
      </w:r>
      <w:r w:rsidR="003F372F" w:rsidRPr="000F6752">
        <w:rPr>
          <w:color w:val="000000" w:themeColor="text1"/>
          <w:vertAlign w:val="subscript"/>
          <w:lang w:val="en-US"/>
        </w:rPr>
        <w:t>TR2</w:t>
      </w:r>
      <w:r w:rsidR="003F372F" w:rsidRPr="000F6752">
        <w:rPr>
          <w:color w:val="000000" w:themeColor="text1"/>
          <w:szCs w:val="24"/>
          <w:lang w:val="en-US"/>
        </w:rPr>
        <w:t xml:space="preserve"> at Pre measurement in comparison to the </w:t>
      </w:r>
      <w:r w:rsidR="006842F8" w:rsidRPr="000F6752">
        <w:rPr>
          <w:color w:val="000000" w:themeColor="text1"/>
          <w:lang w:val="en-US"/>
        </w:rPr>
        <w:t>GAIT+NM</w:t>
      </w:r>
      <w:r w:rsidR="006842F8" w:rsidRPr="000F6752">
        <w:rPr>
          <w:color w:val="000000" w:themeColor="text1"/>
          <w:vertAlign w:val="subscript"/>
          <w:lang w:val="en-US"/>
        </w:rPr>
        <w:t>14w</w:t>
      </w:r>
      <w:r w:rsidR="003F372F" w:rsidRPr="000F6752">
        <w:rPr>
          <w:color w:val="000000" w:themeColor="text1"/>
          <w:szCs w:val="24"/>
          <w:lang w:val="en-US"/>
        </w:rPr>
        <w:t xml:space="preserve"> and </w:t>
      </w:r>
      <w:r w:rsidR="006B492D" w:rsidRPr="000F6752">
        <w:rPr>
          <w:color w:val="000000" w:themeColor="text1"/>
          <w:lang w:val="en-US"/>
        </w:rPr>
        <w:t>GAIT+NM</w:t>
      </w:r>
      <w:r w:rsidR="006B492D" w:rsidRPr="000F6752">
        <w:rPr>
          <w:color w:val="000000" w:themeColor="text1"/>
          <w:vertAlign w:val="subscript"/>
          <w:lang w:val="en-US"/>
        </w:rPr>
        <w:t>1.5y</w:t>
      </w:r>
      <w:r w:rsidR="003F372F" w:rsidRPr="000F6752">
        <w:rPr>
          <w:color w:val="000000" w:themeColor="text1"/>
          <w:vertAlign w:val="subscript"/>
          <w:lang w:val="en-US"/>
        </w:rPr>
        <w:t xml:space="preserve"> </w:t>
      </w:r>
      <w:r w:rsidR="003F372F" w:rsidRPr="000F6752">
        <w:rPr>
          <w:color w:val="000000" w:themeColor="text1"/>
          <w:lang w:val="en-US"/>
        </w:rPr>
        <w:t>group.</w:t>
      </w:r>
      <w:r w:rsidR="00D40FC9" w:rsidRPr="000F6752">
        <w:rPr>
          <w:color w:val="000000" w:themeColor="text1"/>
          <w:lang w:val="en-US"/>
        </w:rPr>
        <w:t xml:space="preserve"> In the measurement time points after 14 weeks and after 1.5 years</w:t>
      </w:r>
      <w:r w:rsidR="00D61E95" w:rsidRPr="000F6752">
        <w:rPr>
          <w:color w:val="000000" w:themeColor="text1"/>
          <w:lang w:val="en-US"/>
        </w:rPr>
        <w:t>,</w:t>
      </w:r>
      <w:r w:rsidR="00D40FC9" w:rsidRPr="000F6752">
        <w:rPr>
          <w:color w:val="000000" w:themeColor="text1"/>
          <w:lang w:val="en-US"/>
        </w:rPr>
        <w:t xml:space="preserve"> </w:t>
      </w:r>
      <w:r w:rsidR="005B544E" w:rsidRPr="000F6752">
        <w:rPr>
          <w:color w:val="000000" w:themeColor="text1"/>
          <w:lang w:val="en-US"/>
        </w:rPr>
        <w:t>GAIT+NM</w:t>
      </w:r>
      <w:r w:rsidR="005B544E" w:rsidRPr="000F6752">
        <w:rPr>
          <w:color w:val="000000" w:themeColor="text1"/>
          <w:vertAlign w:val="subscript"/>
          <w:lang w:val="en-US"/>
        </w:rPr>
        <w:t>14w</w:t>
      </w:r>
      <w:r w:rsidR="005B544E" w:rsidRPr="000F6752">
        <w:rPr>
          <w:color w:val="000000" w:themeColor="text1"/>
          <w:szCs w:val="24"/>
          <w:lang w:val="en-US"/>
        </w:rPr>
        <w:t xml:space="preserve"> and </w:t>
      </w:r>
      <w:r w:rsidR="005B544E" w:rsidRPr="000F6752">
        <w:rPr>
          <w:color w:val="000000" w:themeColor="text1"/>
          <w:lang w:val="en-US"/>
        </w:rPr>
        <w:t>GAIT+NM</w:t>
      </w:r>
      <w:r w:rsidR="005B544E" w:rsidRPr="000F6752">
        <w:rPr>
          <w:color w:val="000000" w:themeColor="text1"/>
          <w:vertAlign w:val="subscript"/>
          <w:lang w:val="en-US"/>
        </w:rPr>
        <w:t xml:space="preserve">1.5y </w:t>
      </w:r>
      <w:r w:rsidR="00D40FC9" w:rsidRPr="000F6752">
        <w:rPr>
          <w:color w:val="000000" w:themeColor="text1"/>
          <w:lang w:val="en-US"/>
        </w:rPr>
        <w:t>group</w:t>
      </w:r>
      <w:r w:rsidR="00D61E95" w:rsidRPr="000F6752">
        <w:rPr>
          <w:color w:val="000000" w:themeColor="text1"/>
          <w:lang w:val="en-US"/>
        </w:rPr>
        <w:t>s</w:t>
      </w:r>
      <w:r w:rsidR="00D40FC9" w:rsidRPr="000F6752">
        <w:rPr>
          <w:color w:val="000000" w:themeColor="text1"/>
          <w:lang w:val="en-US"/>
        </w:rPr>
        <w:t xml:space="preserve"> showed significantly</w:t>
      </w:r>
      <w:r w:rsidR="00944D86" w:rsidRPr="000F6752">
        <w:rPr>
          <w:color w:val="000000" w:themeColor="text1"/>
          <w:lang w:val="en-US"/>
        </w:rPr>
        <w:t xml:space="preserve"> (p &lt; 0.05) </w:t>
      </w:r>
      <w:r w:rsidR="00944D86" w:rsidRPr="000F6752">
        <w:rPr>
          <w:color w:val="000000" w:themeColor="text1"/>
          <w:szCs w:val="24"/>
          <w:lang w:val="en-US"/>
        </w:rPr>
        <w:t xml:space="preserve">lower </w:t>
      </w:r>
      <w:r w:rsidR="00944D86" w:rsidRPr="000F6752">
        <w:rPr>
          <w:color w:val="000000" w:themeColor="text1"/>
          <w:lang w:val="en-US"/>
        </w:rPr>
        <w:t>relative mean deviation</w:t>
      </w:r>
      <w:r w:rsidR="00726408" w:rsidRPr="000F6752">
        <w:rPr>
          <w:color w:val="000000" w:themeColor="text1"/>
          <w:lang w:val="en-US"/>
        </w:rPr>
        <w:t xml:space="preserve"> when compared to the </w:t>
      </w:r>
      <w:r w:rsidR="00861E05" w:rsidRPr="000F6752">
        <w:rPr>
          <w:color w:val="000000" w:themeColor="text1"/>
          <w:lang w:val="en-US"/>
        </w:rPr>
        <w:t>GAIT</w:t>
      </w:r>
      <w:r w:rsidR="00726408" w:rsidRPr="000F6752">
        <w:rPr>
          <w:color w:val="000000" w:themeColor="text1"/>
          <w:szCs w:val="24"/>
          <w:lang w:val="en-US"/>
        </w:rPr>
        <w:t xml:space="preserve"> group. </w:t>
      </w:r>
      <w:r w:rsidRPr="000F6752">
        <w:rPr>
          <w:color w:val="000000" w:themeColor="text1"/>
          <w:lang w:val="en-US"/>
        </w:rPr>
        <w:t>There were no significant differences in subjects’ age, body mass and body height (see “</w:t>
      </w:r>
      <w:r w:rsidRPr="000F6752">
        <w:rPr>
          <w:i/>
          <w:color w:val="000000" w:themeColor="text1"/>
          <w:lang w:val="en-US"/>
        </w:rPr>
        <w:t>Participants and experiment design</w:t>
      </w:r>
      <w:r w:rsidRPr="000F6752">
        <w:rPr>
          <w:color w:val="000000" w:themeColor="text1"/>
          <w:lang w:val="en-US"/>
        </w:rPr>
        <w:t xml:space="preserve">”) between the </w:t>
      </w:r>
      <w:r w:rsidR="005B544E" w:rsidRPr="000F6752">
        <w:rPr>
          <w:color w:val="000000" w:themeColor="text1"/>
          <w:lang w:val="en-US"/>
        </w:rPr>
        <w:t>GAIT, GAIT+NM</w:t>
      </w:r>
      <w:r w:rsidR="005B544E" w:rsidRPr="000F6752">
        <w:rPr>
          <w:color w:val="000000" w:themeColor="text1"/>
          <w:vertAlign w:val="subscript"/>
          <w:lang w:val="en-US"/>
        </w:rPr>
        <w:t>14w</w:t>
      </w:r>
      <w:r w:rsidR="005B544E" w:rsidRPr="000F6752">
        <w:rPr>
          <w:color w:val="000000" w:themeColor="text1"/>
          <w:lang w:val="en-US"/>
        </w:rPr>
        <w:t xml:space="preserve"> and GAIT+NM</w:t>
      </w:r>
      <w:r w:rsidR="005B544E" w:rsidRPr="000F6752">
        <w:rPr>
          <w:color w:val="000000" w:themeColor="text1"/>
          <w:vertAlign w:val="subscript"/>
          <w:lang w:val="en-US"/>
        </w:rPr>
        <w:t>1.5y</w:t>
      </w:r>
      <w:r w:rsidRPr="000F6752">
        <w:rPr>
          <w:color w:val="000000" w:themeColor="text1"/>
          <w:lang w:val="en-US"/>
        </w:rPr>
        <w:t xml:space="preserve"> group.</w:t>
      </w:r>
      <w:r w:rsidR="00DD25DB" w:rsidRPr="000F6752">
        <w:rPr>
          <w:color w:val="000000" w:themeColor="text1"/>
          <w:lang w:val="en-US"/>
        </w:rPr>
        <w:t xml:space="preserve"> </w:t>
      </w:r>
    </w:p>
    <w:p w14:paraId="34231B9F" w14:textId="77777777" w:rsidR="00536006" w:rsidRPr="000F6752" w:rsidRDefault="00536006" w:rsidP="00536006">
      <w:pPr>
        <w:autoSpaceDE w:val="0"/>
        <w:autoSpaceDN w:val="0"/>
        <w:adjustRightInd w:val="0"/>
        <w:spacing w:after="0"/>
        <w:contextualSpacing/>
        <w:jc w:val="both"/>
        <w:rPr>
          <w:b/>
          <w:color w:val="000000" w:themeColor="text1"/>
          <w:lang w:val="en-US"/>
        </w:rPr>
      </w:pPr>
    </w:p>
    <w:p w14:paraId="41E781C5" w14:textId="77777777" w:rsidR="00536006" w:rsidRPr="000F6752" w:rsidRDefault="00536006" w:rsidP="00536006">
      <w:pPr>
        <w:pStyle w:val="Heading2"/>
        <w:rPr>
          <w:b w:val="0"/>
          <w:i/>
          <w:color w:val="000000" w:themeColor="text1"/>
          <w:lang w:val="en-US"/>
        </w:rPr>
      </w:pPr>
      <w:r w:rsidRPr="000F6752">
        <w:rPr>
          <w:b w:val="0"/>
          <w:i/>
          <w:color w:val="000000" w:themeColor="text1"/>
          <w:lang w:val="en-US"/>
        </w:rPr>
        <w:t>Changes in dynamic stability</w:t>
      </w:r>
      <w:r w:rsidRPr="000F6752">
        <w:rPr>
          <w:color w:val="000000" w:themeColor="text1"/>
          <w:lang w:val="en-US"/>
        </w:rPr>
        <w:t xml:space="preserve"> </w:t>
      </w:r>
      <w:r w:rsidRPr="000F6752">
        <w:rPr>
          <w:b w:val="0"/>
          <w:i/>
          <w:color w:val="000000" w:themeColor="text1"/>
          <w:lang w:val="en-US"/>
        </w:rPr>
        <w:t>following unexpected gait perturbations</w:t>
      </w:r>
    </w:p>
    <w:p w14:paraId="696A48B1" w14:textId="782CCEF2" w:rsidR="00536006" w:rsidRPr="000F6752" w:rsidRDefault="00536006" w:rsidP="00536006">
      <w:pPr>
        <w:autoSpaceDE w:val="0"/>
        <w:autoSpaceDN w:val="0"/>
        <w:adjustRightInd w:val="0"/>
        <w:spacing w:after="0"/>
        <w:contextualSpacing/>
        <w:jc w:val="both"/>
        <w:rPr>
          <w:color w:val="000000" w:themeColor="text1"/>
          <w:szCs w:val="24"/>
          <w:lang w:val="en-US"/>
        </w:rPr>
      </w:pPr>
      <w:r w:rsidRPr="000F6752">
        <w:rPr>
          <w:color w:val="000000" w:themeColor="text1"/>
          <w:szCs w:val="24"/>
          <w:lang w:val="en-US"/>
        </w:rPr>
        <w:t>Regarding the dynamic stability during treadmill walking, the two-way repeated measures ANOVAs revealed no significant subject group (</w:t>
      </w:r>
      <w:r w:rsidR="005B544E" w:rsidRPr="000F6752">
        <w:rPr>
          <w:color w:val="000000" w:themeColor="text1"/>
          <w:lang w:val="en-US"/>
        </w:rPr>
        <w:t>GAIT, GAIT+NM</w:t>
      </w:r>
      <w:r w:rsidR="005B544E" w:rsidRPr="000F6752">
        <w:rPr>
          <w:color w:val="000000" w:themeColor="text1"/>
          <w:vertAlign w:val="subscript"/>
          <w:lang w:val="en-US"/>
        </w:rPr>
        <w:t>14w</w:t>
      </w:r>
      <w:r w:rsidR="005B544E" w:rsidRPr="000F6752">
        <w:rPr>
          <w:color w:val="000000" w:themeColor="text1"/>
          <w:lang w:val="en-US"/>
        </w:rPr>
        <w:t xml:space="preserve"> and GAIT+NM</w:t>
      </w:r>
      <w:r w:rsidR="005B544E" w:rsidRPr="000F6752">
        <w:rPr>
          <w:color w:val="000000" w:themeColor="text1"/>
          <w:vertAlign w:val="subscript"/>
          <w:lang w:val="en-US"/>
        </w:rPr>
        <w:t>1.5y</w:t>
      </w:r>
      <w:r w:rsidRPr="000F6752">
        <w:rPr>
          <w:color w:val="000000" w:themeColor="text1"/>
          <w:szCs w:val="24"/>
          <w:lang w:val="en-US"/>
        </w:rPr>
        <w:t>) or t</w:t>
      </w:r>
      <w:r w:rsidR="00F64305" w:rsidRPr="000F6752">
        <w:rPr>
          <w:color w:val="000000" w:themeColor="text1"/>
          <w:szCs w:val="24"/>
          <w:lang w:val="en-US"/>
        </w:rPr>
        <w:t>ime point</w:t>
      </w:r>
      <w:r w:rsidRPr="000F6752">
        <w:rPr>
          <w:color w:val="000000" w:themeColor="text1"/>
          <w:szCs w:val="24"/>
          <w:lang w:val="en-US"/>
        </w:rPr>
        <w:t xml:space="preserve"> (Pre, Post 14 weeks and Post 1.5 years) effects for the MoS values during the non-perturbed baseline walking (average value over 12 consecutive steps; Fig. </w:t>
      </w:r>
      <w:r w:rsidR="00C7679A" w:rsidRPr="000F6752">
        <w:rPr>
          <w:color w:val="000000" w:themeColor="text1"/>
          <w:szCs w:val="24"/>
          <w:lang w:val="en-US"/>
        </w:rPr>
        <w:t>5</w:t>
      </w:r>
      <w:r w:rsidRPr="000F6752">
        <w:rPr>
          <w:color w:val="000000" w:themeColor="text1"/>
          <w:szCs w:val="24"/>
          <w:lang w:val="en-US"/>
        </w:rPr>
        <w:t>).</w:t>
      </w:r>
    </w:p>
    <w:p w14:paraId="2D739E3F" w14:textId="77777777" w:rsidR="00C7679A" w:rsidRPr="000F6752" w:rsidRDefault="00C7679A" w:rsidP="00536006">
      <w:pPr>
        <w:autoSpaceDE w:val="0"/>
        <w:autoSpaceDN w:val="0"/>
        <w:adjustRightInd w:val="0"/>
        <w:spacing w:after="0"/>
        <w:contextualSpacing/>
        <w:jc w:val="both"/>
        <w:rPr>
          <w:color w:val="000000" w:themeColor="text1"/>
          <w:lang w:val="en-US"/>
        </w:rPr>
      </w:pPr>
    </w:p>
    <w:p w14:paraId="478A9899" w14:textId="2DAACDA9" w:rsidR="00536006" w:rsidRPr="000F6752" w:rsidRDefault="00536006" w:rsidP="00536006">
      <w:pPr>
        <w:autoSpaceDE w:val="0"/>
        <w:autoSpaceDN w:val="0"/>
        <w:adjustRightInd w:val="0"/>
        <w:spacing w:after="0"/>
        <w:contextualSpacing/>
        <w:jc w:val="both"/>
        <w:rPr>
          <w:b/>
          <w:color w:val="000000" w:themeColor="text1"/>
          <w:lang w:val="en-US"/>
        </w:rPr>
      </w:pPr>
      <w:r w:rsidRPr="000F6752">
        <w:rPr>
          <w:b/>
          <w:color w:val="000000" w:themeColor="text1"/>
          <w:lang w:val="en-US"/>
        </w:rPr>
        <w:t xml:space="preserve">Figure </w:t>
      </w:r>
      <w:r w:rsidR="00FF407B" w:rsidRPr="000F6752">
        <w:rPr>
          <w:b/>
          <w:color w:val="000000" w:themeColor="text1"/>
          <w:lang w:val="en-US"/>
        </w:rPr>
        <w:t>5</w:t>
      </w:r>
    </w:p>
    <w:p w14:paraId="2B0D0AE3" w14:textId="77777777" w:rsidR="00536006" w:rsidRPr="000F6752" w:rsidRDefault="00536006" w:rsidP="00536006">
      <w:pPr>
        <w:autoSpaceDE w:val="0"/>
        <w:autoSpaceDN w:val="0"/>
        <w:adjustRightInd w:val="0"/>
        <w:spacing w:after="0"/>
        <w:contextualSpacing/>
        <w:jc w:val="both"/>
        <w:rPr>
          <w:b/>
          <w:color w:val="000000" w:themeColor="text1"/>
          <w:lang w:val="en-US"/>
        </w:rPr>
      </w:pPr>
    </w:p>
    <w:p w14:paraId="2E67701F" w14:textId="39F2F2A8" w:rsidR="00536006" w:rsidRPr="000F6752" w:rsidRDefault="00536006" w:rsidP="00536006">
      <w:pPr>
        <w:autoSpaceDE w:val="0"/>
        <w:autoSpaceDN w:val="0"/>
        <w:adjustRightInd w:val="0"/>
        <w:spacing w:after="0"/>
        <w:contextualSpacing/>
        <w:jc w:val="both"/>
        <w:rPr>
          <w:color w:val="000000" w:themeColor="text1"/>
          <w:lang w:val="en-US"/>
        </w:rPr>
      </w:pPr>
      <w:r w:rsidRPr="000F6752">
        <w:rPr>
          <w:color w:val="000000" w:themeColor="text1"/>
          <w:szCs w:val="24"/>
          <w:lang w:val="en-US"/>
        </w:rPr>
        <w:t xml:space="preserve">Considering the first 14 weeks of exercise, the analysis of </w:t>
      </w:r>
      <w:r w:rsidR="00D579E1" w:rsidRPr="000F6752">
        <w:rPr>
          <w:color w:val="000000" w:themeColor="text1"/>
          <w:szCs w:val="24"/>
          <w:lang w:val="en-US"/>
        </w:rPr>
        <w:t xml:space="preserve">MoS at </w:t>
      </w:r>
      <w:r w:rsidR="006F468A" w:rsidRPr="000F6752">
        <w:rPr>
          <w:color w:val="000000" w:themeColor="text1"/>
          <w:szCs w:val="24"/>
          <w:lang w:val="en-US"/>
        </w:rPr>
        <w:t xml:space="preserve">TD of </w:t>
      </w:r>
      <w:r w:rsidR="00F8570B" w:rsidRPr="000F6752">
        <w:rPr>
          <w:color w:val="000000" w:themeColor="text1"/>
          <w:szCs w:val="24"/>
          <w:lang w:val="en-US"/>
        </w:rPr>
        <w:t xml:space="preserve">the perturbed and first recovery </w:t>
      </w:r>
      <w:r w:rsidR="001A0310" w:rsidRPr="000F6752">
        <w:rPr>
          <w:color w:val="000000" w:themeColor="text1"/>
          <w:szCs w:val="24"/>
          <w:lang w:val="en-US"/>
        </w:rPr>
        <w:t>step</w:t>
      </w:r>
      <w:r w:rsidR="002D7CCB" w:rsidRPr="000F6752">
        <w:rPr>
          <w:color w:val="000000" w:themeColor="text1"/>
          <w:szCs w:val="24"/>
          <w:lang w:val="en-US"/>
        </w:rPr>
        <w:t>s</w:t>
      </w:r>
      <w:r w:rsidRPr="000F6752">
        <w:rPr>
          <w:color w:val="000000" w:themeColor="text1"/>
          <w:szCs w:val="24"/>
          <w:lang w:val="en-US"/>
        </w:rPr>
        <w:t>, revea</w:t>
      </w:r>
      <w:r w:rsidR="00924FD1" w:rsidRPr="000F6752">
        <w:rPr>
          <w:color w:val="000000" w:themeColor="text1"/>
          <w:szCs w:val="24"/>
          <w:lang w:val="en-US"/>
        </w:rPr>
        <w:t>led a statistically significant</w:t>
      </w:r>
      <w:r w:rsidRPr="000F6752">
        <w:rPr>
          <w:color w:val="000000" w:themeColor="text1"/>
          <w:szCs w:val="24"/>
          <w:lang w:val="en-US"/>
        </w:rPr>
        <w:t xml:space="preserve"> trial</w:t>
      </w:r>
      <w:r w:rsidRPr="000F6752">
        <w:rPr>
          <w:color w:val="000000" w:themeColor="text1"/>
          <w:lang w:val="en-US"/>
        </w:rPr>
        <w:t xml:space="preserve"> </w:t>
      </w:r>
      <w:r w:rsidRPr="000F6752">
        <w:rPr>
          <w:color w:val="000000" w:themeColor="text1"/>
          <w:szCs w:val="24"/>
          <w:lang w:val="en-US"/>
        </w:rPr>
        <w:t xml:space="preserve">effect for both </w:t>
      </w:r>
      <w:r w:rsidR="006B4035" w:rsidRPr="000F6752">
        <w:rPr>
          <w:color w:val="000000" w:themeColor="text1"/>
          <w:szCs w:val="24"/>
          <w:lang w:val="en-US"/>
        </w:rPr>
        <w:t>analyzed steps</w:t>
      </w:r>
      <w:r w:rsidR="00924FD1" w:rsidRPr="000F6752">
        <w:rPr>
          <w:color w:val="000000" w:themeColor="text1"/>
          <w:szCs w:val="24"/>
          <w:lang w:val="en-US"/>
        </w:rPr>
        <w:t xml:space="preserve"> (F</w:t>
      </w:r>
      <w:r w:rsidR="001E5525" w:rsidRPr="000F6752">
        <w:rPr>
          <w:color w:val="000000" w:themeColor="text1"/>
          <w:szCs w:val="24"/>
          <w:lang w:val="en-US"/>
        </w:rPr>
        <w:t xml:space="preserve"> </w:t>
      </w:r>
      <w:r w:rsidR="00924FD1" w:rsidRPr="000F6752">
        <w:rPr>
          <w:color w:val="000000" w:themeColor="text1"/>
          <w:szCs w:val="24"/>
          <w:lang w:val="en-US"/>
        </w:rPr>
        <w:t>(</w:t>
      </w:r>
      <w:r w:rsidR="00B21ED8" w:rsidRPr="000F6752">
        <w:rPr>
          <w:color w:val="000000" w:themeColor="text1"/>
          <w:szCs w:val="24"/>
          <w:lang w:val="en-US"/>
        </w:rPr>
        <w:t>3</w:t>
      </w:r>
      <w:r w:rsidR="00924FD1" w:rsidRPr="000F6752">
        <w:rPr>
          <w:color w:val="000000" w:themeColor="text1"/>
          <w:szCs w:val="24"/>
          <w:lang w:val="en-US"/>
        </w:rPr>
        <w:t>,</w:t>
      </w:r>
      <w:r w:rsidR="00033220" w:rsidRPr="000F6752">
        <w:rPr>
          <w:color w:val="000000" w:themeColor="text1"/>
          <w:szCs w:val="24"/>
          <w:lang w:val="en-US"/>
        </w:rPr>
        <w:t xml:space="preserve"> </w:t>
      </w:r>
      <w:r w:rsidR="00643158" w:rsidRPr="000F6752">
        <w:rPr>
          <w:color w:val="000000" w:themeColor="text1"/>
          <w:szCs w:val="24"/>
          <w:lang w:val="en-US"/>
        </w:rPr>
        <w:t>96</w:t>
      </w:r>
      <w:r w:rsidR="00924FD1" w:rsidRPr="000F6752">
        <w:rPr>
          <w:color w:val="000000" w:themeColor="text1"/>
          <w:szCs w:val="24"/>
          <w:lang w:val="en-US"/>
        </w:rPr>
        <w:t xml:space="preserve">) = </w:t>
      </w:r>
      <w:r w:rsidR="00EA10CB" w:rsidRPr="000F6752">
        <w:rPr>
          <w:color w:val="000000" w:themeColor="text1"/>
          <w:szCs w:val="24"/>
          <w:lang w:val="en-US"/>
        </w:rPr>
        <w:t>12.01</w:t>
      </w:r>
      <w:r w:rsidR="00924FD1" w:rsidRPr="000F6752">
        <w:rPr>
          <w:color w:val="000000" w:themeColor="text1"/>
          <w:szCs w:val="24"/>
          <w:lang w:val="en-US"/>
        </w:rPr>
        <w:t>, p &lt; 0.0</w:t>
      </w:r>
      <w:r w:rsidR="00C84CF7">
        <w:rPr>
          <w:color w:val="000000" w:themeColor="text1"/>
          <w:szCs w:val="24"/>
          <w:lang w:val="en-US"/>
        </w:rPr>
        <w:t>5</w:t>
      </w:r>
      <w:r w:rsidR="00B109D9" w:rsidRPr="000F6752">
        <w:rPr>
          <w:color w:val="000000" w:themeColor="text1"/>
          <w:szCs w:val="24"/>
          <w:lang w:val="en-US"/>
        </w:rPr>
        <w:t xml:space="preserve"> and F</w:t>
      </w:r>
      <w:r w:rsidR="001E5525" w:rsidRPr="000F6752">
        <w:rPr>
          <w:color w:val="000000" w:themeColor="text1"/>
          <w:szCs w:val="24"/>
          <w:lang w:val="en-US"/>
        </w:rPr>
        <w:t xml:space="preserve"> </w:t>
      </w:r>
      <w:r w:rsidR="00B109D9" w:rsidRPr="000F6752">
        <w:rPr>
          <w:color w:val="000000" w:themeColor="text1"/>
          <w:szCs w:val="24"/>
          <w:lang w:val="en-US"/>
        </w:rPr>
        <w:t>(</w:t>
      </w:r>
      <w:r w:rsidR="004F4EBB" w:rsidRPr="000F6752">
        <w:rPr>
          <w:color w:val="000000" w:themeColor="text1"/>
          <w:szCs w:val="24"/>
          <w:lang w:val="en-US"/>
        </w:rPr>
        <w:t>3</w:t>
      </w:r>
      <w:r w:rsidR="00B109D9" w:rsidRPr="000F6752">
        <w:rPr>
          <w:color w:val="000000" w:themeColor="text1"/>
          <w:szCs w:val="24"/>
          <w:lang w:val="en-US"/>
        </w:rPr>
        <w:t>,</w:t>
      </w:r>
      <w:r w:rsidR="00033220" w:rsidRPr="000F6752">
        <w:rPr>
          <w:color w:val="000000" w:themeColor="text1"/>
          <w:szCs w:val="24"/>
          <w:lang w:val="en-US"/>
        </w:rPr>
        <w:t xml:space="preserve"> </w:t>
      </w:r>
      <w:r w:rsidR="00643158" w:rsidRPr="000F6752">
        <w:rPr>
          <w:color w:val="000000" w:themeColor="text1"/>
          <w:szCs w:val="24"/>
          <w:lang w:val="en-US"/>
        </w:rPr>
        <w:t>96</w:t>
      </w:r>
      <w:r w:rsidR="00B109D9" w:rsidRPr="000F6752">
        <w:rPr>
          <w:color w:val="000000" w:themeColor="text1"/>
          <w:szCs w:val="24"/>
          <w:lang w:val="en-US"/>
        </w:rPr>
        <w:t xml:space="preserve">) = </w:t>
      </w:r>
      <w:r w:rsidR="002C69C3" w:rsidRPr="000F6752">
        <w:rPr>
          <w:color w:val="000000" w:themeColor="text1"/>
          <w:szCs w:val="24"/>
          <w:lang w:val="en-US"/>
        </w:rPr>
        <w:t>5.21</w:t>
      </w:r>
      <w:r w:rsidR="00B109D9" w:rsidRPr="000F6752">
        <w:rPr>
          <w:color w:val="000000" w:themeColor="text1"/>
          <w:szCs w:val="24"/>
          <w:lang w:val="en-US"/>
        </w:rPr>
        <w:t>, p &lt; 0.0</w:t>
      </w:r>
      <w:r w:rsidR="00C84CF7">
        <w:rPr>
          <w:color w:val="000000" w:themeColor="text1"/>
          <w:szCs w:val="24"/>
          <w:lang w:val="en-US"/>
        </w:rPr>
        <w:t>5</w:t>
      </w:r>
      <w:r w:rsidR="00B109D9" w:rsidRPr="000F6752">
        <w:rPr>
          <w:color w:val="000000" w:themeColor="text1"/>
          <w:szCs w:val="24"/>
          <w:lang w:val="en-US"/>
        </w:rPr>
        <w:t xml:space="preserve"> for </w:t>
      </w:r>
      <w:r w:rsidR="008E5FC0" w:rsidRPr="000F6752">
        <w:rPr>
          <w:color w:val="000000" w:themeColor="text1"/>
          <w:szCs w:val="24"/>
          <w:lang w:val="en-US"/>
        </w:rPr>
        <w:t xml:space="preserve">TD </w:t>
      </w:r>
      <w:r w:rsidR="00B109D9" w:rsidRPr="000F6752">
        <w:rPr>
          <w:color w:val="000000" w:themeColor="text1"/>
          <w:szCs w:val="24"/>
          <w:lang w:val="en-US"/>
        </w:rPr>
        <w:t xml:space="preserve">Pert and </w:t>
      </w:r>
      <w:r w:rsidR="008E5FC0" w:rsidRPr="000F6752">
        <w:rPr>
          <w:color w:val="000000" w:themeColor="text1"/>
          <w:szCs w:val="24"/>
          <w:lang w:val="en-US"/>
        </w:rPr>
        <w:t xml:space="preserve">TD </w:t>
      </w:r>
      <w:r w:rsidR="00B109D9" w:rsidRPr="000F6752">
        <w:rPr>
          <w:color w:val="000000" w:themeColor="text1"/>
          <w:szCs w:val="24"/>
          <w:lang w:val="en-US"/>
        </w:rPr>
        <w:t>Reco1L respectively</w:t>
      </w:r>
      <w:r w:rsidR="00924FD1" w:rsidRPr="000F6752">
        <w:rPr>
          <w:color w:val="000000" w:themeColor="text1"/>
          <w:szCs w:val="24"/>
          <w:lang w:val="en-US"/>
        </w:rPr>
        <w:t>)</w:t>
      </w:r>
      <w:r w:rsidR="006B4035" w:rsidRPr="000F6752">
        <w:rPr>
          <w:color w:val="000000" w:themeColor="text1"/>
          <w:szCs w:val="24"/>
          <w:lang w:val="en-US"/>
        </w:rPr>
        <w:t xml:space="preserve"> </w:t>
      </w:r>
      <w:r w:rsidRPr="000F6752">
        <w:rPr>
          <w:color w:val="000000" w:themeColor="text1"/>
          <w:szCs w:val="24"/>
          <w:lang w:val="en-US"/>
        </w:rPr>
        <w:t xml:space="preserve">with no significant trial × subject group interactions. The following </w:t>
      </w:r>
      <w:r w:rsidRPr="000F6752">
        <w:rPr>
          <w:i/>
          <w:color w:val="000000" w:themeColor="text1"/>
          <w:szCs w:val="24"/>
          <w:lang w:val="en-US"/>
        </w:rPr>
        <w:t>post hoc</w:t>
      </w:r>
      <w:r w:rsidRPr="000F6752">
        <w:rPr>
          <w:color w:val="000000" w:themeColor="text1"/>
          <w:szCs w:val="24"/>
          <w:lang w:val="en-US"/>
        </w:rPr>
        <w:t xml:space="preserve"> test revealed significantly (p &lt; 0.05) higher MoS values at TD Pert and </w:t>
      </w:r>
      <w:r w:rsidR="009F7F33" w:rsidRPr="000F6752">
        <w:rPr>
          <w:color w:val="000000" w:themeColor="text1"/>
          <w:szCs w:val="24"/>
          <w:lang w:val="en-US"/>
        </w:rPr>
        <w:t>TD</w:t>
      </w:r>
      <w:r w:rsidR="006E7C5F" w:rsidRPr="000F6752">
        <w:rPr>
          <w:color w:val="000000" w:themeColor="text1"/>
          <w:szCs w:val="24"/>
          <w:lang w:val="en-US"/>
        </w:rPr>
        <w:t xml:space="preserve"> </w:t>
      </w:r>
      <w:r w:rsidRPr="000F6752">
        <w:rPr>
          <w:color w:val="000000" w:themeColor="text1"/>
          <w:szCs w:val="24"/>
          <w:lang w:val="en-US"/>
        </w:rPr>
        <w:t>Reco1L in the T8</w:t>
      </w:r>
      <w:r w:rsidRPr="000F6752">
        <w:rPr>
          <w:color w:val="000000" w:themeColor="text1"/>
          <w:szCs w:val="24"/>
          <w:vertAlign w:val="subscript"/>
          <w:lang w:val="en-US"/>
        </w:rPr>
        <w:t>Pre</w:t>
      </w:r>
      <w:r w:rsidRPr="000F6752">
        <w:rPr>
          <w:color w:val="000000" w:themeColor="text1"/>
          <w:lang w:val="en-US"/>
        </w:rPr>
        <w:t xml:space="preserve">, </w:t>
      </w:r>
      <w:r w:rsidRPr="000F6752">
        <w:rPr>
          <w:color w:val="000000" w:themeColor="text1"/>
          <w:szCs w:val="24"/>
          <w:lang w:val="en-US"/>
        </w:rPr>
        <w:t>T1</w:t>
      </w:r>
      <w:r w:rsidRPr="000F6752">
        <w:rPr>
          <w:color w:val="000000" w:themeColor="text1"/>
          <w:szCs w:val="24"/>
          <w:vertAlign w:val="subscript"/>
          <w:lang w:val="en-US"/>
        </w:rPr>
        <w:t>Post14w</w:t>
      </w:r>
      <w:r w:rsidRPr="000F6752">
        <w:rPr>
          <w:color w:val="000000" w:themeColor="text1"/>
          <w:lang w:val="en-US"/>
        </w:rPr>
        <w:t xml:space="preserve"> and </w:t>
      </w:r>
      <w:r w:rsidRPr="000F6752">
        <w:rPr>
          <w:color w:val="000000" w:themeColor="text1"/>
          <w:szCs w:val="24"/>
          <w:lang w:val="en-US"/>
        </w:rPr>
        <w:t>T8</w:t>
      </w:r>
      <w:r w:rsidRPr="000F6752">
        <w:rPr>
          <w:color w:val="000000" w:themeColor="text1"/>
          <w:szCs w:val="24"/>
          <w:vertAlign w:val="subscript"/>
          <w:lang w:val="en-US"/>
        </w:rPr>
        <w:t>Post14w</w:t>
      </w:r>
      <w:r w:rsidRPr="000F6752">
        <w:rPr>
          <w:color w:val="000000" w:themeColor="text1"/>
          <w:lang w:val="en-US"/>
        </w:rPr>
        <w:t xml:space="preserve"> trials in comparison to </w:t>
      </w:r>
      <w:r w:rsidRPr="000F6752">
        <w:rPr>
          <w:color w:val="000000" w:themeColor="text1"/>
          <w:szCs w:val="24"/>
          <w:lang w:val="en-US"/>
        </w:rPr>
        <w:t>T1</w:t>
      </w:r>
      <w:r w:rsidRPr="000F6752">
        <w:rPr>
          <w:color w:val="000000" w:themeColor="text1"/>
          <w:szCs w:val="24"/>
          <w:vertAlign w:val="subscript"/>
          <w:lang w:val="en-US"/>
        </w:rPr>
        <w:t>Pre</w:t>
      </w:r>
      <w:r w:rsidRPr="000F6752">
        <w:rPr>
          <w:color w:val="000000" w:themeColor="text1"/>
          <w:szCs w:val="24"/>
          <w:lang w:val="en-US"/>
        </w:rPr>
        <w:t xml:space="preserve"> (Fig. </w:t>
      </w:r>
      <w:r w:rsidR="00C7679A" w:rsidRPr="000F6752">
        <w:rPr>
          <w:color w:val="000000" w:themeColor="text1"/>
          <w:szCs w:val="24"/>
          <w:lang w:val="en-US"/>
        </w:rPr>
        <w:t>6</w:t>
      </w:r>
      <w:r w:rsidRPr="000F6752">
        <w:rPr>
          <w:color w:val="000000" w:themeColor="text1"/>
          <w:szCs w:val="24"/>
          <w:lang w:val="en-US"/>
        </w:rPr>
        <w:t xml:space="preserve"> and Fig. </w:t>
      </w:r>
      <w:r w:rsidR="00C7679A" w:rsidRPr="000F6752">
        <w:rPr>
          <w:color w:val="000000" w:themeColor="text1"/>
          <w:szCs w:val="24"/>
          <w:lang w:val="en-US"/>
        </w:rPr>
        <w:t>7</w:t>
      </w:r>
      <w:r w:rsidRPr="000F6752">
        <w:rPr>
          <w:color w:val="000000" w:themeColor="text1"/>
          <w:szCs w:val="24"/>
          <w:lang w:val="en-US"/>
        </w:rPr>
        <w:t>)</w:t>
      </w:r>
      <w:r w:rsidRPr="000F6752">
        <w:rPr>
          <w:color w:val="000000" w:themeColor="text1"/>
          <w:lang w:val="en-US"/>
        </w:rPr>
        <w:t xml:space="preserve">. </w:t>
      </w:r>
      <w:r w:rsidRPr="000F6752">
        <w:rPr>
          <w:color w:val="000000" w:themeColor="text1"/>
          <w:szCs w:val="24"/>
          <w:lang w:val="en-US"/>
        </w:rPr>
        <w:t>However, a significantly (p &lt; 0.05) lower MoS at TD Pert could be determined in the T1</w:t>
      </w:r>
      <w:r w:rsidRPr="000F6752">
        <w:rPr>
          <w:color w:val="000000" w:themeColor="text1"/>
          <w:szCs w:val="24"/>
          <w:vertAlign w:val="subscript"/>
          <w:lang w:val="en-US"/>
        </w:rPr>
        <w:t>Post14w</w:t>
      </w:r>
      <w:r w:rsidRPr="000F6752">
        <w:rPr>
          <w:color w:val="000000" w:themeColor="text1"/>
          <w:lang w:val="en-US"/>
        </w:rPr>
        <w:t xml:space="preserve"> when compared to the </w:t>
      </w:r>
      <w:r w:rsidRPr="000F6752">
        <w:rPr>
          <w:color w:val="000000" w:themeColor="text1"/>
          <w:szCs w:val="24"/>
          <w:lang w:val="en-US"/>
        </w:rPr>
        <w:t>T8</w:t>
      </w:r>
      <w:r w:rsidRPr="000F6752">
        <w:rPr>
          <w:color w:val="000000" w:themeColor="text1"/>
          <w:szCs w:val="24"/>
          <w:vertAlign w:val="subscript"/>
          <w:lang w:val="en-US"/>
        </w:rPr>
        <w:t>Pre</w:t>
      </w:r>
      <w:r w:rsidRPr="000F6752">
        <w:rPr>
          <w:color w:val="000000" w:themeColor="text1"/>
          <w:szCs w:val="24"/>
          <w:lang w:val="en-US"/>
        </w:rPr>
        <w:t xml:space="preserve"> (Fig. </w:t>
      </w:r>
      <w:r w:rsidR="00087ACA" w:rsidRPr="000F6752">
        <w:rPr>
          <w:color w:val="000000" w:themeColor="text1"/>
          <w:szCs w:val="24"/>
          <w:lang w:val="en-US"/>
        </w:rPr>
        <w:t>6</w:t>
      </w:r>
      <w:r w:rsidRPr="000F6752">
        <w:rPr>
          <w:color w:val="000000" w:themeColor="text1"/>
          <w:szCs w:val="24"/>
          <w:lang w:val="en-US"/>
        </w:rPr>
        <w:t>). After the second perturbation training session, the MoS at TD Pert was significantly (p &lt; 0.05) higher in the T8</w:t>
      </w:r>
      <w:r w:rsidRPr="000F6752">
        <w:rPr>
          <w:color w:val="000000" w:themeColor="text1"/>
          <w:szCs w:val="24"/>
          <w:vertAlign w:val="subscript"/>
          <w:lang w:val="en-US"/>
        </w:rPr>
        <w:t>Post14w</w:t>
      </w:r>
      <w:r w:rsidRPr="000F6752">
        <w:rPr>
          <w:color w:val="000000" w:themeColor="text1"/>
          <w:lang w:val="en-US"/>
        </w:rPr>
        <w:t xml:space="preserve"> in comparison to the </w:t>
      </w:r>
      <w:r w:rsidRPr="000F6752">
        <w:rPr>
          <w:color w:val="000000" w:themeColor="text1"/>
          <w:szCs w:val="24"/>
          <w:lang w:val="en-US"/>
        </w:rPr>
        <w:t>T1</w:t>
      </w:r>
      <w:r w:rsidRPr="000F6752">
        <w:rPr>
          <w:color w:val="000000" w:themeColor="text1"/>
          <w:szCs w:val="24"/>
          <w:vertAlign w:val="subscript"/>
          <w:lang w:val="en-US"/>
        </w:rPr>
        <w:t>Post14w</w:t>
      </w:r>
      <w:r w:rsidRPr="000F6752">
        <w:rPr>
          <w:color w:val="000000" w:themeColor="text1"/>
          <w:lang w:val="en-US"/>
        </w:rPr>
        <w:t xml:space="preserve"> trial. </w:t>
      </w:r>
      <w:r w:rsidRPr="000F6752">
        <w:rPr>
          <w:color w:val="000000" w:themeColor="text1"/>
          <w:szCs w:val="24"/>
          <w:lang w:val="en-US"/>
        </w:rPr>
        <w:t>No significant differences in the MoS at TD Reco1L between the T8</w:t>
      </w:r>
      <w:r w:rsidRPr="000F6752">
        <w:rPr>
          <w:color w:val="000000" w:themeColor="text1"/>
          <w:szCs w:val="24"/>
          <w:vertAlign w:val="subscript"/>
          <w:lang w:val="en-US"/>
        </w:rPr>
        <w:t>Pre</w:t>
      </w:r>
      <w:r w:rsidRPr="000F6752">
        <w:rPr>
          <w:color w:val="000000" w:themeColor="text1"/>
          <w:lang w:val="en-US"/>
        </w:rPr>
        <w:t xml:space="preserve">, </w:t>
      </w:r>
      <w:r w:rsidRPr="000F6752">
        <w:rPr>
          <w:color w:val="000000" w:themeColor="text1"/>
          <w:szCs w:val="24"/>
          <w:lang w:val="en-US"/>
        </w:rPr>
        <w:t>T1</w:t>
      </w:r>
      <w:r w:rsidRPr="000F6752">
        <w:rPr>
          <w:color w:val="000000" w:themeColor="text1"/>
          <w:szCs w:val="24"/>
          <w:vertAlign w:val="subscript"/>
          <w:lang w:val="en-US"/>
        </w:rPr>
        <w:t>Post14w</w:t>
      </w:r>
      <w:r w:rsidRPr="000F6752">
        <w:rPr>
          <w:color w:val="000000" w:themeColor="text1"/>
          <w:lang w:val="en-US"/>
        </w:rPr>
        <w:t xml:space="preserve"> and </w:t>
      </w:r>
      <w:r w:rsidRPr="000F6752">
        <w:rPr>
          <w:color w:val="000000" w:themeColor="text1"/>
          <w:szCs w:val="24"/>
          <w:lang w:val="en-US"/>
        </w:rPr>
        <w:t>T8</w:t>
      </w:r>
      <w:r w:rsidRPr="000F6752">
        <w:rPr>
          <w:color w:val="000000" w:themeColor="text1"/>
          <w:szCs w:val="24"/>
          <w:vertAlign w:val="subscript"/>
          <w:lang w:val="en-US"/>
        </w:rPr>
        <w:t>Post14w</w:t>
      </w:r>
      <w:r w:rsidRPr="000F6752">
        <w:rPr>
          <w:color w:val="000000" w:themeColor="text1"/>
          <w:lang w:val="en-US"/>
        </w:rPr>
        <w:t xml:space="preserve"> trials were identified.</w:t>
      </w:r>
    </w:p>
    <w:p w14:paraId="51451DF1" w14:textId="591BC406" w:rsidR="00536006" w:rsidRPr="000F6752" w:rsidRDefault="00536006" w:rsidP="00536006">
      <w:pPr>
        <w:autoSpaceDE w:val="0"/>
        <w:autoSpaceDN w:val="0"/>
        <w:adjustRightInd w:val="0"/>
        <w:spacing w:after="0"/>
        <w:contextualSpacing/>
        <w:jc w:val="both"/>
        <w:rPr>
          <w:color w:val="000000" w:themeColor="text1"/>
          <w:szCs w:val="24"/>
          <w:lang w:val="en-US"/>
        </w:rPr>
      </w:pPr>
      <w:r w:rsidRPr="000F6752">
        <w:rPr>
          <w:color w:val="000000" w:themeColor="text1"/>
          <w:lang w:val="en-US"/>
        </w:rPr>
        <w:t xml:space="preserve">When considering the subject group undergoing the 1.5 year of exercise with the </w:t>
      </w:r>
      <w:r w:rsidR="00861E05" w:rsidRPr="000F6752">
        <w:rPr>
          <w:color w:val="000000" w:themeColor="text1"/>
          <w:lang w:val="en-US"/>
        </w:rPr>
        <w:t>GAIT</w:t>
      </w:r>
      <w:r w:rsidRPr="000F6752">
        <w:rPr>
          <w:color w:val="000000" w:themeColor="text1"/>
          <w:lang w:val="en-US"/>
        </w:rPr>
        <w:t xml:space="preserve"> and </w:t>
      </w:r>
      <w:r w:rsidR="006B492D" w:rsidRPr="000F6752">
        <w:rPr>
          <w:color w:val="000000" w:themeColor="text1"/>
          <w:lang w:val="en-US"/>
        </w:rPr>
        <w:t>GAIT+NM</w:t>
      </w:r>
      <w:r w:rsidR="006B492D" w:rsidRPr="000F6752">
        <w:rPr>
          <w:color w:val="000000" w:themeColor="text1"/>
          <w:vertAlign w:val="subscript"/>
          <w:lang w:val="en-US"/>
        </w:rPr>
        <w:t>1.5y</w:t>
      </w:r>
      <w:r w:rsidRPr="000F6752">
        <w:rPr>
          <w:color w:val="000000" w:themeColor="text1"/>
          <w:vertAlign w:val="subscript"/>
          <w:lang w:val="en-US"/>
        </w:rPr>
        <w:t xml:space="preserve"> </w:t>
      </w:r>
      <w:r w:rsidRPr="000F6752">
        <w:rPr>
          <w:color w:val="000000" w:themeColor="text1"/>
          <w:lang w:val="en-US"/>
        </w:rPr>
        <w:t xml:space="preserve">groups, the two-way ANOVA </w:t>
      </w:r>
      <w:r w:rsidRPr="000F6752">
        <w:rPr>
          <w:color w:val="000000" w:themeColor="text1"/>
          <w:szCs w:val="24"/>
          <w:lang w:val="en-US"/>
        </w:rPr>
        <w:t>revea</w:t>
      </w:r>
      <w:r w:rsidR="007311E6" w:rsidRPr="000F6752">
        <w:rPr>
          <w:color w:val="000000" w:themeColor="text1"/>
          <w:szCs w:val="24"/>
          <w:lang w:val="en-US"/>
        </w:rPr>
        <w:t>led a statistically</w:t>
      </w:r>
      <w:r w:rsidR="00125CD0" w:rsidRPr="000F6752">
        <w:rPr>
          <w:color w:val="000000" w:themeColor="text1"/>
          <w:szCs w:val="24"/>
          <w:lang w:val="en-US"/>
        </w:rPr>
        <w:t xml:space="preserve"> significant trial</w:t>
      </w:r>
      <w:r w:rsidR="00125CD0" w:rsidRPr="000F6752">
        <w:rPr>
          <w:color w:val="000000" w:themeColor="text1"/>
          <w:lang w:val="en-US"/>
        </w:rPr>
        <w:t xml:space="preserve"> </w:t>
      </w:r>
      <w:r w:rsidR="00125CD0" w:rsidRPr="000F6752">
        <w:rPr>
          <w:color w:val="000000" w:themeColor="text1"/>
          <w:szCs w:val="24"/>
          <w:lang w:val="en-US"/>
        </w:rPr>
        <w:t>effect</w:t>
      </w:r>
      <w:r w:rsidRPr="000F6752">
        <w:rPr>
          <w:color w:val="000000" w:themeColor="text1"/>
          <w:szCs w:val="24"/>
          <w:lang w:val="en-US"/>
        </w:rPr>
        <w:t xml:space="preserve"> for both, MoS </w:t>
      </w:r>
      <w:r w:rsidR="00DC782C" w:rsidRPr="000F6752">
        <w:rPr>
          <w:color w:val="000000" w:themeColor="text1"/>
          <w:szCs w:val="24"/>
          <w:lang w:val="en-US"/>
        </w:rPr>
        <w:t xml:space="preserve">at TD </w:t>
      </w:r>
      <w:r w:rsidRPr="000F6752">
        <w:rPr>
          <w:color w:val="000000" w:themeColor="text1"/>
          <w:szCs w:val="24"/>
          <w:lang w:val="en-US"/>
        </w:rPr>
        <w:t xml:space="preserve">Pert </w:t>
      </w:r>
      <w:r w:rsidR="008E5FC0" w:rsidRPr="000F6752">
        <w:rPr>
          <w:color w:val="000000" w:themeColor="text1"/>
          <w:szCs w:val="24"/>
          <w:lang w:val="en-US"/>
        </w:rPr>
        <w:t>(F</w:t>
      </w:r>
      <w:r w:rsidR="001E5525" w:rsidRPr="000F6752">
        <w:rPr>
          <w:color w:val="000000" w:themeColor="text1"/>
          <w:szCs w:val="24"/>
          <w:lang w:val="en-US"/>
        </w:rPr>
        <w:t xml:space="preserve"> </w:t>
      </w:r>
      <w:r w:rsidR="008E5FC0" w:rsidRPr="000F6752">
        <w:rPr>
          <w:color w:val="000000" w:themeColor="text1"/>
          <w:szCs w:val="24"/>
          <w:lang w:val="en-US"/>
        </w:rPr>
        <w:t>(</w:t>
      </w:r>
      <w:r w:rsidR="00033220" w:rsidRPr="000F6752">
        <w:rPr>
          <w:color w:val="000000" w:themeColor="text1"/>
          <w:szCs w:val="24"/>
          <w:lang w:val="en-US"/>
        </w:rPr>
        <w:t>5</w:t>
      </w:r>
      <w:r w:rsidR="008E5FC0" w:rsidRPr="000F6752">
        <w:rPr>
          <w:color w:val="000000" w:themeColor="text1"/>
          <w:szCs w:val="24"/>
          <w:lang w:val="en-US"/>
        </w:rPr>
        <w:t>,</w:t>
      </w:r>
      <w:r w:rsidR="00033220" w:rsidRPr="000F6752">
        <w:rPr>
          <w:color w:val="000000" w:themeColor="text1"/>
          <w:szCs w:val="24"/>
          <w:lang w:val="en-US"/>
        </w:rPr>
        <w:t xml:space="preserve"> 115</w:t>
      </w:r>
      <w:r w:rsidR="008E5FC0" w:rsidRPr="000F6752">
        <w:rPr>
          <w:color w:val="000000" w:themeColor="text1"/>
          <w:szCs w:val="24"/>
          <w:lang w:val="en-US"/>
        </w:rPr>
        <w:t xml:space="preserve">) = </w:t>
      </w:r>
      <w:r w:rsidR="00736C76" w:rsidRPr="000F6752">
        <w:rPr>
          <w:color w:val="000000" w:themeColor="text1"/>
          <w:szCs w:val="24"/>
          <w:lang w:val="en-US"/>
        </w:rPr>
        <w:t>15.11</w:t>
      </w:r>
      <w:r w:rsidR="008E5FC0" w:rsidRPr="000F6752">
        <w:rPr>
          <w:color w:val="000000" w:themeColor="text1"/>
          <w:szCs w:val="24"/>
          <w:lang w:val="en-US"/>
        </w:rPr>
        <w:t xml:space="preserve">, p &lt; 0.05) </w:t>
      </w:r>
      <w:r w:rsidRPr="000F6752">
        <w:rPr>
          <w:color w:val="000000" w:themeColor="text1"/>
          <w:szCs w:val="24"/>
          <w:lang w:val="en-US"/>
        </w:rPr>
        <w:t xml:space="preserve">and </w:t>
      </w:r>
      <w:r w:rsidR="00DC782C" w:rsidRPr="000F6752">
        <w:rPr>
          <w:color w:val="000000" w:themeColor="text1"/>
          <w:szCs w:val="24"/>
          <w:lang w:val="en-US"/>
        </w:rPr>
        <w:t xml:space="preserve">TD </w:t>
      </w:r>
      <w:r w:rsidRPr="000F6752">
        <w:rPr>
          <w:color w:val="000000" w:themeColor="text1"/>
          <w:szCs w:val="24"/>
          <w:lang w:val="en-US"/>
        </w:rPr>
        <w:t>Reco1L</w:t>
      </w:r>
      <w:r w:rsidR="008E5FC0" w:rsidRPr="000F6752">
        <w:rPr>
          <w:color w:val="000000" w:themeColor="text1"/>
          <w:szCs w:val="24"/>
          <w:lang w:val="en-US"/>
        </w:rPr>
        <w:t xml:space="preserve"> (F</w:t>
      </w:r>
      <w:r w:rsidR="001E5525" w:rsidRPr="000F6752">
        <w:rPr>
          <w:color w:val="000000" w:themeColor="text1"/>
          <w:szCs w:val="24"/>
          <w:lang w:val="en-US"/>
        </w:rPr>
        <w:t xml:space="preserve"> </w:t>
      </w:r>
      <w:r w:rsidR="008E5FC0" w:rsidRPr="000F6752">
        <w:rPr>
          <w:color w:val="000000" w:themeColor="text1"/>
          <w:szCs w:val="24"/>
          <w:lang w:val="en-US"/>
        </w:rPr>
        <w:t>(</w:t>
      </w:r>
      <w:r w:rsidR="00033220" w:rsidRPr="000F6752">
        <w:rPr>
          <w:color w:val="000000" w:themeColor="text1"/>
          <w:szCs w:val="24"/>
          <w:lang w:val="en-US"/>
        </w:rPr>
        <w:t>5</w:t>
      </w:r>
      <w:r w:rsidR="008E5FC0" w:rsidRPr="000F6752">
        <w:rPr>
          <w:color w:val="000000" w:themeColor="text1"/>
          <w:szCs w:val="24"/>
          <w:lang w:val="en-US"/>
        </w:rPr>
        <w:t>,</w:t>
      </w:r>
      <w:r w:rsidR="00033220" w:rsidRPr="000F6752">
        <w:rPr>
          <w:color w:val="000000" w:themeColor="text1"/>
          <w:szCs w:val="24"/>
          <w:lang w:val="en-US"/>
        </w:rPr>
        <w:t xml:space="preserve"> 115</w:t>
      </w:r>
      <w:r w:rsidR="008E5FC0" w:rsidRPr="000F6752">
        <w:rPr>
          <w:color w:val="000000" w:themeColor="text1"/>
          <w:szCs w:val="24"/>
          <w:lang w:val="en-US"/>
        </w:rPr>
        <w:t xml:space="preserve">) = </w:t>
      </w:r>
      <w:r w:rsidR="00736C76" w:rsidRPr="000F6752">
        <w:rPr>
          <w:color w:val="000000" w:themeColor="text1"/>
          <w:szCs w:val="24"/>
          <w:lang w:val="en-US"/>
        </w:rPr>
        <w:t>5.63</w:t>
      </w:r>
      <w:r w:rsidR="008E5FC0" w:rsidRPr="000F6752">
        <w:rPr>
          <w:color w:val="000000" w:themeColor="text1"/>
          <w:szCs w:val="24"/>
          <w:lang w:val="en-US"/>
        </w:rPr>
        <w:t>, p &lt; 0.05)</w:t>
      </w:r>
      <w:r w:rsidRPr="000F6752">
        <w:rPr>
          <w:color w:val="000000" w:themeColor="text1"/>
          <w:szCs w:val="24"/>
          <w:lang w:val="en-US"/>
        </w:rPr>
        <w:t xml:space="preserve">, with no significant trial × subject group interactions. The </w:t>
      </w:r>
      <w:r w:rsidRPr="000F6752">
        <w:rPr>
          <w:i/>
          <w:color w:val="000000" w:themeColor="text1"/>
          <w:szCs w:val="24"/>
          <w:lang w:val="en-US"/>
        </w:rPr>
        <w:t>post hoc</w:t>
      </w:r>
      <w:r w:rsidRPr="000F6752">
        <w:rPr>
          <w:color w:val="000000" w:themeColor="text1"/>
          <w:szCs w:val="24"/>
          <w:lang w:val="en-US"/>
        </w:rPr>
        <w:t xml:space="preserve"> tests showed significantly (p &lt; 0.05) higher MoS values at TD Pert and </w:t>
      </w:r>
      <w:r w:rsidR="005E29D7" w:rsidRPr="000F6752">
        <w:rPr>
          <w:color w:val="000000" w:themeColor="text1"/>
          <w:szCs w:val="24"/>
          <w:lang w:val="en-US"/>
        </w:rPr>
        <w:t xml:space="preserve">TD </w:t>
      </w:r>
      <w:r w:rsidRPr="000F6752">
        <w:rPr>
          <w:color w:val="000000" w:themeColor="text1"/>
          <w:szCs w:val="24"/>
          <w:lang w:val="en-US"/>
        </w:rPr>
        <w:t>Reco1L for T8</w:t>
      </w:r>
      <w:r w:rsidRPr="000F6752">
        <w:rPr>
          <w:color w:val="000000" w:themeColor="text1"/>
          <w:szCs w:val="24"/>
          <w:vertAlign w:val="subscript"/>
          <w:lang w:val="en-US"/>
        </w:rPr>
        <w:t>Pre</w:t>
      </w:r>
      <w:r w:rsidRPr="000F6752">
        <w:rPr>
          <w:color w:val="000000" w:themeColor="text1"/>
          <w:lang w:val="en-US"/>
        </w:rPr>
        <w:t xml:space="preserve">, </w:t>
      </w:r>
      <w:r w:rsidRPr="000F6752">
        <w:rPr>
          <w:color w:val="000000" w:themeColor="text1"/>
          <w:szCs w:val="24"/>
          <w:lang w:val="en-US"/>
        </w:rPr>
        <w:t>T1</w:t>
      </w:r>
      <w:r w:rsidRPr="000F6752">
        <w:rPr>
          <w:color w:val="000000" w:themeColor="text1"/>
          <w:szCs w:val="24"/>
          <w:vertAlign w:val="subscript"/>
          <w:lang w:val="en-US"/>
        </w:rPr>
        <w:t>Post14w</w:t>
      </w:r>
      <w:r w:rsidRPr="000F6752">
        <w:rPr>
          <w:color w:val="000000" w:themeColor="text1"/>
          <w:lang w:val="en-US"/>
        </w:rPr>
        <w:t xml:space="preserve">, </w:t>
      </w:r>
      <w:r w:rsidRPr="000F6752">
        <w:rPr>
          <w:color w:val="000000" w:themeColor="text1"/>
          <w:szCs w:val="24"/>
          <w:lang w:val="en-US"/>
        </w:rPr>
        <w:t>T1</w:t>
      </w:r>
      <w:r w:rsidRPr="000F6752">
        <w:rPr>
          <w:color w:val="000000" w:themeColor="text1"/>
          <w:szCs w:val="24"/>
          <w:vertAlign w:val="subscript"/>
          <w:lang w:val="en-US"/>
        </w:rPr>
        <w:t>Post1.5y</w:t>
      </w:r>
      <w:r w:rsidRPr="000F6752">
        <w:rPr>
          <w:color w:val="000000" w:themeColor="text1"/>
          <w:lang w:val="en-US"/>
        </w:rPr>
        <w:t xml:space="preserve"> and </w:t>
      </w:r>
      <w:r w:rsidRPr="000F6752">
        <w:rPr>
          <w:color w:val="000000" w:themeColor="text1"/>
          <w:szCs w:val="24"/>
          <w:lang w:val="en-US"/>
        </w:rPr>
        <w:t>T8</w:t>
      </w:r>
      <w:r w:rsidRPr="000F6752">
        <w:rPr>
          <w:color w:val="000000" w:themeColor="text1"/>
          <w:szCs w:val="24"/>
          <w:vertAlign w:val="subscript"/>
          <w:lang w:val="en-US"/>
        </w:rPr>
        <w:t>Post1.5y</w:t>
      </w:r>
      <w:r w:rsidRPr="000F6752">
        <w:rPr>
          <w:color w:val="000000" w:themeColor="text1"/>
          <w:lang w:val="en-US"/>
        </w:rPr>
        <w:t xml:space="preserve"> trials in comparison to </w:t>
      </w:r>
      <w:r w:rsidRPr="000F6752">
        <w:rPr>
          <w:color w:val="000000" w:themeColor="text1"/>
          <w:szCs w:val="24"/>
          <w:lang w:val="en-US"/>
        </w:rPr>
        <w:t>T1</w:t>
      </w:r>
      <w:r w:rsidRPr="000F6752">
        <w:rPr>
          <w:color w:val="000000" w:themeColor="text1"/>
          <w:szCs w:val="24"/>
          <w:vertAlign w:val="subscript"/>
          <w:lang w:val="en-US"/>
        </w:rPr>
        <w:t>Pre</w:t>
      </w:r>
      <w:r w:rsidRPr="000F6752">
        <w:rPr>
          <w:color w:val="000000" w:themeColor="text1"/>
          <w:szCs w:val="24"/>
          <w:lang w:val="en-US"/>
        </w:rPr>
        <w:t xml:space="preserve"> (Fig. </w:t>
      </w:r>
      <w:r w:rsidR="00087ACA" w:rsidRPr="000F6752">
        <w:rPr>
          <w:color w:val="000000" w:themeColor="text1"/>
          <w:szCs w:val="24"/>
          <w:lang w:val="en-US"/>
        </w:rPr>
        <w:t>6</w:t>
      </w:r>
      <w:r w:rsidRPr="000F6752">
        <w:rPr>
          <w:color w:val="000000" w:themeColor="text1"/>
          <w:szCs w:val="24"/>
          <w:lang w:val="en-US"/>
        </w:rPr>
        <w:t xml:space="preserve"> and Fig. </w:t>
      </w:r>
      <w:r w:rsidR="00087ACA" w:rsidRPr="000F6752">
        <w:rPr>
          <w:color w:val="000000" w:themeColor="text1"/>
          <w:szCs w:val="24"/>
          <w:lang w:val="en-US"/>
        </w:rPr>
        <w:t>7</w:t>
      </w:r>
      <w:r w:rsidRPr="000F6752">
        <w:rPr>
          <w:color w:val="000000" w:themeColor="text1"/>
          <w:szCs w:val="24"/>
          <w:lang w:val="en-US"/>
        </w:rPr>
        <w:t xml:space="preserve">). However, a significantly (p &lt; 0.05) lower MoS at TD Pert was identified </w:t>
      </w:r>
      <w:r w:rsidRPr="000F6752">
        <w:rPr>
          <w:color w:val="000000" w:themeColor="text1"/>
          <w:lang w:val="en-US"/>
        </w:rPr>
        <w:t xml:space="preserve">in </w:t>
      </w:r>
      <w:r w:rsidRPr="000F6752">
        <w:rPr>
          <w:color w:val="000000" w:themeColor="text1"/>
          <w:szCs w:val="24"/>
          <w:lang w:val="en-US"/>
        </w:rPr>
        <w:t>T1</w:t>
      </w:r>
      <w:r w:rsidRPr="000F6752">
        <w:rPr>
          <w:color w:val="000000" w:themeColor="text1"/>
          <w:szCs w:val="24"/>
          <w:vertAlign w:val="subscript"/>
          <w:lang w:val="en-US"/>
        </w:rPr>
        <w:t>Post14w</w:t>
      </w:r>
      <w:r w:rsidRPr="000F6752">
        <w:rPr>
          <w:color w:val="000000" w:themeColor="text1"/>
          <w:lang w:val="en-US"/>
        </w:rPr>
        <w:t xml:space="preserve"> in comparison to </w:t>
      </w:r>
      <w:r w:rsidRPr="000F6752">
        <w:rPr>
          <w:color w:val="000000" w:themeColor="text1"/>
          <w:szCs w:val="24"/>
          <w:lang w:val="en-US"/>
        </w:rPr>
        <w:t>T8</w:t>
      </w:r>
      <w:r w:rsidRPr="000F6752">
        <w:rPr>
          <w:color w:val="000000" w:themeColor="text1"/>
          <w:szCs w:val="24"/>
          <w:vertAlign w:val="subscript"/>
          <w:lang w:val="en-US"/>
        </w:rPr>
        <w:t>Pre</w:t>
      </w:r>
      <w:r w:rsidRPr="000F6752">
        <w:rPr>
          <w:color w:val="000000" w:themeColor="text1"/>
          <w:szCs w:val="24"/>
          <w:lang w:val="en-US"/>
        </w:rPr>
        <w:t xml:space="preserve"> (Fig. </w:t>
      </w:r>
      <w:r w:rsidR="00087ACA" w:rsidRPr="000F6752">
        <w:rPr>
          <w:color w:val="000000" w:themeColor="text1"/>
          <w:szCs w:val="24"/>
          <w:lang w:val="en-US"/>
        </w:rPr>
        <w:t>6</w:t>
      </w:r>
      <w:r w:rsidRPr="000F6752">
        <w:rPr>
          <w:color w:val="000000" w:themeColor="text1"/>
          <w:szCs w:val="24"/>
          <w:lang w:val="en-US"/>
        </w:rPr>
        <w:t>). After the second perturbation training session, the MoS at TD Pert in the T8</w:t>
      </w:r>
      <w:r w:rsidRPr="000F6752">
        <w:rPr>
          <w:color w:val="000000" w:themeColor="text1"/>
          <w:szCs w:val="24"/>
          <w:vertAlign w:val="subscript"/>
          <w:lang w:val="en-US"/>
        </w:rPr>
        <w:t>Post14w</w:t>
      </w:r>
      <w:r w:rsidRPr="000F6752">
        <w:rPr>
          <w:color w:val="000000" w:themeColor="text1"/>
          <w:lang w:val="en-US"/>
        </w:rPr>
        <w:t xml:space="preserve"> showed a significant increase in comparison to the </w:t>
      </w:r>
      <w:r w:rsidRPr="000F6752">
        <w:rPr>
          <w:color w:val="000000" w:themeColor="text1"/>
          <w:szCs w:val="24"/>
          <w:lang w:val="en-US"/>
        </w:rPr>
        <w:t>T1</w:t>
      </w:r>
      <w:r w:rsidRPr="000F6752">
        <w:rPr>
          <w:color w:val="000000" w:themeColor="text1"/>
          <w:szCs w:val="24"/>
          <w:vertAlign w:val="subscript"/>
          <w:lang w:val="en-US"/>
        </w:rPr>
        <w:t>Post14w</w:t>
      </w:r>
      <w:r w:rsidRPr="000F6752">
        <w:rPr>
          <w:color w:val="000000" w:themeColor="text1"/>
          <w:lang w:val="en-US"/>
        </w:rPr>
        <w:t xml:space="preserve"> trial </w:t>
      </w:r>
      <w:r w:rsidRPr="000F6752">
        <w:rPr>
          <w:color w:val="000000" w:themeColor="text1"/>
          <w:szCs w:val="24"/>
          <w:lang w:val="en-US"/>
        </w:rPr>
        <w:t xml:space="preserve">(Fig. </w:t>
      </w:r>
      <w:r w:rsidR="00087ACA" w:rsidRPr="000F6752">
        <w:rPr>
          <w:color w:val="000000" w:themeColor="text1"/>
          <w:szCs w:val="24"/>
          <w:lang w:val="en-US"/>
        </w:rPr>
        <w:t>6</w:t>
      </w:r>
      <w:r w:rsidRPr="000F6752">
        <w:rPr>
          <w:color w:val="000000" w:themeColor="text1"/>
          <w:szCs w:val="24"/>
          <w:lang w:val="en-US"/>
        </w:rPr>
        <w:t>). Following 1.5 years the MoS at TD Pert was significantly (p &lt; 0.05) reduced</w:t>
      </w:r>
      <w:r w:rsidRPr="000F6752">
        <w:rPr>
          <w:color w:val="000000" w:themeColor="text1"/>
          <w:lang w:val="en-US"/>
        </w:rPr>
        <w:t xml:space="preserve"> in </w:t>
      </w:r>
      <w:r w:rsidRPr="000F6752">
        <w:rPr>
          <w:color w:val="000000" w:themeColor="text1"/>
          <w:szCs w:val="24"/>
          <w:lang w:val="en-US"/>
        </w:rPr>
        <w:t>T1</w:t>
      </w:r>
      <w:r w:rsidRPr="000F6752">
        <w:rPr>
          <w:color w:val="000000" w:themeColor="text1"/>
          <w:szCs w:val="24"/>
          <w:vertAlign w:val="subscript"/>
          <w:lang w:val="en-US"/>
        </w:rPr>
        <w:t>Post1.5y</w:t>
      </w:r>
      <w:r w:rsidRPr="000F6752">
        <w:rPr>
          <w:color w:val="000000" w:themeColor="text1"/>
          <w:lang w:val="en-US"/>
        </w:rPr>
        <w:t xml:space="preserve"> compared to </w:t>
      </w:r>
      <w:r w:rsidRPr="000F6752">
        <w:rPr>
          <w:color w:val="000000" w:themeColor="text1"/>
          <w:szCs w:val="24"/>
          <w:lang w:val="en-US"/>
        </w:rPr>
        <w:t>T8</w:t>
      </w:r>
      <w:r w:rsidRPr="000F6752">
        <w:rPr>
          <w:color w:val="000000" w:themeColor="text1"/>
          <w:szCs w:val="24"/>
          <w:vertAlign w:val="subscript"/>
          <w:lang w:val="en-US"/>
        </w:rPr>
        <w:t>Post14w</w:t>
      </w:r>
      <w:r w:rsidRPr="000F6752">
        <w:rPr>
          <w:color w:val="000000" w:themeColor="text1"/>
          <w:szCs w:val="24"/>
          <w:lang w:val="en-US"/>
        </w:rPr>
        <w:t xml:space="preserve"> and to T8</w:t>
      </w:r>
      <w:r w:rsidRPr="000F6752">
        <w:rPr>
          <w:color w:val="000000" w:themeColor="text1"/>
          <w:szCs w:val="24"/>
          <w:vertAlign w:val="subscript"/>
          <w:lang w:val="en-US"/>
        </w:rPr>
        <w:t>Pre</w:t>
      </w:r>
      <w:r w:rsidRPr="000F6752">
        <w:rPr>
          <w:color w:val="000000" w:themeColor="text1"/>
          <w:szCs w:val="24"/>
          <w:lang w:val="en-US"/>
        </w:rPr>
        <w:t xml:space="preserve"> (Fig. </w:t>
      </w:r>
      <w:r w:rsidR="00087ACA" w:rsidRPr="000F6752">
        <w:rPr>
          <w:color w:val="000000" w:themeColor="text1"/>
          <w:szCs w:val="24"/>
          <w:lang w:val="en-US"/>
        </w:rPr>
        <w:t>6</w:t>
      </w:r>
      <w:r w:rsidRPr="000F6752">
        <w:rPr>
          <w:color w:val="000000" w:themeColor="text1"/>
          <w:szCs w:val="24"/>
          <w:lang w:val="en-US"/>
        </w:rPr>
        <w:t>). Further, the third perturbation training showed a significant (p &lt; 0.05) increment of the MoS at TD Pert in the T8</w:t>
      </w:r>
      <w:r w:rsidRPr="000F6752">
        <w:rPr>
          <w:color w:val="000000" w:themeColor="text1"/>
          <w:szCs w:val="24"/>
          <w:vertAlign w:val="subscript"/>
          <w:lang w:val="en-US"/>
        </w:rPr>
        <w:t>Post1.5y</w:t>
      </w:r>
      <w:r w:rsidRPr="000F6752">
        <w:rPr>
          <w:color w:val="000000" w:themeColor="text1"/>
          <w:lang w:val="en-US"/>
        </w:rPr>
        <w:t xml:space="preserve"> in comparison to </w:t>
      </w:r>
      <w:r w:rsidRPr="000F6752">
        <w:rPr>
          <w:color w:val="000000" w:themeColor="text1"/>
          <w:lang w:val="en-US"/>
        </w:rPr>
        <w:lastRenderedPageBreak/>
        <w:t xml:space="preserve">the </w:t>
      </w:r>
      <w:r w:rsidRPr="000F6752">
        <w:rPr>
          <w:color w:val="000000" w:themeColor="text1"/>
          <w:szCs w:val="24"/>
          <w:lang w:val="en-US"/>
        </w:rPr>
        <w:t>T1</w:t>
      </w:r>
      <w:r w:rsidRPr="000F6752">
        <w:rPr>
          <w:color w:val="000000" w:themeColor="text1"/>
          <w:szCs w:val="24"/>
          <w:vertAlign w:val="subscript"/>
          <w:lang w:val="en-US"/>
        </w:rPr>
        <w:t>Post1.5y</w:t>
      </w:r>
      <w:r w:rsidRPr="000F6752">
        <w:rPr>
          <w:color w:val="000000" w:themeColor="text1"/>
          <w:lang w:val="en-US"/>
        </w:rPr>
        <w:t xml:space="preserve"> trial</w:t>
      </w:r>
      <w:r w:rsidRPr="000F6752">
        <w:rPr>
          <w:color w:val="000000" w:themeColor="text1"/>
          <w:szCs w:val="24"/>
          <w:lang w:val="en-US"/>
        </w:rPr>
        <w:t>. No significant differences in the MoS at TD Reco1L were found between the T1</w:t>
      </w:r>
      <w:r w:rsidRPr="000F6752">
        <w:rPr>
          <w:color w:val="000000" w:themeColor="text1"/>
          <w:szCs w:val="24"/>
          <w:vertAlign w:val="subscript"/>
          <w:lang w:val="en-US"/>
        </w:rPr>
        <w:t>Post14w</w:t>
      </w:r>
      <w:r w:rsidRPr="000F6752">
        <w:rPr>
          <w:color w:val="000000" w:themeColor="text1"/>
          <w:szCs w:val="24"/>
          <w:lang w:val="en-US"/>
        </w:rPr>
        <w:t>, T8</w:t>
      </w:r>
      <w:r w:rsidRPr="000F6752">
        <w:rPr>
          <w:color w:val="000000" w:themeColor="text1"/>
          <w:szCs w:val="24"/>
          <w:vertAlign w:val="subscript"/>
          <w:lang w:val="en-US"/>
        </w:rPr>
        <w:t>Post14w</w:t>
      </w:r>
      <w:r w:rsidRPr="000F6752">
        <w:rPr>
          <w:color w:val="000000" w:themeColor="text1"/>
          <w:lang w:val="en-US"/>
        </w:rPr>
        <w:t xml:space="preserve">, </w:t>
      </w:r>
      <w:r w:rsidRPr="000F6752">
        <w:rPr>
          <w:color w:val="000000" w:themeColor="text1"/>
          <w:szCs w:val="24"/>
          <w:lang w:val="en-US"/>
        </w:rPr>
        <w:t>T1</w:t>
      </w:r>
      <w:r w:rsidRPr="000F6752">
        <w:rPr>
          <w:color w:val="000000" w:themeColor="text1"/>
          <w:szCs w:val="24"/>
          <w:vertAlign w:val="subscript"/>
          <w:lang w:val="en-US"/>
        </w:rPr>
        <w:t>Post1.5y</w:t>
      </w:r>
      <w:r w:rsidRPr="000F6752">
        <w:rPr>
          <w:color w:val="000000" w:themeColor="text1"/>
          <w:szCs w:val="24"/>
          <w:lang w:val="en-US"/>
        </w:rPr>
        <w:t xml:space="preserve"> </w:t>
      </w:r>
      <w:r w:rsidRPr="000F6752">
        <w:rPr>
          <w:color w:val="000000" w:themeColor="text1"/>
          <w:lang w:val="en-US"/>
        </w:rPr>
        <w:t xml:space="preserve">and </w:t>
      </w:r>
      <w:r w:rsidRPr="000F6752">
        <w:rPr>
          <w:color w:val="000000" w:themeColor="text1"/>
          <w:szCs w:val="24"/>
          <w:lang w:val="en-US"/>
        </w:rPr>
        <w:t>T8</w:t>
      </w:r>
      <w:r w:rsidRPr="000F6752">
        <w:rPr>
          <w:color w:val="000000" w:themeColor="text1"/>
          <w:szCs w:val="24"/>
          <w:vertAlign w:val="subscript"/>
          <w:lang w:val="en-US"/>
        </w:rPr>
        <w:t>Post1.5y</w:t>
      </w:r>
      <w:r w:rsidRPr="000F6752">
        <w:rPr>
          <w:color w:val="000000" w:themeColor="text1"/>
          <w:lang w:val="en-US"/>
        </w:rPr>
        <w:t>.</w:t>
      </w:r>
    </w:p>
    <w:p w14:paraId="639A87BB" w14:textId="77777777" w:rsidR="00536006" w:rsidRPr="000F6752" w:rsidRDefault="00536006" w:rsidP="00536006">
      <w:pPr>
        <w:autoSpaceDE w:val="0"/>
        <w:autoSpaceDN w:val="0"/>
        <w:adjustRightInd w:val="0"/>
        <w:spacing w:after="0"/>
        <w:contextualSpacing/>
        <w:jc w:val="both"/>
        <w:rPr>
          <w:color w:val="000000" w:themeColor="text1"/>
          <w:lang w:val="en-US"/>
        </w:rPr>
      </w:pPr>
    </w:p>
    <w:p w14:paraId="3A560154" w14:textId="6159E744" w:rsidR="00536006" w:rsidRPr="000F6752" w:rsidRDefault="00536006" w:rsidP="00536006">
      <w:pPr>
        <w:autoSpaceDE w:val="0"/>
        <w:autoSpaceDN w:val="0"/>
        <w:adjustRightInd w:val="0"/>
        <w:spacing w:after="0"/>
        <w:contextualSpacing/>
        <w:jc w:val="both"/>
        <w:rPr>
          <w:b/>
          <w:color w:val="000000" w:themeColor="text1"/>
          <w:lang w:val="en-US"/>
        </w:rPr>
      </w:pPr>
      <w:r w:rsidRPr="000F6752">
        <w:rPr>
          <w:b/>
          <w:color w:val="000000" w:themeColor="text1"/>
          <w:lang w:val="en-US"/>
        </w:rPr>
        <w:t xml:space="preserve">Figure </w:t>
      </w:r>
      <w:r w:rsidR="00FF407B" w:rsidRPr="000F6752">
        <w:rPr>
          <w:b/>
          <w:color w:val="000000" w:themeColor="text1"/>
          <w:lang w:val="en-US"/>
        </w:rPr>
        <w:t>6</w:t>
      </w:r>
    </w:p>
    <w:p w14:paraId="107DB8AD" w14:textId="4600AA33" w:rsidR="00536006" w:rsidRPr="000F6752" w:rsidRDefault="00536006" w:rsidP="00536006">
      <w:pPr>
        <w:autoSpaceDE w:val="0"/>
        <w:autoSpaceDN w:val="0"/>
        <w:adjustRightInd w:val="0"/>
        <w:spacing w:after="0"/>
        <w:contextualSpacing/>
        <w:jc w:val="both"/>
        <w:rPr>
          <w:b/>
          <w:color w:val="000000" w:themeColor="text1"/>
          <w:lang w:val="en-US"/>
        </w:rPr>
      </w:pPr>
      <w:r w:rsidRPr="000F6752">
        <w:rPr>
          <w:b/>
          <w:color w:val="000000" w:themeColor="text1"/>
          <w:lang w:val="en-US"/>
        </w:rPr>
        <w:t xml:space="preserve">Figure </w:t>
      </w:r>
      <w:r w:rsidR="00FF407B" w:rsidRPr="000F6752">
        <w:rPr>
          <w:b/>
          <w:color w:val="000000" w:themeColor="text1"/>
          <w:lang w:val="en-US"/>
        </w:rPr>
        <w:t>7</w:t>
      </w:r>
    </w:p>
    <w:p w14:paraId="4222916D" w14:textId="77777777" w:rsidR="00536006" w:rsidRPr="000F6752" w:rsidRDefault="00536006" w:rsidP="00536006">
      <w:pPr>
        <w:autoSpaceDE w:val="0"/>
        <w:autoSpaceDN w:val="0"/>
        <w:adjustRightInd w:val="0"/>
        <w:spacing w:after="0"/>
        <w:contextualSpacing/>
        <w:jc w:val="both"/>
        <w:rPr>
          <w:color w:val="000000" w:themeColor="text1"/>
          <w:lang w:val="en-US"/>
        </w:rPr>
      </w:pPr>
    </w:p>
    <w:p w14:paraId="4331CE80" w14:textId="77777777" w:rsidR="00536006" w:rsidRPr="000F6752" w:rsidRDefault="00536006" w:rsidP="00536006">
      <w:pPr>
        <w:pStyle w:val="Heading1"/>
        <w:spacing w:before="0"/>
        <w:jc w:val="both"/>
        <w:rPr>
          <w:color w:val="000000" w:themeColor="text1"/>
          <w:szCs w:val="24"/>
          <w:lang w:val="en-US"/>
        </w:rPr>
      </w:pPr>
      <w:r w:rsidRPr="000F6752">
        <w:rPr>
          <w:color w:val="000000" w:themeColor="text1"/>
          <w:szCs w:val="24"/>
          <w:lang w:val="en-US"/>
        </w:rPr>
        <w:t>Discussion</w:t>
      </w:r>
    </w:p>
    <w:p w14:paraId="68CBDE69" w14:textId="0E48F198" w:rsidR="00536006" w:rsidRPr="000F6752" w:rsidRDefault="00536006" w:rsidP="00536006">
      <w:pPr>
        <w:jc w:val="both"/>
        <w:rPr>
          <w:color w:val="000000" w:themeColor="text1"/>
          <w:lang w:val="en-US"/>
        </w:rPr>
      </w:pPr>
      <w:r w:rsidRPr="000F6752">
        <w:rPr>
          <w:color w:val="000000" w:themeColor="text1"/>
          <w:lang w:val="en-US"/>
        </w:rPr>
        <w:t xml:space="preserve">The current study aimed to determine whether an enhancement of the TS </w:t>
      </w:r>
      <w:r w:rsidR="00CE071D" w:rsidRPr="000F6752">
        <w:rPr>
          <w:color w:val="000000" w:themeColor="text1"/>
          <w:lang w:val="en-US"/>
        </w:rPr>
        <w:t xml:space="preserve">neuromuscular </w:t>
      </w:r>
      <w:r w:rsidRPr="000F6752">
        <w:rPr>
          <w:color w:val="000000" w:themeColor="text1"/>
          <w:lang w:val="en-US"/>
        </w:rPr>
        <w:t xml:space="preserve">capacities following medium-term (14 weeks) or long-term (1.5 years) exercise intervention would benefit reactive dynamic gait stability and if this would have a cumulative effect with retained reactive response improvements made during sessions of perturbations conducted prior to and 14 weeks into the exercise intervention in older adults. Our hypothesis, that dynamic stability improvements would be retained by older adults over both 14 weeks and 1.5 years after experiencing perturbation training sessions was confirmed, as all groups retained adaptations made in the perturbation sessions. However, the addition of TS </w:t>
      </w:r>
      <w:r w:rsidR="004B07C6" w:rsidRPr="000F6752">
        <w:rPr>
          <w:color w:val="000000" w:themeColor="text1"/>
          <w:lang w:val="en-US"/>
        </w:rPr>
        <w:t>neuromuscular</w:t>
      </w:r>
      <w:r w:rsidRPr="000F6752">
        <w:rPr>
          <w:color w:val="000000" w:themeColor="text1"/>
          <w:lang w:val="en-US"/>
        </w:rPr>
        <w:t xml:space="preserve"> exercise was not cumulative with the effects of retention in reactive response during perturbed walking in the intervention group after both the medium-term (14 weeks) and, against our hypothesis, the long-term (1.5 years) exercise </w:t>
      </w:r>
      <w:r w:rsidR="00160E2F" w:rsidRPr="000F6752">
        <w:rPr>
          <w:color w:val="000000" w:themeColor="text1"/>
          <w:lang w:val="en-US"/>
        </w:rPr>
        <w:t>time period</w:t>
      </w:r>
      <w:r w:rsidRPr="000F6752">
        <w:rPr>
          <w:color w:val="000000" w:themeColor="text1"/>
          <w:lang w:val="en-US"/>
        </w:rPr>
        <w:t>.</w:t>
      </w:r>
    </w:p>
    <w:p w14:paraId="6BC72C3E" w14:textId="77777777" w:rsidR="008B7CB7" w:rsidRPr="000F6752" w:rsidRDefault="008B7CB7" w:rsidP="00536006">
      <w:pPr>
        <w:jc w:val="both"/>
        <w:rPr>
          <w:color w:val="000000" w:themeColor="text1"/>
          <w:lang w:val="en-US"/>
        </w:rPr>
      </w:pPr>
    </w:p>
    <w:p w14:paraId="70206125" w14:textId="77777777" w:rsidR="00536006" w:rsidRPr="000F6752" w:rsidRDefault="00536006" w:rsidP="00536006">
      <w:pPr>
        <w:pStyle w:val="Heading2"/>
        <w:rPr>
          <w:b w:val="0"/>
          <w:i/>
          <w:color w:val="000000" w:themeColor="text1"/>
          <w:lang w:val="en-US"/>
        </w:rPr>
      </w:pPr>
      <w:r w:rsidRPr="000F6752">
        <w:rPr>
          <w:b w:val="0"/>
          <w:i/>
          <w:color w:val="000000" w:themeColor="text1"/>
          <w:lang w:val="en-US"/>
        </w:rPr>
        <w:t>Adaptation of reactive dynamic stability during perturbed walking</w:t>
      </w:r>
    </w:p>
    <w:p w14:paraId="253BC413" w14:textId="64063591" w:rsidR="00F55EEE" w:rsidRPr="000F6752" w:rsidRDefault="00536006" w:rsidP="006B3782">
      <w:pPr>
        <w:jc w:val="both"/>
        <w:rPr>
          <w:color w:val="000000" w:themeColor="text1"/>
          <w:lang w:val="en-US"/>
        </w:rPr>
      </w:pPr>
      <w:r w:rsidRPr="000F6752">
        <w:rPr>
          <w:color w:val="000000" w:themeColor="text1"/>
          <w:lang w:val="en-US"/>
        </w:rPr>
        <w:t xml:space="preserve">The first trial of the initial session of trip perturbations </w:t>
      </w:r>
      <w:r w:rsidRPr="000F6752">
        <w:rPr>
          <w:color w:val="000000" w:themeColor="text1"/>
          <w:szCs w:val="24"/>
          <w:lang w:val="en-US"/>
        </w:rPr>
        <w:t>(T1</w:t>
      </w:r>
      <w:r w:rsidRPr="000F6752">
        <w:rPr>
          <w:color w:val="000000" w:themeColor="text1"/>
          <w:szCs w:val="24"/>
          <w:vertAlign w:val="subscript"/>
          <w:lang w:val="en-US"/>
        </w:rPr>
        <w:t>Pre</w:t>
      </w:r>
      <w:r w:rsidRPr="000F6752">
        <w:rPr>
          <w:color w:val="000000" w:themeColor="text1"/>
          <w:szCs w:val="24"/>
          <w:lang w:val="en-US"/>
        </w:rPr>
        <w:t xml:space="preserve">) </w:t>
      </w:r>
      <w:r w:rsidRPr="000F6752">
        <w:rPr>
          <w:color w:val="000000" w:themeColor="text1"/>
          <w:lang w:val="en-US"/>
        </w:rPr>
        <w:t xml:space="preserve">revealed comparable MoS values </w:t>
      </w:r>
      <w:r w:rsidR="007149DE" w:rsidRPr="000F6752">
        <w:rPr>
          <w:color w:val="000000" w:themeColor="text1"/>
          <w:lang w:val="en-US"/>
        </w:rPr>
        <w:t xml:space="preserve">at </w:t>
      </w:r>
      <w:r w:rsidR="00A32165" w:rsidRPr="000F6752">
        <w:rPr>
          <w:color w:val="000000" w:themeColor="text1"/>
          <w:lang w:val="en-US"/>
        </w:rPr>
        <w:t>TD Base</w:t>
      </w:r>
      <w:r w:rsidR="007149DE" w:rsidRPr="000F6752">
        <w:rPr>
          <w:color w:val="000000" w:themeColor="text1"/>
          <w:lang w:val="en-US"/>
        </w:rPr>
        <w:t xml:space="preserve">, </w:t>
      </w:r>
      <w:r w:rsidR="00A32165" w:rsidRPr="000F6752">
        <w:rPr>
          <w:color w:val="000000" w:themeColor="text1"/>
          <w:lang w:val="en-US"/>
        </w:rPr>
        <w:t xml:space="preserve">TD Pert </w:t>
      </w:r>
      <w:r w:rsidR="007149DE" w:rsidRPr="000F6752">
        <w:rPr>
          <w:color w:val="000000" w:themeColor="text1"/>
          <w:lang w:val="en-US"/>
        </w:rPr>
        <w:t xml:space="preserve">and </w:t>
      </w:r>
      <w:r w:rsidR="00A32165" w:rsidRPr="000F6752">
        <w:rPr>
          <w:color w:val="000000" w:themeColor="text1"/>
          <w:lang w:val="en-US"/>
        </w:rPr>
        <w:t xml:space="preserve">TD Reco1L </w:t>
      </w:r>
      <w:r w:rsidRPr="000F6752">
        <w:rPr>
          <w:color w:val="000000" w:themeColor="text1"/>
          <w:lang w:val="en-US"/>
        </w:rPr>
        <w:t xml:space="preserve">in all three subject groups, thereby indicating that the applied perturbation and task demand was similar with respect to dynamic </w:t>
      </w:r>
      <w:r w:rsidR="00321F1C" w:rsidRPr="000F6752">
        <w:rPr>
          <w:color w:val="000000" w:themeColor="text1"/>
          <w:lang w:val="en-US"/>
        </w:rPr>
        <w:t xml:space="preserve">stability (Fig. </w:t>
      </w:r>
      <w:r w:rsidR="00FC4604" w:rsidRPr="000F6752">
        <w:rPr>
          <w:color w:val="000000" w:themeColor="text1"/>
          <w:lang w:val="en-US"/>
        </w:rPr>
        <w:t>6</w:t>
      </w:r>
      <w:r w:rsidR="00321F1C" w:rsidRPr="000F6752">
        <w:rPr>
          <w:color w:val="000000" w:themeColor="text1"/>
          <w:lang w:val="en-US"/>
        </w:rPr>
        <w:t xml:space="preserve"> and Fig. </w:t>
      </w:r>
      <w:r w:rsidR="00FC4604" w:rsidRPr="000F6752">
        <w:rPr>
          <w:color w:val="000000" w:themeColor="text1"/>
          <w:lang w:val="en-US"/>
        </w:rPr>
        <w:t>7</w:t>
      </w:r>
      <w:r w:rsidR="00321F1C" w:rsidRPr="000F6752">
        <w:rPr>
          <w:color w:val="000000" w:themeColor="text1"/>
          <w:lang w:val="en-US"/>
        </w:rPr>
        <w:t xml:space="preserve">). </w:t>
      </w:r>
      <w:r w:rsidR="00B23BDE" w:rsidRPr="000F6752">
        <w:rPr>
          <w:color w:val="000000" w:themeColor="text1"/>
          <w:lang w:val="en-US"/>
        </w:rPr>
        <w:t xml:space="preserve">The </w:t>
      </w:r>
      <w:r w:rsidR="00B23BDE" w:rsidRPr="000F6752">
        <w:rPr>
          <w:color w:val="000000" w:themeColor="text1"/>
          <w:lang w:val="en-US"/>
        </w:rPr>
        <w:lastRenderedPageBreak/>
        <w:t xml:space="preserve">current results </w:t>
      </w:r>
      <w:r w:rsidR="00771ACA" w:rsidRPr="000F6752">
        <w:rPr>
          <w:color w:val="000000" w:themeColor="text1"/>
          <w:lang w:val="en-US"/>
        </w:rPr>
        <w:t xml:space="preserve">suggest </w:t>
      </w:r>
      <w:r w:rsidR="00B23BDE" w:rsidRPr="000F6752">
        <w:rPr>
          <w:color w:val="000000" w:themeColor="text1"/>
          <w:lang w:val="en-US"/>
        </w:rPr>
        <w:t xml:space="preserve">that older female adults acutely adapted their reactive response following the unexpected perturbation in all perturbation sessions (Fig. 6 and Fig. 7). </w:t>
      </w:r>
      <w:r w:rsidRPr="000F6752">
        <w:rPr>
          <w:color w:val="000000" w:themeColor="text1"/>
          <w:lang w:val="en-US"/>
        </w:rPr>
        <w:t xml:space="preserve">When combining these results with earlier studies using various perturbations to gait </w:t>
      </w:r>
      <w:bookmarkStart w:id="30" w:name="Mendeley_Bookmark_fVG2hC1VHi"/>
      <w:r w:rsidRPr="000F6752">
        <w:rPr>
          <w:color w:val="000000" w:themeColor="text1"/>
          <w:lang w:val="en-US"/>
        </w:rPr>
        <w:t>(Bhatt et a</w:t>
      </w:r>
      <w:r w:rsidR="00AE791E" w:rsidRPr="000F6752">
        <w:rPr>
          <w:color w:val="000000" w:themeColor="text1"/>
          <w:lang w:val="en-US"/>
        </w:rPr>
        <w:t>l. 2006b; Bierbaum et al. 2011</w:t>
      </w:r>
      <w:r w:rsidRPr="000F6752">
        <w:rPr>
          <w:color w:val="000000" w:themeColor="text1"/>
          <w:lang w:val="en-US"/>
        </w:rPr>
        <w:t>; Pai et al. 2010)</w:t>
      </w:r>
      <w:bookmarkEnd w:id="30"/>
      <w:r w:rsidRPr="000F6752">
        <w:rPr>
          <w:color w:val="000000" w:themeColor="text1"/>
          <w:lang w:val="en-US"/>
        </w:rPr>
        <w:t>, it can be concluded, that older adults seem to be capable of adapting their reactive recovery behavior in response to repeated exposure to gait perturbations in the anterior-posterior direction</w:t>
      </w:r>
      <w:r w:rsidR="000F6752" w:rsidRPr="000F6752">
        <w:rPr>
          <w:color w:val="000000" w:themeColor="text1"/>
          <w:lang w:val="en-US"/>
        </w:rPr>
        <w:t xml:space="preserve">. </w:t>
      </w:r>
      <w:r w:rsidR="00D21C71" w:rsidRPr="000F6752">
        <w:rPr>
          <w:color w:val="000000" w:themeColor="text1"/>
          <w:lang w:val="en-US"/>
        </w:rPr>
        <w:t>R</w:t>
      </w:r>
      <w:r w:rsidR="00EB68A5" w:rsidRPr="000F6752">
        <w:rPr>
          <w:color w:val="000000" w:themeColor="text1"/>
          <w:lang w:val="en-US"/>
        </w:rPr>
        <w:t xml:space="preserve">epetitive exposure </w:t>
      </w:r>
      <w:r w:rsidR="00D21C71" w:rsidRPr="000F6752">
        <w:rPr>
          <w:color w:val="000000" w:themeColor="text1"/>
          <w:lang w:val="en-US"/>
        </w:rPr>
        <w:t xml:space="preserve">to sudden perturbations </w:t>
      </w:r>
      <w:r w:rsidR="00EB68A5" w:rsidRPr="000F6752">
        <w:rPr>
          <w:color w:val="000000" w:themeColor="text1"/>
          <w:lang w:val="en-US"/>
        </w:rPr>
        <w:t>drives foremost the</w:t>
      </w:r>
      <w:r w:rsidR="000B70F6" w:rsidRPr="000F6752">
        <w:rPr>
          <w:color w:val="000000" w:themeColor="text1"/>
          <w:lang w:val="en-US"/>
        </w:rPr>
        <w:t xml:space="preserve"> central nervous </w:t>
      </w:r>
      <w:r w:rsidR="00EB68A5" w:rsidRPr="000F6752">
        <w:rPr>
          <w:color w:val="000000" w:themeColor="text1"/>
          <w:lang w:val="en-US"/>
        </w:rPr>
        <w:t xml:space="preserve">system to </w:t>
      </w:r>
      <w:r w:rsidR="00D21C71" w:rsidRPr="000F6752">
        <w:rPr>
          <w:color w:val="000000" w:themeColor="text1"/>
          <w:lang w:val="en-US"/>
        </w:rPr>
        <w:t>adapt and cope with unexpected</w:t>
      </w:r>
      <w:r w:rsidR="00EB68A5" w:rsidRPr="000F6752">
        <w:rPr>
          <w:color w:val="000000" w:themeColor="text1"/>
          <w:lang w:val="en-US"/>
        </w:rPr>
        <w:t xml:space="preserve"> environmental changes. Perturbation training can induce involuntary </w:t>
      </w:r>
      <w:r w:rsidR="00DB7CB5" w:rsidRPr="000F6752">
        <w:rPr>
          <w:color w:val="000000" w:themeColor="text1"/>
          <w:lang w:val="en-US"/>
        </w:rPr>
        <w:t xml:space="preserve">prediction </w:t>
      </w:r>
      <w:r w:rsidR="00EB68A5" w:rsidRPr="000F6752">
        <w:rPr>
          <w:color w:val="000000" w:themeColor="text1"/>
          <w:lang w:val="en-US"/>
        </w:rPr>
        <w:t xml:space="preserve">errors, which cannot be </w:t>
      </w:r>
      <w:r w:rsidR="00871470" w:rsidRPr="000F6752">
        <w:rPr>
          <w:color w:val="000000" w:themeColor="text1"/>
          <w:lang w:val="en-US"/>
        </w:rPr>
        <w:t xml:space="preserve">readjusted </w:t>
      </w:r>
      <w:r w:rsidR="00DB7CB5" w:rsidRPr="000F6752">
        <w:rPr>
          <w:color w:val="000000" w:themeColor="text1"/>
          <w:lang w:val="en-US"/>
        </w:rPr>
        <w:t xml:space="preserve">solely </w:t>
      </w:r>
      <w:r w:rsidR="00EB68A5" w:rsidRPr="000F6752">
        <w:rPr>
          <w:color w:val="000000" w:themeColor="text1"/>
          <w:lang w:val="en-US"/>
        </w:rPr>
        <w:t xml:space="preserve">by volitional </w:t>
      </w:r>
      <w:r w:rsidR="00871470" w:rsidRPr="000F6752">
        <w:rPr>
          <w:color w:val="000000" w:themeColor="text1"/>
          <w:lang w:val="en-US"/>
        </w:rPr>
        <w:t>corrective motor output</w:t>
      </w:r>
      <w:r w:rsidR="00EB68A5" w:rsidRPr="000F6752">
        <w:rPr>
          <w:color w:val="000000" w:themeColor="text1"/>
          <w:lang w:val="en-US"/>
        </w:rPr>
        <w:t xml:space="preserve"> (</w:t>
      </w:r>
      <w:r w:rsidR="00D26B16" w:rsidRPr="000F6752">
        <w:rPr>
          <w:color w:val="000000" w:themeColor="text1"/>
          <w:lang w:val="en-US"/>
        </w:rPr>
        <w:t xml:space="preserve">Keck et al. 1998; </w:t>
      </w:r>
      <w:r w:rsidR="00EB68A5" w:rsidRPr="000F6752">
        <w:rPr>
          <w:color w:val="000000" w:themeColor="text1"/>
          <w:lang w:val="en-US"/>
        </w:rPr>
        <w:t>Tseng et al. 2007</w:t>
      </w:r>
      <w:r w:rsidR="002601EB" w:rsidRPr="000F6752">
        <w:rPr>
          <w:color w:val="000000" w:themeColor="text1"/>
          <w:lang w:val="en-US"/>
        </w:rPr>
        <w:t>)</w:t>
      </w:r>
      <w:r w:rsidR="00EB68A5" w:rsidRPr="000F6752">
        <w:rPr>
          <w:color w:val="000000" w:themeColor="text1"/>
          <w:lang w:val="en-US"/>
        </w:rPr>
        <w:t>. Experiencing these kind</w:t>
      </w:r>
      <w:r w:rsidR="0033089E" w:rsidRPr="000F6752">
        <w:rPr>
          <w:color w:val="000000" w:themeColor="text1"/>
          <w:lang w:val="en-US"/>
        </w:rPr>
        <w:t>s</w:t>
      </w:r>
      <w:r w:rsidR="00EB68A5" w:rsidRPr="000F6752">
        <w:rPr>
          <w:color w:val="000000" w:themeColor="text1"/>
          <w:lang w:val="en-US"/>
        </w:rPr>
        <w:t xml:space="preserve"> of errors is crucial for the central nervous system to reorganize the exist</w:t>
      </w:r>
      <w:r w:rsidR="005B4E82" w:rsidRPr="000F6752">
        <w:rPr>
          <w:color w:val="000000" w:themeColor="text1"/>
          <w:lang w:val="en-US"/>
        </w:rPr>
        <w:t>ing</w:t>
      </w:r>
      <w:r w:rsidR="00EB68A5" w:rsidRPr="000F6752">
        <w:rPr>
          <w:color w:val="000000" w:themeColor="text1"/>
          <w:lang w:val="en-US"/>
        </w:rPr>
        <w:t xml:space="preserve"> internal</w:t>
      </w:r>
      <w:r w:rsidR="00EB68A5" w:rsidRPr="000F6752">
        <w:rPr>
          <w:color w:val="000000" w:themeColor="text1"/>
        </w:rPr>
        <w:t xml:space="preserve"> </w:t>
      </w:r>
      <w:r w:rsidR="00EB68A5" w:rsidRPr="000F6752">
        <w:rPr>
          <w:color w:val="000000" w:themeColor="text1"/>
          <w:lang w:val="en-US"/>
        </w:rPr>
        <w:t>representation of the environment</w:t>
      </w:r>
      <w:r w:rsidR="00882E67" w:rsidRPr="000F6752">
        <w:rPr>
          <w:color w:val="000000" w:themeColor="text1"/>
          <w:lang w:val="en-US"/>
        </w:rPr>
        <w:t xml:space="preserve"> </w:t>
      </w:r>
      <w:r w:rsidR="00EB68A5" w:rsidRPr="000F6752">
        <w:rPr>
          <w:color w:val="000000" w:themeColor="text1"/>
          <w:lang w:val="en-US"/>
        </w:rPr>
        <w:t>(</w:t>
      </w:r>
      <w:r w:rsidR="00E87647" w:rsidRPr="000F6752">
        <w:rPr>
          <w:color w:val="000000" w:themeColor="text1"/>
          <w:lang w:val="en-US"/>
        </w:rPr>
        <w:t>Malone et al. 2012;</w:t>
      </w:r>
      <w:r w:rsidR="00F92A99" w:rsidRPr="000F6752" w:rsidDel="00F92A99">
        <w:rPr>
          <w:color w:val="000000" w:themeColor="text1"/>
          <w:lang w:val="en-US"/>
        </w:rPr>
        <w:t xml:space="preserve"> </w:t>
      </w:r>
      <w:r w:rsidR="00E06A8F" w:rsidRPr="000F6752">
        <w:rPr>
          <w:color w:val="000000" w:themeColor="text1"/>
          <w:lang w:val="en-US"/>
        </w:rPr>
        <w:t>Shadmehr et al. 2010</w:t>
      </w:r>
      <w:r w:rsidR="00EB68A5" w:rsidRPr="000F6752">
        <w:rPr>
          <w:color w:val="000000" w:themeColor="text1"/>
          <w:lang w:val="en-US"/>
        </w:rPr>
        <w:t>)</w:t>
      </w:r>
      <w:r w:rsidR="00882E67" w:rsidRPr="000F6752">
        <w:rPr>
          <w:color w:val="000000" w:themeColor="text1"/>
          <w:lang w:val="en-US"/>
        </w:rPr>
        <w:t xml:space="preserve">, </w:t>
      </w:r>
      <w:r w:rsidR="00EB68A5" w:rsidRPr="000F6752">
        <w:rPr>
          <w:color w:val="000000" w:themeColor="text1"/>
          <w:lang w:val="en-US"/>
        </w:rPr>
        <w:t>providing the necessary basis for learning a motor</w:t>
      </w:r>
      <w:r w:rsidR="00882E67" w:rsidRPr="000F6752">
        <w:rPr>
          <w:color w:val="000000" w:themeColor="text1"/>
          <w:lang w:val="en-US"/>
        </w:rPr>
        <w:t xml:space="preserve"> </w:t>
      </w:r>
      <w:r w:rsidR="00EB68A5" w:rsidRPr="000F6752">
        <w:rPr>
          <w:color w:val="000000" w:themeColor="text1"/>
          <w:lang w:val="en-US"/>
        </w:rPr>
        <w:t xml:space="preserve">task, in this case to modify both the predictive and reactive control of </w:t>
      </w:r>
      <w:r w:rsidR="004F4016" w:rsidRPr="000F6752">
        <w:rPr>
          <w:color w:val="000000" w:themeColor="text1"/>
          <w:lang w:val="en-US"/>
        </w:rPr>
        <w:t xml:space="preserve">gait </w:t>
      </w:r>
      <w:r w:rsidR="00EB68A5" w:rsidRPr="000F6752">
        <w:rPr>
          <w:color w:val="000000" w:themeColor="text1"/>
          <w:lang w:val="en-US"/>
        </w:rPr>
        <w:t xml:space="preserve">stability. </w:t>
      </w:r>
      <w:r w:rsidR="00A20D15" w:rsidRPr="000F6752">
        <w:rPr>
          <w:color w:val="000000" w:themeColor="text1"/>
          <w:lang w:val="en-US"/>
        </w:rPr>
        <w:t>T</w:t>
      </w:r>
      <w:r w:rsidR="00EB68A5" w:rsidRPr="000F6752">
        <w:rPr>
          <w:color w:val="000000" w:themeColor="text1"/>
          <w:lang w:val="en-US"/>
        </w:rPr>
        <w:t xml:space="preserve">he reactive control is </w:t>
      </w:r>
      <w:r w:rsidR="00A20D15" w:rsidRPr="000F6752">
        <w:rPr>
          <w:color w:val="000000" w:themeColor="text1"/>
          <w:lang w:val="en-US"/>
        </w:rPr>
        <w:t xml:space="preserve">shown to be </w:t>
      </w:r>
      <w:r w:rsidR="00EB68A5" w:rsidRPr="000F6752">
        <w:rPr>
          <w:color w:val="000000" w:themeColor="text1"/>
          <w:lang w:val="en-US"/>
        </w:rPr>
        <w:t>mainly influenced by feedback mechanisms, such as spinal reflex</w:t>
      </w:r>
      <w:r w:rsidR="00D21C71" w:rsidRPr="000F6752">
        <w:rPr>
          <w:color w:val="000000" w:themeColor="text1"/>
          <w:lang w:val="en-US"/>
        </w:rPr>
        <w:t>es</w:t>
      </w:r>
      <w:r w:rsidR="00EB68A5" w:rsidRPr="000F6752">
        <w:rPr>
          <w:color w:val="000000" w:themeColor="text1"/>
          <w:lang w:val="en-US"/>
        </w:rPr>
        <w:t xml:space="preserve"> </w:t>
      </w:r>
      <w:r w:rsidR="00983A6C" w:rsidRPr="000F6752">
        <w:rPr>
          <w:color w:val="000000" w:themeColor="text1"/>
          <w:lang w:val="en-US"/>
        </w:rPr>
        <w:t xml:space="preserve">and </w:t>
      </w:r>
      <w:r w:rsidR="00EB68A5" w:rsidRPr="000F6752">
        <w:rPr>
          <w:color w:val="000000" w:themeColor="text1"/>
          <w:lang w:val="en-US"/>
        </w:rPr>
        <w:t>supraspinal automatic postural response</w:t>
      </w:r>
      <w:r w:rsidR="00D21C71" w:rsidRPr="000F6752">
        <w:rPr>
          <w:color w:val="000000" w:themeColor="text1"/>
          <w:lang w:val="en-US"/>
        </w:rPr>
        <w:t>s</w:t>
      </w:r>
      <w:r w:rsidR="00EB68A5" w:rsidRPr="000F6752">
        <w:rPr>
          <w:color w:val="000000" w:themeColor="text1"/>
          <w:lang w:val="en-US"/>
        </w:rPr>
        <w:t xml:space="preserve"> </w:t>
      </w:r>
      <w:r w:rsidR="00983A6C" w:rsidRPr="000F6752">
        <w:rPr>
          <w:color w:val="000000" w:themeColor="text1"/>
          <w:lang w:val="en-US"/>
        </w:rPr>
        <w:t xml:space="preserve">potentially involving the </w:t>
      </w:r>
      <w:r w:rsidR="00352B84" w:rsidRPr="000F6752">
        <w:rPr>
          <w:color w:val="000000" w:themeColor="text1"/>
          <w:lang w:val="en-US"/>
        </w:rPr>
        <w:t>brainstem</w:t>
      </w:r>
      <w:r w:rsidR="00983A6C" w:rsidRPr="000F6752">
        <w:rPr>
          <w:color w:val="000000" w:themeColor="text1"/>
          <w:lang w:val="en-US"/>
        </w:rPr>
        <w:t>, the cereb</w:t>
      </w:r>
      <w:r w:rsidR="00E16206" w:rsidRPr="000F6752">
        <w:rPr>
          <w:color w:val="000000" w:themeColor="text1"/>
          <w:lang w:val="en-US"/>
        </w:rPr>
        <w:t>e</w:t>
      </w:r>
      <w:r w:rsidR="00983A6C" w:rsidRPr="000F6752">
        <w:rPr>
          <w:color w:val="000000" w:themeColor="text1"/>
          <w:lang w:val="en-US"/>
        </w:rPr>
        <w:t>llum and the cerebral cortex</w:t>
      </w:r>
      <w:r w:rsidR="00352B84" w:rsidRPr="000F6752">
        <w:rPr>
          <w:color w:val="000000" w:themeColor="text1"/>
          <w:lang w:val="en-US"/>
        </w:rPr>
        <w:t xml:space="preserve"> </w:t>
      </w:r>
      <w:r w:rsidR="00EB68A5" w:rsidRPr="000F6752">
        <w:rPr>
          <w:color w:val="000000" w:themeColor="text1"/>
          <w:lang w:val="en-US"/>
        </w:rPr>
        <w:t>(</w:t>
      </w:r>
      <w:r w:rsidR="00983A6C" w:rsidRPr="000F6752">
        <w:rPr>
          <w:color w:val="000000" w:themeColor="text1"/>
          <w:lang w:val="en-US"/>
        </w:rPr>
        <w:t>Jacobs and Horak 2007</w:t>
      </w:r>
      <w:r w:rsidR="00EB68A5" w:rsidRPr="000F6752">
        <w:rPr>
          <w:color w:val="000000" w:themeColor="text1"/>
          <w:lang w:val="en-US"/>
        </w:rPr>
        <w:t>). Even though aging is associated with several neurodegenerative changes</w:t>
      </w:r>
      <w:r w:rsidR="007C4151" w:rsidRPr="000F6752">
        <w:rPr>
          <w:color w:val="000000" w:themeColor="text1"/>
          <w:lang w:val="en-US"/>
        </w:rPr>
        <w:t xml:space="preserve"> </w:t>
      </w:r>
      <w:r w:rsidR="00EB68A5" w:rsidRPr="000F6752">
        <w:rPr>
          <w:color w:val="000000" w:themeColor="text1"/>
          <w:lang w:val="en-US"/>
        </w:rPr>
        <w:t>(</w:t>
      </w:r>
      <w:r w:rsidR="006B3782" w:rsidRPr="000F6752">
        <w:rPr>
          <w:color w:val="000000" w:themeColor="text1"/>
          <w:lang w:val="en-US"/>
        </w:rPr>
        <w:t>Dorfman and Bosley 1979; Haug and Eggers 1991</w:t>
      </w:r>
      <w:r w:rsidR="00DC71E4" w:rsidRPr="000F6752">
        <w:rPr>
          <w:color w:val="000000" w:themeColor="text1"/>
          <w:lang w:val="en-US"/>
        </w:rPr>
        <w:t xml:space="preserve">; </w:t>
      </w:r>
      <w:r w:rsidR="00DC71E4" w:rsidRPr="000F6752">
        <w:rPr>
          <w:color w:val="000000" w:themeColor="text1"/>
          <w:szCs w:val="24"/>
        </w:rPr>
        <w:t xml:space="preserve">Edström et al. 2007; </w:t>
      </w:r>
      <w:r w:rsidR="00EB68A5" w:rsidRPr="000F6752">
        <w:rPr>
          <w:color w:val="000000" w:themeColor="text1"/>
          <w:lang w:val="en-US"/>
        </w:rPr>
        <w:t>Park and Reuter-Lorenz 2009), this acquisition of fall resisting skills can still happen rapidly in older adults after a novel perturbation (Pai et al. 2003; Pai et al. 2010).</w:t>
      </w:r>
      <w:r w:rsidR="007C4151" w:rsidRPr="000F6752">
        <w:rPr>
          <w:bCs/>
          <w:color w:val="000000" w:themeColor="text1"/>
          <w:szCs w:val="24"/>
        </w:rPr>
        <w:t xml:space="preserve"> </w:t>
      </w:r>
      <w:r w:rsidR="00190FAD" w:rsidRPr="000F6752">
        <w:rPr>
          <w:bCs/>
          <w:color w:val="000000" w:themeColor="text1"/>
          <w:szCs w:val="24"/>
        </w:rPr>
        <w:t xml:space="preserve">Such </w:t>
      </w:r>
      <w:r w:rsidR="0042775E" w:rsidRPr="000F6752">
        <w:rPr>
          <w:bCs/>
          <w:color w:val="000000" w:themeColor="text1"/>
          <w:szCs w:val="24"/>
        </w:rPr>
        <w:t xml:space="preserve">locomotor adaptation </w:t>
      </w:r>
      <w:r w:rsidR="00D21C71" w:rsidRPr="000F6752">
        <w:rPr>
          <w:bCs/>
          <w:color w:val="000000" w:themeColor="text1"/>
          <w:szCs w:val="24"/>
        </w:rPr>
        <w:t>may</w:t>
      </w:r>
      <w:r w:rsidR="0042775E" w:rsidRPr="000F6752">
        <w:rPr>
          <w:bCs/>
          <w:color w:val="000000" w:themeColor="text1"/>
          <w:szCs w:val="24"/>
        </w:rPr>
        <w:t xml:space="preserve"> depend </w:t>
      </w:r>
      <w:r w:rsidR="00AA7211" w:rsidRPr="000F6752">
        <w:rPr>
          <w:bCs/>
          <w:color w:val="000000" w:themeColor="text1"/>
          <w:szCs w:val="24"/>
        </w:rPr>
        <w:t xml:space="preserve">both </w:t>
      </w:r>
      <w:r w:rsidR="0042775E" w:rsidRPr="000F6752">
        <w:rPr>
          <w:bCs/>
          <w:color w:val="000000" w:themeColor="text1"/>
          <w:szCs w:val="24"/>
        </w:rPr>
        <w:t xml:space="preserve">on the spinal </w:t>
      </w:r>
      <w:r w:rsidR="00AA7211" w:rsidRPr="000F6752">
        <w:rPr>
          <w:bCs/>
          <w:color w:val="000000" w:themeColor="text1"/>
          <w:szCs w:val="24"/>
        </w:rPr>
        <w:t xml:space="preserve">and supraspinal </w:t>
      </w:r>
      <w:r w:rsidR="0042775E" w:rsidRPr="000F6752">
        <w:rPr>
          <w:bCs/>
          <w:color w:val="000000" w:themeColor="text1"/>
          <w:szCs w:val="24"/>
        </w:rPr>
        <w:t>structures and the</w:t>
      </w:r>
      <w:r w:rsidR="00AA7211" w:rsidRPr="000F6752">
        <w:rPr>
          <w:bCs/>
          <w:color w:val="000000" w:themeColor="text1"/>
          <w:szCs w:val="24"/>
        </w:rPr>
        <w:t>ir</w:t>
      </w:r>
      <w:r w:rsidR="0042775E" w:rsidRPr="000F6752">
        <w:rPr>
          <w:bCs/>
          <w:color w:val="000000" w:themeColor="text1"/>
          <w:szCs w:val="24"/>
        </w:rPr>
        <w:t xml:space="preserve"> plasticity (Wolpaw 201</w:t>
      </w:r>
      <w:r w:rsidR="00A60F51" w:rsidRPr="000F6752">
        <w:rPr>
          <w:bCs/>
          <w:color w:val="000000" w:themeColor="text1"/>
          <w:szCs w:val="24"/>
        </w:rPr>
        <w:t>0</w:t>
      </w:r>
      <w:r w:rsidR="00AA7211" w:rsidRPr="000F6752">
        <w:rPr>
          <w:bCs/>
          <w:color w:val="000000" w:themeColor="text1"/>
          <w:szCs w:val="24"/>
        </w:rPr>
        <w:t xml:space="preserve">; </w:t>
      </w:r>
      <w:r w:rsidR="00AA7211" w:rsidRPr="000F6752">
        <w:rPr>
          <w:color w:val="000000" w:themeColor="text1"/>
          <w:lang w:val="en-US"/>
        </w:rPr>
        <w:t>Jacobs and Horak 2007).</w:t>
      </w:r>
      <w:r w:rsidR="00C928EC" w:rsidRPr="000F6752">
        <w:rPr>
          <w:bCs/>
          <w:color w:val="000000" w:themeColor="text1"/>
          <w:szCs w:val="24"/>
        </w:rPr>
        <w:t xml:space="preserve"> </w:t>
      </w:r>
      <w:r w:rsidR="004F4016" w:rsidRPr="000F6752">
        <w:rPr>
          <w:bCs/>
          <w:color w:val="000000" w:themeColor="text1"/>
          <w:szCs w:val="24"/>
        </w:rPr>
        <w:t xml:space="preserve">However, </w:t>
      </w:r>
      <w:r w:rsidR="00D21C71" w:rsidRPr="000F6752">
        <w:rPr>
          <w:bCs/>
          <w:color w:val="000000" w:themeColor="text1"/>
          <w:szCs w:val="24"/>
        </w:rPr>
        <w:t xml:space="preserve">the degree to which such </w:t>
      </w:r>
      <w:r w:rsidR="00AA7211" w:rsidRPr="000F6752">
        <w:rPr>
          <w:color w:val="000000" w:themeColor="text1"/>
          <w:lang w:val="en-US"/>
        </w:rPr>
        <w:t>central nervous system</w:t>
      </w:r>
      <w:r w:rsidR="00EB68A5" w:rsidRPr="000F6752">
        <w:rPr>
          <w:color w:val="000000" w:themeColor="text1"/>
          <w:lang w:val="en-US"/>
        </w:rPr>
        <w:t xml:space="preserve"> plasticity may </w:t>
      </w:r>
      <w:r w:rsidR="00D21C71" w:rsidRPr="000F6752">
        <w:rPr>
          <w:color w:val="000000" w:themeColor="text1"/>
          <w:lang w:val="en-US"/>
        </w:rPr>
        <w:t>influence the</w:t>
      </w:r>
      <w:r w:rsidR="00EB68A5" w:rsidRPr="000F6752">
        <w:rPr>
          <w:color w:val="000000" w:themeColor="text1"/>
          <w:lang w:val="en-US"/>
        </w:rPr>
        <w:t xml:space="preserve"> rapid adaptation in the reactive recovery behavior </w:t>
      </w:r>
      <w:r w:rsidR="00C928EC" w:rsidRPr="000F6752">
        <w:rPr>
          <w:color w:val="000000" w:themeColor="text1"/>
          <w:lang w:val="en-US"/>
        </w:rPr>
        <w:t>during pe</w:t>
      </w:r>
      <w:r w:rsidR="00A60F51" w:rsidRPr="000F6752">
        <w:rPr>
          <w:color w:val="000000" w:themeColor="text1"/>
          <w:lang w:val="en-US"/>
        </w:rPr>
        <w:t>rturbed walking in older adults</w:t>
      </w:r>
      <w:r w:rsidR="00EB68A5" w:rsidRPr="000F6752">
        <w:rPr>
          <w:color w:val="000000" w:themeColor="text1"/>
          <w:lang w:val="en-US"/>
        </w:rPr>
        <w:t xml:space="preserve"> (Bhatt et al. 2006b; Bierbaum et al. 2011; Pai et al. 2010</w:t>
      </w:r>
      <w:r w:rsidR="00F71BC3" w:rsidRPr="000F6752">
        <w:rPr>
          <w:color w:val="000000" w:themeColor="text1"/>
          <w:lang w:val="en-US"/>
        </w:rPr>
        <w:t xml:space="preserve">; </w:t>
      </w:r>
      <w:r w:rsidR="00F71BC3" w:rsidRPr="000F6752">
        <w:rPr>
          <w:color w:val="000000" w:themeColor="text1"/>
        </w:rPr>
        <w:t xml:space="preserve">Patel </w:t>
      </w:r>
      <w:r w:rsidR="00073661" w:rsidRPr="000F6752">
        <w:rPr>
          <w:color w:val="000000" w:themeColor="text1"/>
        </w:rPr>
        <w:t>and</w:t>
      </w:r>
      <w:r w:rsidR="00F71BC3" w:rsidRPr="000F6752">
        <w:rPr>
          <w:color w:val="000000" w:themeColor="text1"/>
        </w:rPr>
        <w:t xml:space="preserve"> Bhatt 2015</w:t>
      </w:r>
      <w:r w:rsidR="004F4016" w:rsidRPr="000F6752">
        <w:rPr>
          <w:color w:val="000000" w:themeColor="text1"/>
        </w:rPr>
        <w:t>)</w:t>
      </w:r>
      <w:r w:rsidR="004F4016" w:rsidRPr="000F6752">
        <w:rPr>
          <w:color w:val="000000" w:themeColor="text1"/>
          <w:lang w:val="en-US"/>
        </w:rPr>
        <w:t xml:space="preserve"> needs further investigation.</w:t>
      </w:r>
    </w:p>
    <w:p w14:paraId="706618B5" w14:textId="77777777" w:rsidR="008B7CB7" w:rsidRPr="000F6752" w:rsidRDefault="008B7CB7" w:rsidP="006B3782">
      <w:pPr>
        <w:jc w:val="both"/>
        <w:rPr>
          <w:bCs/>
          <w:color w:val="000000" w:themeColor="text1"/>
          <w:szCs w:val="24"/>
        </w:rPr>
      </w:pPr>
    </w:p>
    <w:p w14:paraId="00DDDBA8" w14:textId="77777777" w:rsidR="00536006" w:rsidRPr="000F6752" w:rsidRDefault="00536006" w:rsidP="00536006">
      <w:pPr>
        <w:pStyle w:val="Heading2"/>
        <w:rPr>
          <w:b w:val="0"/>
          <w:i/>
          <w:color w:val="000000" w:themeColor="text1"/>
          <w:lang w:val="en-US"/>
        </w:rPr>
      </w:pPr>
      <w:r w:rsidRPr="000F6752">
        <w:rPr>
          <w:b w:val="0"/>
          <w:i/>
          <w:color w:val="000000" w:themeColor="text1"/>
          <w:lang w:val="en-US"/>
        </w:rPr>
        <w:t>Retention of reactive gait stability improvements following perturbation exposure</w:t>
      </w:r>
    </w:p>
    <w:p w14:paraId="5A406BD6" w14:textId="3138FCF5" w:rsidR="00536006" w:rsidRPr="000F6752" w:rsidRDefault="00536006" w:rsidP="00536006">
      <w:pPr>
        <w:spacing w:after="0"/>
        <w:jc w:val="both"/>
        <w:rPr>
          <w:color w:val="000000" w:themeColor="text1"/>
          <w:lang w:val="en-US"/>
        </w:rPr>
      </w:pPr>
      <w:r w:rsidRPr="000F6752">
        <w:rPr>
          <w:color w:val="000000" w:themeColor="text1"/>
          <w:lang w:val="en-US"/>
        </w:rPr>
        <w:t xml:space="preserve">For the older population, it is important to determine how long these improvements may be retained. </w:t>
      </w:r>
      <w:r w:rsidR="00B8014F" w:rsidRPr="000F6752">
        <w:rPr>
          <w:color w:val="000000" w:themeColor="text1"/>
          <w:lang w:val="en-US"/>
        </w:rPr>
        <w:t xml:space="preserve">Previous slip-perturbation studies </w:t>
      </w:r>
      <w:r w:rsidR="006E29D6" w:rsidRPr="000F6752">
        <w:rPr>
          <w:color w:val="000000" w:themeColor="text1"/>
          <w:lang w:val="en-US"/>
        </w:rPr>
        <w:t>illustrate</w:t>
      </w:r>
      <w:r w:rsidR="00B8014F" w:rsidRPr="000F6752">
        <w:rPr>
          <w:color w:val="000000" w:themeColor="text1"/>
          <w:lang w:val="en-US"/>
        </w:rPr>
        <w:t xml:space="preserve"> that t</w:t>
      </w:r>
      <w:r w:rsidRPr="000F6752">
        <w:rPr>
          <w:color w:val="000000" w:themeColor="text1"/>
          <w:lang w:val="en-US"/>
        </w:rPr>
        <w:t xml:space="preserve">he improvements in feedforward control seem to be fully retainable for longer time periods (up to 1 year) after just few perturbation trials, however the retention effect for the reactive response seems to be limited </w:t>
      </w:r>
      <w:bookmarkStart w:id="31" w:name="Mendeley_Bookmark_q2vLYV2goA"/>
      <w:r w:rsidRPr="000F6752">
        <w:rPr>
          <w:color w:val="000000" w:themeColor="text1"/>
          <w:lang w:val="en-US"/>
        </w:rPr>
        <w:t>(Bhatt and Pai 2005)</w:t>
      </w:r>
      <w:bookmarkEnd w:id="31"/>
      <w:r w:rsidRPr="000F6752">
        <w:rPr>
          <w:color w:val="000000" w:themeColor="text1"/>
          <w:lang w:val="en-US"/>
        </w:rPr>
        <w:t xml:space="preserve">. Nonetheless, when using more frequent exposure to perturbations in a single training session, the long-term retention of the acquired skills becomes meaningful in the reactive response over </w:t>
      </w:r>
      <w:r w:rsidR="00704758" w:rsidRPr="000F6752">
        <w:rPr>
          <w:color w:val="000000" w:themeColor="text1"/>
          <w:lang w:val="en-US"/>
        </w:rPr>
        <w:t xml:space="preserve">a </w:t>
      </w:r>
      <w:r w:rsidRPr="000F6752">
        <w:rPr>
          <w:color w:val="000000" w:themeColor="text1"/>
          <w:lang w:val="en-US"/>
        </w:rPr>
        <w:t xml:space="preserve">few months </w:t>
      </w:r>
      <w:bookmarkStart w:id="32" w:name="Mendeley_Bookmark_xUvUKghKdb"/>
      <w:r w:rsidRPr="000F6752">
        <w:rPr>
          <w:color w:val="000000" w:themeColor="text1"/>
          <w:lang w:val="en-US"/>
        </w:rPr>
        <w:t>(</w:t>
      </w:r>
      <w:r w:rsidR="00E7691A" w:rsidRPr="000F6752">
        <w:rPr>
          <w:color w:val="000000" w:themeColor="text1"/>
          <w:lang w:val="en-US"/>
        </w:rPr>
        <w:t xml:space="preserve">Bhatt et al. 2006a, </w:t>
      </w:r>
      <w:r w:rsidRPr="000F6752">
        <w:rPr>
          <w:color w:val="000000" w:themeColor="text1"/>
          <w:lang w:val="en-US"/>
        </w:rPr>
        <w:t>2012; Pai et al. 2014b)</w:t>
      </w:r>
      <w:bookmarkEnd w:id="32"/>
      <w:r w:rsidRPr="000F6752">
        <w:rPr>
          <w:color w:val="000000" w:themeColor="text1"/>
          <w:lang w:val="en-US"/>
        </w:rPr>
        <w:t>.</w:t>
      </w:r>
      <w:r w:rsidR="006B6383" w:rsidRPr="000F6752">
        <w:rPr>
          <w:color w:val="000000" w:themeColor="text1"/>
          <w:lang w:val="en-US"/>
        </w:rPr>
        <w:t xml:space="preserve"> Furthermore, </w:t>
      </w:r>
      <w:r w:rsidR="003809AA" w:rsidRPr="000F6752">
        <w:rPr>
          <w:color w:val="000000" w:themeColor="text1"/>
          <w:lang w:val="en-US"/>
        </w:rPr>
        <w:t>the</w:t>
      </w:r>
      <w:r w:rsidR="006B6383" w:rsidRPr="000F6752">
        <w:rPr>
          <w:color w:val="000000" w:themeColor="text1"/>
          <w:lang w:val="en-US"/>
        </w:rPr>
        <w:t xml:space="preserve"> inclusion of </w:t>
      </w:r>
      <w:r w:rsidR="003809AA" w:rsidRPr="000F6752">
        <w:rPr>
          <w:color w:val="000000" w:themeColor="text1"/>
          <w:lang w:val="en-US"/>
        </w:rPr>
        <w:t xml:space="preserve">an </w:t>
      </w:r>
      <w:r w:rsidR="00D34F73" w:rsidRPr="000F6752">
        <w:rPr>
          <w:color w:val="000000" w:themeColor="text1"/>
          <w:lang w:val="en-US"/>
        </w:rPr>
        <w:t>additional</w:t>
      </w:r>
      <w:r w:rsidR="003809AA" w:rsidRPr="000F6752">
        <w:rPr>
          <w:color w:val="000000" w:themeColor="text1"/>
          <w:lang w:val="en-US"/>
        </w:rPr>
        <w:t xml:space="preserve"> session</w:t>
      </w:r>
      <w:r w:rsidR="006B6383" w:rsidRPr="000F6752">
        <w:rPr>
          <w:color w:val="000000" w:themeColor="text1"/>
          <w:lang w:val="en-US"/>
        </w:rPr>
        <w:t xml:space="preserve"> (consisting of only one “booster” perturbation trial) can augment the retention effects seen months after performing a single session of perturbation training and can thereby, slow down the </w:t>
      </w:r>
      <w:r w:rsidR="003809AA" w:rsidRPr="000F6752">
        <w:rPr>
          <w:color w:val="000000" w:themeColor="text1"/>
          <w:lang w:val="en-US"/>
        </w:rPr>
        <w:t>decay</w:t>
      </w:r>
      <w:r w:rsidR="006B6383" w:rsidRPr="000F6752">
        <w:rPr>
          <w:color w:val="000000" w:themeColor="text1"/>
          <w:lang w:val="en-US"/>
        </w:rPr>
        <w:t xml:space="preserve"> of newly obtained motor skills controlling gait stability over time </w:t>
      </w:r>
      <w:bookmarkStart w:id="33" w:name="Mendeley_Bookmark_hI3WfSXOH9"/>
      <w:r w:rsidR="006B6383" w:rsidRPr="000F6752">
        <w:rPr>
          <w:color w:val="000000" w:themeColor="text1"/>
          <w:lang w:val="en-US"/>
        </w:rPr>
        <w:t>(Bhatt et al. 2012)</w:t>
      </w:r>
      <w:bookmarkEnd w:id="33"/>
      <w:r w:rsidR="006B6383" w:rsidRPr="000F6752">
        <w:rPr>
          <w:color w:val="000000" w:themeColor="text1"/>
          <w:lang w:val="en-US"/>
        </w:rPr>
        <w:t>.</w:t>
      </w:r>
      <w:r w:rsidR="00AE4900" w:rsidRPr="000F6752">
        <w:rPr>
          <w:color w:val="000000" w:themeColor="text1"/>
          <w:lang w:val="en-US"/>
        </w:rPr>
        <w:t xml:space="preserve"> </w:t>
      </w:r>
      <w:r w:rsidRPr="000F6752">
        <w:rPr>
          <w:color w:val="000000" w:themeColor="text1"/>
          <w:lang w:val="en-US"/>
        </w:rPr>
        <w:t xml:space="preserve">The current study </w:t>
      </w:r>
      <w:r w:rsidR="00704758" w:rsidRPr="000F6752">
        <w:rPr>
          <w:color w:val="000000" w:themeColor="text1"/>
          <w:lang w:val="en-US"/>
        </w:rPr>
        <w:t>found</w:t>
      </w:r>
      <w:r w:rsidR="0046027E" w:rsidRPr="000F6752">
        <w:rPr>
          <w:color w:val="000000" w:themeColor="text1"/>
          <w:lang w:val="en-US"/>
        </w:rPr>
        <w:t xml:space="preserve"> noticeable retention </w:t>
      </w:r>
      <w:r w:rsidR="003809AA" w:rsidRPr="000F6752">
        <w:rPr>
          <w:color w:val="000000" w:themeColor="text1"/>
          <w:lang w:val="en-US"/>
        </w:rPr>
        <w:t>of the dynamic stability improvements acquired in the perturbation sessions 14 weeks and 1.5 years post-perturbation exposure</w:t>
      </w:r>
      <w:r w:rsidR="0046027E" w:rsidRPr="000F6752">
        <w:rPr>
          <w:color w:val="000000" w:themeColor="text1"/>
          <w:lang w:val="en-US"/>
        </w:rPr>
        <w:t>.</w:t>
      </w:r>
      <w:r w:rsidR="006D72A1" w:rsidRPr="000F6752">
        <w:rPr>
          <w:color w:val="000000" w:themeColor="text1"/>
          <w:lang w:val="en-US"/>
        </w:rPr>
        <w:t xml:space="preserve"> However, the improvements in MoS at TD Pert showed a minor but significant decay compared to the last perturbation trial of the first training session (T8</w:t>
      </w:r>
      <w:r w:rsidR="006D72A1" w:rsidRPr="000F6752">
        <w:rPr>
          <w:color w:val="000000" w:themeColor="text1"/>
          <w:vertAlign w:val="subscript"/>
          <w:lang w:val="en-US"/>
        </w:rPr>
        <w:t>Pre</w:t>
      </w:r>
      <w:r w:rsidR="006D72A1" w:rsidRPr="000F6752">
        <w:rPr>
          <w:color w:val="000000" w:themeColor="text1"/>
          <w:lang w:val="en-US"/>
        </w:rPr>
        <w:t xml:space="preserve">), </w:t>
      </w:r>
      <w:r w:rsidR="00A647C5" w:rsidRPr="000F6752">
        <w:rPr>
          <w:color w:val="000000" w:themeColor="text1"/>
          <w:lang w:val="en-US"/>
        </w:rPr>
        <w:t xml:space="preserve">whereas </w:t>
      </w:r>
      <w:r w:rsidR="006D72A1" w:rsidRPr="000F6752">
        <w:rPr>
          <w:color w:val="000000" w:themeColor="text1"/>
          <w:lang w:val="en-US"/>
        </w:rPr>
        <w:t>the MoS at TD Reco1L did not show any significant drop.</w:t>
      </w:r>
      <w:r w:rsidR="000F7411" w:rsidRPr="000F6752">
        <w:rPr>
          <w:color w:val="000000" w:themeColor="text1"/>
          <w:lang w:val="en-US"/>
        </w:rPr>
        <w:t xml:space="preserve"> </w:t>
      </w:r>
      <w:r w:rsidR="00A27FBC" w:rsidRPr="000F6752">
        <w:rPr>
          <w:color w:val="000000" w:themeColor="text1"/>
          <w:lang w:val="en-US"/>
        </w:rPr>
        <w:t>T</w:t>
      </w:r>
      <w:r w:rsidR="000F7411" w:rsidRPr="000F6752">
        <w:rPr>
          <w:color w:val="000000" w:themeColor="text1"/>
          <w:lang w:val="en-US"/>
        </w:rPr>
        <w:t xml:space="preserve">hese findings are </w:t>
      </w:r>
      <w:r w:rsidR="001C6AD6" w:rsidRPr="000F6752">
        <w:rPr>
          <w:color w:val="000000" w:themeColor="text1"/>
          <w:lang w:val="en-US"/>
        </w:rPr>
        <w:t xml:space="preserve">in accordance with </w:t>
      </w:r>
      <w:r w:rsidR="000F7411" w:rsidRPr="000F6752">
        <w:rPr>
          <w:color w:val="000000" w:themeColor="text1"/>
          <w:lang w:val="en-US"/>
        </w:rPr>
        <w:t xml:space="preserve">previous studies conducted with slip-perturbations, where older adults have </w:t>
      </w:r>
      <w:r w:rsidR="00F8750A" w:rsidRPr="000F6752">
        <w:rPr>
          <w:color w:val="000000" w:themeColor="text1"/>
          <w:lang w:val="en-US"/>
        </w:rPr>
        <w:t xml:space="preserve">also </w:t>
      </w:r>
      <w:r w:rsidR="000F7411" w:rsidRPr="000F6752">
        <w:rPr>
          <w:color w:val="000000" w:themeColor="text1"/>
          <w:lang w:val="en-US"/>
        </w:rPr>
        <w:t xml:space="preserve">demonstrated </w:t>
      </w:r>
      <w:r w:rsidR="00F8750A" w:rsidRPr="000F6752">
        <w:rPr>
          <w:color w:val="000000" w:themeColor="text1"/>
          <w:lang w:val="en-US"/>
        </w:rPr>
        <w:t>partial r</w:t>
      </w:r>
      <w:r w:rsidR="000F7411" w:rsidRPr="000F6752">
        <w:rPr>
          <w:color w:val="000000" w:themeColor="text1"/>
          <w:lang w:val="en-US"/>
        </w:rPr>
        <w:t xml:space="preserve">etention </w:t>
      </w:r>
      <w:r w:rsidR="00F674EE" w:rsidRPr="000F6752">
        <w:rPr>
          <w:color w:val="000000" w:themeColor="text1"/>
          <w:lang w:val="en-US"/>
        </w:rPr>
        <w:t xml:space="preserve">after few months of the </w:t>
      </w:r>
      <w:r w:rsidR="00F55EEE" w:rsidRPr="000F6752">
        <w:rPr>
          <w:color w:val="000000" w:themeColor="text1"/>
          <w:lang w:val="en-US"/>
        </w:rPr>
        <w:t xml:space="preserve">acute </w:t>
      </w:r>
      <w:r w:rsidR="00F674EE" w:rsidRPr="000F6752">
        <w:rPr>
          <w:color w:val="000000" w:themeColor="text1"/>
          <w:lang w:val="en-US"/>
        </w:rPr>
        <w:t xml:space="preserve">rapid adaptation </w:t>
      </w:r>
      <w:r w:rsidR="000F7411" w:rsidRPr="000F6752">
        <w:rPr>
          <w:color w:val="000000" w:themeColor="text1"/>
          <w:lang w:val="en-US"/>
        </w:rPr>
        <w:t>in various stability outcome measures compared with the novel slip</w:t>
      </w:r>
      <w:r w:rsidR="00F8750A" w:rsidRPr="000F6752">
        <w:rPr>
          <w:color w:val="000000" w:themeColor="text1"/>
          <w:lang w:val="en-US"/>
        </w:rPr>
        <w:t xml:space="preserve"> </w:t>
      </w:r>
      <w:r w:rsidR="000F7411" w:rsidRPr="000F6752">
        <w:rPr>
          <w:color w:val="000000" w:themeColor="text1"/>
          <w:lang w:val="en-US"/>
        </w:rPr>
        <w:t>with an evident performance decay in compari</w:t>
      </w:r>
      <w:r w:rsidR="00377C11" w:rsidRPr="000F6752">
        <w:rPr>
          <w:color w:val="000000" w:themeColor="text1"/>
          <w:lang w:val="en-US"/>
        </w:rPr>
        <w:t xml:space="preserve">son </w:t>
      </w:r>
      <w:r w:rsidR="00A27FBC" w:rsidRPr="000F6752">
        <w:rPr>
          <w:color w:val="000000" w:themeColor="text1"/>
          <w:lang w:val="en-US"/>
        </w:rPr>
        <w:t xml:space="preserve">to </w:t>
      </w:r>
      <w:r w:rsidR="00377C11" w:rsidRPr="000F6752">
        <w:rPr>
          <w:color w:val="000000" w:themeColor="text1"/>
          <w:lang w:val="en-US"/>
        </w:rPr>
        <w:t xml:space="preserve">the last training slip (Bhatt et al. </w:t>
      </w:r>
      <w:r w:rsidR="0044754F" w:rsidRPr="000F6752">
        <w:rPr>
          <w:color w:val="000000" w:themeColor="text1"/>
          <w:lang w:val="en-US"/>
        </w:rPr>
        <w:t xml:space="preserve">2006a, </w:t>
      </w:r>
      <w:r w:rsidR="00377C11" w:rsidRPr="000F6752">
        <w:rPr>
          <w:color w:val="000000" w:themeColor="text1"/>
          <w:lang w:val="en-US"/>
        </w:rPr>
        <w:t>2012).</w:t>
      </w:r>
      <w:r w:rsidR="00EC2D79" w:rsidRPr="000F6752">
        <w:rPr>
          <w:color w:val="000000" w:themeColor="text1"/>
          <w:lang w:val="en-US"/>
        </w:rPr>
        <w:t xml:space="preserve"> </w:t>
      </w:r>
      <w:r w:rsidRPr="000F6752">
        <w:rPr>
          <w:color w:val="000000" w:themeColor="text1"/>
          <w:lang w:val="en-US"/>
        </w:rPr>
        <w:t xml:space="preserve">After the longer non-exposure period at 1.5 years, the </w:t>
      </w:r>
      <w:r w:rsidR="00861E05" w:rsidRPr="000F6752">
        <w:rPr>
          <w:color w:val="000000" w:themeColor="text1"/>
          <w:lang w:val="en-US"/>
        </w:rPr>
        <w:t>GAIT</w:t>
      </w:r>
      <w:r w:rsidRPr="000F6752">
        <w:rPr>
          <w:color w:val="000000" w:themeColor="text1"/>
          <w:lang w:val="en-US"/>
        </w:rPr>
        <w:t xml:space="preserve"> group de</w:t>
      </w:r>
      <w:r w:rsidR="006F1AF0" w:rsidRPr="000F6752">
        <w:rPr>
          <w:color w:val="000000" w:themeColor="text1"/>
          <w:lang w:val="en-US"/>
        </w:rPr>
        <w:t xml:space="preserve">monstrated long-term retention </w:t>
      </w:r>
      <w:r w:rsidRPr="000F6752">
        <w:rPr>
          <w:color w:val="000000" w:themeColor="text1"/>
          <w:lang w:val="en-US"/>
        </w:rPr>
        <w:t xml:space="preserve">of the improvements made in reactive response. However, interestingly after 1.5 years, contrary to </w:t>
      </w:r>
      <w:r w:rsidR="00C30799" w:rsidRPr="000F6752">
        <w:rPr>
          <w:color w:val="000000" w:themeColor="text1"/>
          <w:lang w:val="en-US"/>
        </w:rPr>
        <w:t xml:space="preserve">TD </w:t>
      </w:r>
      <w:r w:rsidRPr="000F6752">
        <w:rPr>
          <w:color w:val="000000" w:themeColor="text1"/>
          <w:lang w:val="en-US"/>
        </w:rPr>
        <w:t>Pert, the MoS at TD Reco1L showed again no significant decay in the T1</w:t>
      </w:r>
      <w:r w:rsidRPr="000F6752">
        <w:rPr>
          <w:color w:val="000000" w:themeColor="text1"/>
          <w:vertAlign w:val="subscript"/>
          <w:lang w:val="en-US"/>
        </w:rPr>
        <w:t>Post1.5y</w:t>
      </w:r>
      <w:r w:rsidRPr="000F6752">
        <w:rPr>
          <w:color w:val="000000" w:themeColor="text1"/>
          <w:lang w:val="en-US"/>
        </w:rPr>
        <w:t xml:space="preserve"> when compared </w:t>
      </w:r>
      <w:r w:rsidRPr="000F6752">
        <w:rPr>
          <w:color w:val="000000" w:themeColor="text1"/>
          <w:lang w:val="en-US"/>
        </w:rPr>
        <w:lastRenderedPageBreak/>
        <w:t>to the T8</w:t>
      </w:r>
      <w:r w:rsidRPr="000F6752">
        <w:rPr>
          <w:color w:val="000000" w:themeColor="text1"/>
          <w:vertAlign w:val="subscript"/>
          <w:lang w:val="en-US"/>
        </w:rPr>
        <w:t>Post14w</w:t>
      </w:r>
      <w:r w:rsidRPr="000F6752">
        <w:rPr>
          <w:color w:val="000000" w:themeColor="text1"/>
          <w:lang w:val="en-US"/>
        </w:rPr>
        <w:t>. This indicates that the first recovery step may not be characterized as a pure reactive response, as it seems to be dependent of the performance made in perturbed step. This means that the identified superior retention of the MoS at TD Reco1L seems to be a combined effect of the improved perturbed step and the retention itself, as the MoS at TD Pert showed a significant decay in T1</w:t>
      </w:r>
      <w:r w:rsidRPr="000F6752">
        <w:rPr>
          <w:color w:val="000000" w:themeColor="text1"/>
          <w:vertAlign w:val="subscript"/>
          <w:lang w:val="en-US"/>
        </w:rPr>
        <w:t>Post14w</w:t>
      </w:r>
      <w:r w:rsidRPr="000F6752">
        <w:rPr>
          <w:color w:val="000000" w:themeColor="text1"/>
          <w:lang w:val="en-US"/>
        </w:rPr>
        <w:t xml:space="preserve"> and T1</w:t>
      </w:r>
      <w:r w:rsidRPr="000F6752">
        <w:rPr>
          <w:color w:val="000000" w:themeColor="text1"/>
          <w:vertAlign w:val="subscript"/>
          <w:lang w:val="en-US"/>
        </w:rPr>
        <w:t>Post1.5y</w:t>
      </w:r>
      <w:r w:rsidRPr="000F6752">
        <w:rPr>
          <w:color w:val="000000" w:themeColor="text1"/>
          <w:lang w:val="en-US"/>
        </w:rPr>
        <w:t xml:space="preserve"> after the non-exposure periods.</w:t>
      </w:r>
    </w:p>
    <w:p w14:paraId="7475C63C" w14:textId="3DBE2BC8" w:rsidR="00536006" w:rsidRPr="000F6752" w:rsidRDefault="00536006" w:rsidP="00536006">
      <w:pPr>
        <w:spacing w:after="0"/>
        <w:jc w:val="both"/>
        <w:rPr>
          <w:color w:val="000000" w:themeColor="text1"/>
          <w:lang w:val="en-US"/>
        </w:rPr>
      </w:pPr>
      <w:r w:rsidRPr="000F6752">
        <w:rPr>
          <w:color w:val="000000" w:themeColor="text1"/>
          <w:lang w:val="en-US"/>
        </w:rPr>
        <w:t xml:space="preserve">Accordingly, it can be concluded, that older adults experiencing two sessions of unexpected trip perturbations are able to retain the acquired improvements in dynamic stability over a time period of 1.5 years. Whether the retention effects can be generalized for daily life situations in elderly adults cannot be answered based on these results obtained in a standardized laboratory-settings. However, in combination with earlier studies it seems to be plausible to suggest this possibility </w:t>
      </w:r>
      <w:bookmarkStart w:id="34" w:name="Mendeley_Bookmark_8u38YjX212"/>
      <w:r w:rsidRPr="000F6752">
        <w:rPr>
          <w:color w:val="000000" w:themeColor="text1"/>
          <w:lang w:val="en-US"/>
        </w:rPr>
        <w:t>(Bhatt and Pai 2009; Pai et al. 2014a)</w:t>
      </w:r>
      <w:bookmarkEnd w:id="34"/>
      <w:r w:rsidR="00E923F7" w:rsidRPr="000F6752">
        <w:rPr>
          <w:color w:val="000000" w:themeColor="text1"/>
          <w:lang w:val="en-US"/>
        </w:rPr>
        <w:t>, a</w:t>
      </w:r>
      <w:r w:rsidR="00630C70" w:rsidRPr="000F6752">
        <w:rPr>
          <w:color w:val="000000" w:themeColor="text1"/>
          <w:lang w:val="en-US"/>
        </w:rPr>
        <w:t>s long term benefits of reduced falls incidence (up to 50%) have been observed in older adults up to one year following single sessions of repeated with slip-perturbations</w:t>
      </w:r>
      <w:r w:rsidR="00E923F7" w:rsidRPr="000F6752">
        <w:rPr>
          <w:color w:val="000000" w:themeColor="text1"/>
          <w:lang w:val="en-US"/>
        </w:rPr>
        <w:t xml:space="preserve"> (Pai et al. 2014a)</w:t>
      </w:r>
      <w:r w:rsidR="0066598D" w:rsidRPr="000F6752">
        <w:rPr>
          <w:color w:val="000000" w:themeColor="text1"/>
          <w:lang w:val="en-US"/>
        </w:rPr>
        <w:t xml:space="preserve"> </w:t>
      </w:r>
      <w:r w:rsidR="0000158E" w:rsidRPr="000F6752">
        <w:rPr>
          <w:color w:val="000000" w:themeColor="text1"/>
          <w:lang w:val="en-US"/>
        </w:rPr>
        <w:t>and inter-task transfer from trained slip-perturbation paradigms to other perturbation settings has been shown (Bhatt &amp; Pai 2009; Yang et al. 2013; Lee et al. 2016).</w:t>
      </w:r>
    </w:p>
    <w:p w14:paraId="43A27AF0" w14:textId="77777777" w:rsidR="000D0E59" w:rsidRPr="000F6752" w:rsidRDefault="000D0E59" w:rsidP="00536006">
      <w:pPr>
        <w:spacing w:after="0"/>
        <w:jc w:val="both"/>
        <w:rPr>
          <w:color w:val="000000" w:themeColor="text1"/>
        </w:rPr>
      </w:pPr>
    </w:p>
    <w:p w14:paraId="6542DAC4" w14:textId="759B11C9" w:rsidR="00536006" w:rsidRPr="000F6752" w:rsidRDefault="00536006" w:rsidP="00536006">
      <w:pPr>
        <w:pStyle w:val="Heading2"/>
        <w:rPr>
          <w:b w:val="0"/>
          <w:i/>
          <w:color w:val="000000" w:themeColor="text1"/>
          <w:lang w:val="en-US"/>
        </w:rPr>
      </w:pPr>
      <w:r w:rsidRPr="000F6752">
        <w:rPr>
          <w:b w:val="0"/>
          <w:i/>
          <w:color w:val="000000" w:themeColor="text1"/>
          <w:lang w:val="en-US"/>
        </w:rPr>
        <w:t xml:space="preserve">Effects of </w:t>
      </w:r>
      <w:r w:rsidR="006D38E9" w:rsidRPr="000F6752">
        <w:rPr>
          <w:b w:val="0"/>
          <w:i/>
          <w:color w:val="000000" w:themeColor="text1"/>
          <w:lang w:val="en-US"/>
        </w:rPr>
        <w:t xml:space="preserve">triceps surae </w:t>
      </w:r>
      <w:r w:rsidR="00164597" w:rsidRPr="000F6752">
        <w:rPr>
          <w:b w:val="0"/>
          <w:i/>
          <w:color w:val="000000" w:themeColor="text1"/>
          <w:lang w:val="en-US"/>
        </w:rPr>
        <w:t>neuromuscular</w:t>
      </w:r>
      <w:r w:rsidR="006D38E9" w:rsidRPr="000F6752">
        <w:rPr>
          <w:b w:val="0"/>
          <w:i/>
          <w:color w:val="000000" w:themeColor="text1"/>
          <w:lang w:val="en-US"/>
        </w:rPr>
        <w:t xml:space="preserve"> </w:t>
      </w:r>
      <w:r w:rsidRPr="000F6752">
        <w:rPr>
          <w:b w:val="0"/>
          <w:i/>
          <w:color w:val="000000" w:themeColor="text1"/>
          <w:lang w:val="en-US"/>
        </w:rPr>
        <w:t>exercise on</w:t>
      </w:r>
      <w:r w:rsidR="006D38E9" w:rsidRPr="000F6752">
        <w:rPr>
          <w:b w:val="0"/>
          <w:i/>
          <w:color w:val="000000" w:themeColor="text1"/>
          <w:lang w:val="en-US"/>
        </w:rPr>
        <w:t xml:space="preserve"> the</w:t>
      </w:r>
      <w:r w:rsidRPr="000F6752">
        <w:rPr>
          <w:b w:val="0"/>
          <w:i/>
          <w:color w:val="000000" w:themeColor="text1"/>
          <w:lang w:val="en-US"/>
        </w:rPr>
        <w:t xml:space="preserve"> retention of reactive gait stability improvements</w:t>
      </w:r>
    </w:p>
    <w:p w14:paraId="50CF6B7E" w14:textId="5F8B3CEF" w:rsidR="00F7007E" w:rsidRPr="000F6752" w:rsidRDefault="00A47358" w:rsidP="00E5714A">
      <w:pPr>
        <w:spacing w:after="0"/>
        <w:jc w:val="both"/>
        <w:rPr>
          <w:color w:val="000000" w:themeColor="text1"/>
          <w:lang w:val="en-US"/>
        </w:rPr>
      </w:pPr>
      <w:r w:rsidRPr="000F6752">
        <w:rPr>
          <w:color w:val="000000" w:themeColor="text1"/>
          <w:lang w:val="en-US"/>
        </w:rPr>
        <w:t>The current study included a</w:t>
      </w:r>
      <w:r w:rsidR="00536006" w:rsidRPr="000F6752">
        <w:rPr>
          <w:color w:val="000000" w:themeColor="text1"/>
          <w:lang w:val="en-US"/>
        </w:rPr>
        <w:t xml:space="preserve"> physical exercise intervention in order to improve TS capacities, as a rapid generation of high plantarflexion moments is proven to be an important factor for successful balance recovery after various perturbations </w:t>
      </w:r>
      <w:bookmarkStart w:id="35" w:name="Mendeley_Bookmark_oxKE9KA228"/>
      <w:r w:rsidR="00536006" w:rsidRPr="000F6752">
        <w:rPr>
          <w:color w:val="000000" w:themeColor="text1"/>
          <w:lang w:val="en-US"/>
        </w:rPr>
        <w:t>(Pijnappels et al. 2004, 2005a, 2005b; Karamanidis et al. 2008)</w:t>
      </w:r>
      <w:bookmarkEnd w:id="35"/>
      <w:r w:rsidR="00536006" w:rsidRPr="000F6752">
        <w:rPr>
          <w:color w:val="000000" w:themeColor="text1"/>
          <w:szCs w:val="24"/>
          <w:lang w:val="en-US"/>
        </w:rPr>
        <w:t xml:space="preserve">. Furthermore, earlier studies </w:t>
      </w:r>
      <w:bookmarkStart w:id="36" w:name="Mendeley_Bookmark_jgGCXUTwSa"/>
      <w:r w:rsidR="00536006" w:rsidRPr="000F6752">
        <w:rPr>
          <w:color w:val="000000" w:themeColor="text1"/>
          <w:szCs w:val="24"/>
          <w:lang w:val="en-US"/>
        </w:rPr>
        <w:t>(Grabiner et al. 2005; Karamanidis et al. 2008)</w:t>
      </w:r>
      <w:bookmarkEnd w:id="36"/>
      <w:r w:rsidR="00536006" w:rsidRPr="000F6752">
        <w:rPr>
          <w:color w:val="000000" w:themeColor="text1"/>
          <w:szCs w:val="24"/>
          <w:lang w:val="en-US"/>
        </w:rPr>
        <w:t xml:space="preserve"> and our recent findings </w:t>
      </w:r>
      <w:bookmarkStart w:id="37" w:name="Mendeley_Bookmark_q97w0ERdIV"/>
      <w:r w:rsidR="00632F60" w:rsidRPr="000F6752">
        <w:rPr>
          <w:color w:val="000000" w:themeColor="text1"/>
          <w:szCs w:val="24"/>
          <w:lang w:val="en-US"/>
        </w:rPr>
        <w:t>(Epro et al. 2015</w:t>
      </w:r>
      <w:r w:rsidR="00536006" w:rsidRPr="000F6752">
        <w:rPr>
          <w:color w:val="000000" w:themeColor="text1"/>
          <w:szCs w:val="24"/>
          <w:lang w:val="en-US"/>
        </w:rPr>
        <w:t>)</w:t>
      </w:r>
      <w:bookmarkEnd w:id="37"/>
      <w:r w:rsidR="00536006" w:rsidRPr="000F6752">
        <w:rPr>
          <w:color w:val="000000" w:themeColor="text1"/>
          <w:szCs w:val="24"/>
          <w:lang w:val="en-US"/>
        </w:rPr>
        <w:t xml:space="preserve"> suggest that the TS muscle strength contributes approximately 30-40% to the ability to increase the </w:t>
      </w:r>
      <w:bookmarkStart w:id="38" w:name="OLE_LINK10"/>
      <w:bookmarkStart w:id="39" w:name="OLE_LINK11"/>
      <w:bookmarkStart w:id="40" w:name="OLE_LINK12"/>
      <w:bookmarkStart w:id="41" w:name="OLE_LINK13"/>
      <w:r w:rsidR="00634C70" w:rsidRPr="000F6752">
        <w:rPr>
          <w:color w:val="000000" w:themeColor="text1"/>
          <w:szCs w:val="24"/>
          <w:lang w:val="en-US"/>
        </w:rPr>
        <w:t>base of support</w:t>
      </w:r>
      <w:bookmarkEnd w:id="38"/>
      <w:bookmarkEnd w:id="39"/>
      <w:bookmarkEnd w:id="40"/>
      <w:bookmarkEnd w:id="41"/>
      <w:r w:rsidR="00536006" w:rsidRPr="000F6752">
        <w:rPr>
          <w:color w:val="000000" w:themeColor="text1"/>
          <w:szCs w:val="24"/>
          <w:lang w:val="en-US"/>
        </w:rPr>
        <w:t xml:space="preserve"> (Reco1L step in the current </w:t>
      </w:r>
      <w:r w:rsidR="00536006" w:rsidRPr="000F6752">
        <w:rPr>
          <w:color w:val="000000" w:themeColor="text1"/>
          <w:szCs w:val="24"/>
          <w:lang w:val="en-US"/>
        </w:rPr>
        <w:lastRenderedPageBreak/>
        <w:t xml:space="preserve">study) and thereby recover balance during perturbed gait or forward falls. Accordingly, it was expected that the </w:t>
      </w:r>
      <w:r w:rsidR="006B492D" w:rsidRPr="000F6752">
        <w:rPr>
          <w:color w:val="000000" w:themeColor="text1"/>
          <w:lang w:val="en-US"/>
        </w:rPr>
        <w:t>GAIT+NM</w:t>
      </w:r>
      <w:r w:rsidR="00536006" w:rsidRPr="000F6752">
        <w:rPr>
          <w:color w:val="000000" w:themeColor="text1"/>
          <w:szCs w:val="24"/>
          <w:lang w:val="en-US"/>
        </w:rPr>
        <w:t xml:space="preserve"> group (perturbation + TS </w:t>
      </w:r>
      <w:r w:rsidR="008958B1" w:rsidRPr="000F6752">
        <w:rPr>
          <w:color w:val="000000" w:themeColor="text1"/>
          <w:lang w:val="en-US"/>
        </w:rPr>
        <w:t>neuromuscular</w:t>
      </w:r>
      <w:r w:rsidR="00536006" w:rsidRPr="000F6752">
        <w:rPr>
          <w:color w:val="000000" w:themeColor="text1"/>
          <w:szCs w:val="24"/>
          <w:lang w:val="en-US"/>
        </w:rPr>
        <w:t xml:space="preserve"> training) would show higher improvements in the dynamic stability in comparison to the </w:t>
      </w:r>
      <w:r w:rsidR="00861E05" w:rsidRPr="000F6752">
        <w:rPr>
          <w:color w:val="000000" w:themeColor="text1"/>
          <w:lang w:val="en-US"/>
        </w:rPr>
        <w:t>GAIT</w:t>
      </w:r>
      <w:r w:rsidR="00536006" w:rsidRPr="000F6752">
        <w:rPr>
          <w:color w:val="000000" w:themeColor="text1"/>
          <w:szCs w:val="24"/>
          <w:lang w:val="en-US"/>
        </w:rPr>
        <w:t xml:space="preserve"> group (only perturbation training). However, despite a significant enhancement of the TS </w:t>
      </w:r>
      <w:r w:rsidR="008958B1" w:rsidRPr="000F6752">
        <w:rPr>
          <w:color w:val="000000" w:themeColor="text1"/>
          <w:lang w:val="en-US"/>
        </w:rPr>
        <w:t>neuromuscular</w:t>
      </w:r>
      <w:r w:rsidR="00536006" w:rsidRPr="000F6752">
        <w:rPr>
          <w:color w:val="000000" w:themeColor="text1"/>
          <w:szCs w:val="24"/>
          <w:lang w:val="en-US"/>
        </w:rPr>
        <w:t xml:space="preserve"> capacities over </w:t>
      </w:r>
      <w:r w:rsidR="00FB741F" w:rsidRPr="000F6752">
        <w:rPr>
          <w:color w:val="000000" w:themeColor="text1"/>
          <w:szCs w:val="24"/>
          <w:lang w:val="en-US"/>
        </w:rPr>
        <w:t>14 weeks</w:t>
      </w:r>
      <w:r w:rsidR="00536006" w:rsidRPr="000F6752">
        <w:rPr>
          <w:color w:val="000000" w:themeColor="text1"/>
          <w:szCs w:val="24"/>
          <w:lang w:val="en-US"/>
        </w:rPr>
        <w:t xml:space="preserve"> of exercise (higher TS muscle strength, increased </w:t>
      </w:r>
      <w:r w:rsidR="00023115" w:rsidRPr="000F6752">
        <w:rPr>
          <w:color w:val="000000" w:themeColor="text1"/>
          <w:lang w:val="en-US"/>
        </w:rPr>
        <w:t>Achilles tendon</w:t>
      </w:r>
      <w:r w:rsidR="00536006" w:rsidRPr="000F6752">
        <w:rPr>
          <w:color w:val="000000" w:themeColor="text1"/>
          <w:szCs w:val="24"/>
          <w:lang w:val="en-US"/>
        </w:rPr>
        <w:t xml:space="preserve"> stiffness and imp</w:t>
      </w:r>
      <w:r w:rsidR="00E756A5" w:rsidRPr="000F6752">
        <w:rPr>
          <w:color w:val="000000" w:themeColor="text1"/>
          <w:szCs w:val="24"/>
          <w:lang w:val="en-US"/>
        </w:rPr>
        <w:t>roved motor skill performance),</w:t>
      </w:r>
      <w:r w:rsidR="00536006" w:rsidRPr="000F6752">
        <w:rPr>
          <w:color w:val="000000" w:themeColor="text1"/>
          <w:lang w:val="en-US"/>
        </w:rPr>
        <w:t xml:space="preserve"> </w:t>
      </w:r>
      <w:r w:rsidR="00E756A5" w:rsidRPr="000F6752">
        <w:rPr>
          <w:color w:val="000000" w:themeColor="text1"/>
          <w:lang w:val="en-US"/>
        </w:rPr>
        <w:t xml:space="preserve">both </w:t>
      </w:r>
      <w:r w:rsidR="006B492D" w:rsidRPr="000F6752">
        <w:rPr>
          <w:color w:val="000000" w:themeColor="text1"/>
          <w:lang w:val="en-US"/>
        </w:rPr>
        <w:t xml:space="preserve">GAIT+NM </w:t>
      </w:r>
      <w:r w:rsidR="00536006" w:rsidRPr="000F6752">
        <w:rPr>
          <w:color w:val="000000" w:themeColor="text1"/>
          <w:lang w:val="en-US"/>
        </w:rPr>
        <w:t>group</w:t>
      </w:r>
      <w:r w:rsidR="00FB741F" w:rsidRPr="000F6752">
        <w:rPr>
          <w:color w:val="000000" w:themeColor="text1"/>
          <w:lang w:val="en-US"/>
        </w:rPr>
        <w:t>s (</w:t>
      </w:r>
      <w:r w:rsidR="006B492D" w:rsidRPr="000F6752">
        <w:rPr>
          <w:color w:val="000000" w:themeColor="text1"/>
          <w:lang w:val="en-US"/>
        </w:rPr>
        <w:t>GAIT+NM</w:t>
      </w:r>
      <w:r w:rsidR="006B492D" w:rsidRPr="000F6752">
        <w:rPr>
          <w:color w:val="000000" w:themeColor="text1"/>
          <w:vertAlign w:val="subscript"/>
          <w:lang w:val="en-US"/>
        </w:rPr>
        <w:t>1</w:t>
      </w:r>
      <w:r w:rsidR="00864A70" w:rsidRPr="000F6752">
        <w:rPr>
          <w:color w:val="000000" w:themeColor="text1"/>
          <w:vertAlign w:val="subscript"/>
          <w:lang w:val="en-US"/>
        </w:rPr>
        <w:t>4w</w:t>
      </w:r>
      <w:r w:rsidR="00864A70" w:rsidRPr="000F6752">
        <w:rPr>
          <w:color w:val="000000" w:themeColor="text1"/>
          <w:lang w:val="en-US"/>
        </w:rPr>
        <w:t xml:space="preserve"> and </w:t>
      </w:r>
      <w:r w:rsidR="006B492D" w:rsidRPr="000F6752">
        <w:rPr>
          <w:color w:val="000000" w:themeColor="text1"/>
          <w:lang w:val="en-US"/>
        </w:rPr>
        <w:t>GAIT+NM</w:t>
      </w:r>
      <w:r w:rsidR="006B492D" w:rsidRPr="000F6752">
        <w:rPr>
          <w:color w:val="000000" w:themeColor="text1"/>
          <w:vertAlign w:val="subscript"/>
          <w:lang w:val="en-US"/>
        </w:rPr>
        <w:t>1.5y</w:t>
      </w:r>
      <w:r w:rsidR="00FB741F" w:rsidRPr="000F6752">
        <w:rPr>
          <w:color w:val="000000" w:themeColor="text1"/>
          <w:lang w:val="en-US"/>
        </w:rPr>
        <w:t>)</w:t>
      </w:r>
      <w:r w:rsidR="00536006" w:rsidRPr="000F6752">
        <w:rPr>
          <w:color w:val="000000" w:themeColor="text1"/>
          <w:lang w:val="en-US"/>
        </w:rPr>
        <w:t xml:space="preserve"> did not display any further meaningful improvements in the reactive response following unexpected perturbations to gait. </w:t>
      </w:r>
      <w:r w:rsidR="00E756A5" w:rsidRPr="000F6752">
        <w:rPr>
          <w:color w:val="000000" w:themeColor="text1"/>
          <w:lang w:val="en-US"/>
        </w:rPr>
        <w:t xml:space="preserve">This would support our suggestion that transfer of the newly obtained </w:t>
      </w:r>
      <w:r w:rsidR="00146C72" w:rsidRPr="000F6752">
        <w:rPr>
          <w:color w:val="000000" w:themeColor="text1"/>
          <w:lang w:val="en-US"/>
        </w:rPr>
        <w:t>TS</w:t>
      </w:r>
      <w:r w:rsidR="00146C72" w:rsidRPr="000F6752">
        <w:rPr>
          <w:strike/>
          <w:color w:val="000000" w:themeColor="text1"/>
          <w:lang w:val="en-US"/>
        </w:rPr>
        <w:t xml:space="preserve"> </w:t>
      </w:r>
      <w:r w:rsidR="00E756A5" w:rsidRPr="000F6752">
        <w:rPr>
          <w:color w:val="000000" w:themeColor="text1"/>
          <w:lang w:val="en-US"/>
        </w:rPr>
        <w:t>capacities into</w:t>
      </w:r>
      <w:r w:rsidR="00D61E95" w:rsidRPr="000F6752">
        <w:rPr>
          <w:color w:val="000000" w:themeColor="text1"/>
          <w:lang w:val="en-US"/>
        </w:rPr>
        <w:t xml:space="preserve"> gait</w:t>
      </w:r>
      <w:r w:rsidR="00E756A5" w:rsidRPr="000F6752">
        <w:rPr>
          <w:color w:val="000000" w:themeColor="text1"/>
          <w:lang w:val="en-US"/>
        </w:rPr>
        <w:t xml:space="preserve"> modifications may be prolonged in older adults, and thereby explain the non-existent effects </w:t>
      </w:r>
      <w:r w:rsidR="00D61E95" w:rsidRPr="000F6752">
        <w:rPr>
          <w:color w:val="000000" w:themeColor="text1"/>
          <w:lang w:val="en-US"/>
        </w:rPr>
        <w:t>o</w:t>
      </w:r>
      <w:r w:rsidR="00E756A5" w:rsidRPr="000F6752">
        <w:rPr>
          <w:color w:val="000000" w:themeColor="text1"/>
          <w:lang w:val="en-US"/>
        </w:rPr>
        <w:t xml:space="preserve">n gait stability 14 weeks into the exercise. However, the observation that our subgroup of 12 older adults </w:t>
      </w:r>
      <w:r w:rsidR="00536006" w:rsidRPr="000F6752">
        <w:rPr>
          <w:color w:val="000000" w:themeColor="text1"/>
          <w:lang w:val="en-US"/>
        </w:rPr>
        <w:t xml:space="preserve">who continued the </w:t>
      </w:r>
      <w:r w:rsidR="009A021D" w:rsidRPr="000F6752">
        <w:rPr>
          <w:color w:val="000000" w:themeColor="text1"/>
          <w:lang w:val="en-US"/>
        </w:rPr>
        <w:t xml:space="preserve">TS </w:t>
      </w:r>
      <w:r w:rsidR="00536006" w:rsidRPr="000F6752">
        <w:rPr>
          <w:color w:val="000000" w:themeColor="text1"/>
          <w:lang w:val="en-US"/>
        </w:rPr>
        <w:t>exercise intervention over 1.5 years also showed no further gait stability improvements</w:t>
      </w:r>
      <w:r w:rsidR="006076B9" w:rsidRPr="000F6752">
        <w:rPr>
          <w:color w:val="000000" w:themeColor="text1"/>
          <w:lang w:val="en-US"/>
        </w:rPr>
        <w:t xml:space="preserve"> shows that</w:t>
      </w:r>
      <w:r w:rsidR="00536006" w:rsidRPr="000F6752">
        <w:rPr>
          <w:color w:val="000000" w:themeColor="text1"/>
          <w:lang w:val="en-US"/>
        </w:rPr>
        <w:t xml:space="preserve"> the effect of exposure to gait perturbations seems to provide a much larger stimulus for improvement of dynamic st</w:t>
      </w:r>
      <w:r w:rsidR="00D136B1" w:rsidRPr="000F6752">
        <w:rPr>
          <w:color w:val="000000" w:themeColor="text1"/>
          <w:lang w:val="en-US"/>
        </w:rPr>
        <w:t>ability control in older adults than experimentally improved TS capacities.</w:t>
      </w:r>
      <w:r w:rsidR="00E5714A" w:rsidRPr="000F6752">
        <w:rPr>
          <w:color w:val="000000" w:themeColor="text1"/>
          <w:lang w:val="en-US"/>
        </w:rPr>
        <w:t xml:space="preserve"> Therefore, an additional effect from the improved TS </w:t>
      </w:r>
      <w:r w:rsidR="00CA6F86" w:rsidRPr="000F6752">
        <w:rPr>
          <w:color w:val="000000" w:themeColor="text1"/>
          <w:lang w:val="en-US"/>
        </w:rPr>
        <w:t>capacities</w:t>
      </w:r>
      <w:r w:rsidR="00E5714A" w:rsidRPr="000F6752">
        <w:rPr>
          <w:color w:val="000000" w:themeColor="text1"/>
          <w:lang w:val="en-US"/>
        </w:rPr>
        <w:t xml:space="preserve"> might not be required, at</w:t>
      </w:r>
      <w:r w:rsidR="000F4B30" w:rsidRPr="000F6752">
        <w:rPr>
          <w:color w:val="000000" w:themeColor="text1"/>
          <w:lang w:val="en-US"/>
        </w:rPr>
        <w:t xml:space="preserve"> </w:t>
      </w:r>
      <w:r w:rsidR="00E5714A" w:rsidRPr="000F6752">
        <w:rPr>
          <w:color w:val="000000" w:themeColor="text1"/>
          <w:lang w:val="en-US"/>
        </w:rPr>
        <w:t xml:space="preserve">least for the Reco1L step, </w:t>
      </w:r>
      <w:r w:rsidR="00F7007E" w:rsidRPr="000F6752">
        <w:rPr>
          <w:color w:val="000000" w:themeColor="text1"/>
          <w:lang w:val="en-US"/>
        </w:rPr>
        <w:t xml:space="preserve">because stability was already sufficiently controlled at the onset of perturbation due to the perturbation exposure, thereby negating or reducing the requirement for large recovery steps and </w:t>
      </w:r>
      <w:r w:rsidR="00215895" w:rsidRPr="000F6752">
        <w:rPr>
          <w:color w:val="000000" w:themeColor="text1"/>
          <w:lang w:val="en-US"/>
        </w:rPr>
        <w:t xml:space="preserve">hence </w:t>
      </w:r>
      <w:r w:rsidR="00F7007E" w:rsidRPr="000F6752">
        <w:rPr>
          <w:color w:val="000000" w:themeColor="text1"/>
          <w:lang w:val="en-US"/>
        </w:rPr>
        <w:t xml:space="preserve">increased </w:t>
      </w:r>
      <w:r w:rsidR="00215895" w:rsidRPr="000F6752">
        <w:rPr>
          <w:color w:val="000000" w:themeColor="text1"/>
          <w:lang w:val="en-US"/>
        </w:rPr>
        <w:t xml:space="preserve">TS </w:t>
      </w:r>
      <w:r w:rsidR="00F7007E" w:rsidRPr="000F6752">
        <w:rPr>
          <w:color w:val="000000" w:themeColor="text1"/>
          <w:lang w:val="en-US"/>
        </w:rPr>
        <w:t>muscular output.</w:t>
      </w:r>
    </w:p>
    <w:p w14:paraId="405B95E4" w14:textId="2E113605" w:rsidR="00554AD0" w:rsidRPr="000F6752" w:rsidRDefault="00536006" w:rsidP="006957CB">
      <w:pPr>
        <w:jc w:val="both"/>
        <w:rPr>
          <w:color w:val="000000" w:themeColor="text1"/>
          <w:lang w:val="en-US"/>
        </w:rPr>
      </w:pPr>
      <w:r w:rsidRPr="000F6752">
        <w:rPr>
          <w:color w:val="000000" w:themeColor="text1"/>
          <w:lang w:val="en-US"/>
        </w:rPr>
        <w:t xml:space="preserve">Interestingly, some of our previous observations identified that </w:t>
      </w:r>
      <w:r w:rsidRPr="000F6752">
        <w:rPr>
          <w:color w:val="000000" w:themeColor="text1"/>
          <w:szCs w:val="24"/>
          <w:lang w:val="en-US"/>
        </w:rPr>
        <w:t xml:space="preserve">stronger, in comparison to weaker older adults demonstrate a more effective reactive response following unexpected gait perturbation </w:t>
      </w:r>
      <w:bookmarkStart w:id="42" w:name="Mendeley_Bookmark_QM9wLEtwyj"/>
      <w:r w:rsidR="00632F60" w:rsidRPr="000F6752">
        <w:rPr>
          <w:color w:val="000000" w:themeColor="text1"/>
          <w:szCs w:val="24"/>
          <w:lang w:val="en-US"/>
        </w:rPr>
        <w:t>(Epro et al. 2015</w:t>
      </w:r>
      <w:r w:rsidRPr="000F6752">
        <w:rPr>
          <w:color w:val="000000" w:themeColor="text1"/>
          <w:szCs w:val="24"/>
          <w:lang w:val="en-US"/>
        </w:rPr>
        <w:t>)</w:t>
      </w:r>
      <w:bookmarkEnd w:id="42"/>
      <w:r w:rsidRPr="000F6752">
        <w:rPr>
          <w:color w:val="000000" w:themeColor="text1"/>
          <w:szCs w:val="24"/>
          <w:lang w:val="en-US"/>
        </w:rPr>
        <w:t xml:space="preserve">. It is important to highlight, however, that the TS muscle strength differed by 42% between these two groups, which is considerably greater than the 25% increase achieved by the </w:t>
      </w:r>
      <w:r w:rsidR="006842F8" w:rsidRPr="000F6752">
        <w:rPr>
          <w:color w:val="000000" w:themeColor="text1"/>
          <w:lang w:val="en-US"/>
        </w:rPr>
        <w:t>GAIT+NM</w:t>
      </w:r>
      <w:r w:rsidRPr="000F6752">
        <w:rPr>
          <w:color w:val="000000" w:themeColor="text1"/>
          <w:szCs w:val="24"/>
          <w:lang w:val="en-US"/>
        </w:rPr>
        <w:t xml:space="preserve"> group of the current study after 1.5 years of exercise.</w:t>
      </w:r>
      <w:r w:rsidRPr="000F6752">
        <w:rPr>
          <w:color w:val="000000" w:themeColor="text1"/>
          <w:lang w:val="en-US"/>
        </w:rPr>
        <w:t xml:space="preserve"> </w:t>
      </w:r>
      <w:r w:rsidR="00592BB5" w:rsidRPr="000F6752">
        <w:rPr>
          <w:color w:val="000000" w:themeColor="text1"/>
          <w:szCs w:val="24"/>
          <w:lang w:val="en-US"/>
        </w:rPr>
        <w:t xml:space="preserve">Accordingly, one might imply </w:t>
      </w:r>
      <w:r w:rsidR="00592BB5" w:rsidRPr="000F6752">
        <w:rPr>
          <w:color w:val="000000" w:themeColor="text1"/>
          <w:szCs w:val="24"/>
          <w:lang w:val="en-US"/>
        </w:rPr>
        <w:lastRenderedPageBreak/>
        <w:t>that the exercise-induced improvements in the lower extremity MTUs in</w:t>
      </w:r>
      <w:r w:rsidR="00615A34" w:rsidRPr="000F6752">
        <w:rPr>
          <w:color w:val="000000" w:themeColor="text1"/>
          <w:szCs w:val="24"/>
          <w:lang w:val="en-US"/>
        </w:rPr>
        <w:t xml:space="preserve"> the current and previous exercise interventions </w:t>
      </w:r>
      <w:r w:rsidR="00615A34" w:rsidRPr="000F6752">
        <w:rPr>
          <w:color w:val="000000" w:themeColor="text1"/>
          <w:lang w:val="en-US"/>
        </w:rPr>
        <w:t>(</w:t>
      </w:r>
      <w:r w:rsidR="00D1472F" w:rsidRPr="000F6752">
        <w:rPr>
          <w:color w:val="000000" w:themeColor="text1"/>
          <w:lang w:val="en-US"/>
        </w:rPr>
        <w:t xml:space="preserve">e.g. </w:t>
      </w:r>
      <w:r w:rsidR="00615A34" w:rsidRPr="000F6752">
        <w:rPr>
          <w:color w:val="000000" w:themeColor="text1"/>
          <w:lang w:val="en-US"/>
        </w:rPr>
        <w:t xml:space="preserve">Gillespie et al. 2012; </w:t>
      </w:r>
      <w:bookmarkStart w:id="43" w:name="OLE_LINK77"/>
      <w:bookmarkStart w:id="44" w:name="OLE_LINK78"/>
      <w:bookmarkStart w:id="45" w:name="OLE_LINK79"/>
      <w:bookmarkStart w:id="46" w:name="OLE_LINK80"/>
      <w:bookmarkStart w:id="47" w:name="OLE_LINK81"/>
      <w:bookmarkStart w:id="48" w:name="OLE_LINK82"/>
      <w:bookmarkStart w:id="49" w:name="OLE_LINK83"/>
      <w:r w:rsidR="00615A34" w:rsidRPr="000F6752">
        <w:rPr>
          <w:color w:val="000000" w:themeColor="text1"/>
          <w:lang w:val="en-US"/>
        </w:rPr>
        <w:t>Sherrington et al. 2008</w:t>
      </w:r>
      <w:bookmarkEnd w:id="43"/>
      <w:bookmarkEnd w:id="44"/>
      <w:bookmarkEnd w:id="45"/>
      <w:bookmarkEnd w:id="46"/>
      <w:bookmarkEnd w:id="47"/>
      <w:bookmarkEnd w:id="48"/>
      <w:bookmarkEnd w:id="49"/>
      <w:r w:rsidR="00615A34" w:rsidRPr="000F6752">
        <w:rPr>
          <w:color w:val="000000" w:themeColor="text1"/>
          <w:lang w:val="en-US"/>
        </w:rPr>
        <w:t xml:space="preserve">) </w:t>
      </w:r>
      <w:r w:rsidR="00615A34" w:rsidRPr="000F6752">
        <w:rPr>
          <w:color w:val="000000" w:themeColor="text1"/>
          <w:szCs w:val="24"/>
          <w:lang w:val="en-US"/>
        </w:rPr>
        <w:t xml:space="preserve">may not have </w:t>
      </w:r>
      <w:r w:rsidR="00D1472F" w:rsidRPr="000F6752">
        <w:rPr>
          <w:color w:val="000000" w:themeColor="text1"/>
          <w:szCs w:val="24"/>
          <w:lang w:val="en-US"/>
        </w:rPr>
        <w:t xml:space="preserve">resulted in </w:t>
      </w:r>
      <w:r w:rsidR="00615A34" w:rsidRPr="000F6752">
        <w:rPr>
          <w:color w:val="000000" w:themeColor="text1"/>
          <w:szCs w:val="24"/>
          <w:lang w:val="en-US"/>
        </w:rPr>
        <w:t>sufficient</w:t>
      </w:r>
      <w:r w:rsidR="00D1472F" w:rsidRPr="000F6752">
        <w:rPr>
          <w:color w:val="000000" w:themeColor="text1"/>
          <w:szCs w:val="24"/>
          <w:lang w:val="en-US"/>
        </w:rPr>
        <w:t xml:space="preserve"> increases in strength,</w:t>
      </w:r>
      <w:r w:rsidR="00615A34" w:rsidRPr="000F6752">
        <w:rPr>
          <w:color w:val="000000" w:themeColor="text1"/>
          <w:szCs w:val="24"/>
          <w:lang w:val="en-US"/>
        </w:rPr>
        <w:t xml:space="preserve"> and </w:t>
      </w:r>
      <w:r w:rsidR="00D1472F" w:rsidRPr="000F6752">
        <w:rPr>
          <w:color w:val="000000" w:themeColor="text1"/>
          <w:szCs w:val="24"/>
          <w:lang w:val="en-US"/>
        </w:rPr>
        <w:t xml:space="preserve">that </w:t>
      </w:r>
      <w:r w:rsidR="00615A34" w:rsidRPr="000F6752">
        <w:rPr>
          <w:color w:val="000000" w:themeColor="text1"/>
          <w:szCs w:val="24"/>
          <w:lang w:val="en-US"/>
        </w:rPr>
        <w:t xml:space="preserve">a certain threshold in strength has to be </w:t>
      </w:r>
      <w:r w:rsidR="00615A34" w:rsidRPr="000F6752">
        <w:rPr>
          <w:color w:val="000000" w:themeColor="text1"/>
          <w:lang w:val="en-US"/>
        </w:rPr>
        <w:t xml:space="preserve">achieved </w:t>
      </w:r>
      <w:r w:rsidR="00D1472F" w:rsidRPr="000F6752">
        <w:rPr>
          <w:color w:val="000000" w:themeColor="text1"/>
          <w:lang w:val="en-US"/>
        </w:rPr>
        <w:t>before</w:t>
      </w:r>
      <w:r w:rsidR="00615A34" w:rsidRPr="000F6752">
        <w:rPr>
          <w:color w:val="000000" w:themeColor="text1"/>
          <w:lang w:val="en-US"/>
        </w:rPr>
        <w:t xml:space="preserve"> </w:t>
      </w:r>
      <w:r w:rsidR="00615A34" w:rsidRPr="000F6752">
        <w:rPr>
          <w:color w:val="000000" w:themeColor="text1"/>
          <w:szCs w:val="24"/>
          <w:lang w:val="en-US"/>
        </w:rPr>
        <w:t xml:space="preserve">notable modifications in </w:t>
      </w:r>
      <w:r w:rsidR="00615A34" w:rsidRPr="000F6752">
        <w:rPr>
          <w:color w:val="000000" w:themeColor="text1"/>
          <w:lang w:val="en-US"/>
        </w:rPr>
        <w:t>the stability performance</w:t>
      </w:r>
      <w:r w:rsidR="00D1472F" w:rsidRPr="000F6752">
        <w:rPr>
          <w:color w:val="000000" w:themeColor="text1"/>
          <w:lang w:val="en-US"/>
        </w:rPr>
        <w:t xml:space="preserve"> occur</w:t>
      </w:r>
      <w:r w:rsidR="00615A34" w:rsidRPr="000F6752">
        <w:rPr>
          <w:color w:val="000000" w:themeColor="text1"/>
          <w:lang w:val="en-US"/>
        </w:rPr>
        <w:t xml:space="preserve">. </w:t>
      </w:r>
      <w:r w:rsidRPr="000F6752">
        <w:rPr>
          <w:color w:val="000000" w:themeColor="text1"/>
          <w:szCs w:val="24"/>
          <w:lang w:val="en-US"/>
        </w:rPr>
        <w:t xml:space="preserve">In order to handle perturbations a certain strength level is necessary, but maximum TS muscle strength appears not to be the most critical determinant. For instance, rather than the individual maximal joint moments, but the ability to generate joint moments in a proper temporal framework has shown to be the main reason for an improved dynamic stability in simulated forward falls after an intervention </w:t>
      </w:r>
      <w:bookmarkStart w:id="50" w:name="Mendeley_Bookmark_dH5JuocbiX"/>
      <w:r w:rsidRPr="000F6752">
        <w:rPr>
          <w:color w:val="000000" w:themeColor="text1"/>
          <w:szCs w:val="24"/>
          <w:lang w:val="en-US"/>
        </w:rPr>
        <w:t>(Arampatzis et al. 2011)</w:t>
      </w:r>
      <w:bookmarkEnd w:id="50"/>
      <w:r w:rsidRPr="000F6752">
        <w:rPr>
          <w:color w:val="000000" w:themeColor="text1"/>
          <w:szCs w:val="24"/>
          <w:lang w:val="en-US"/>
        </w:rPr>
        <w:t>. In the current study</w:t>
      </w:r>
      <w:r w:rsidR="00763549" w:rsidRPr="000F6752">
        <w:rPr>
          <w:color w:val="000000" w:themeColor="text1"/>
          <w:szCs w:val="24"/>
          <w:lang w:val="en-US"/>
        </w:rPr>
        <w:t>,</w:t>
      </w:r>
      <w:r w:rsidRPr="000F6752">
        <w:rPr>
          <w:color w:val="000000" w:themeColor="text1"/>
          <w:szCs w:val="24"/>
          <w:lang w:val="en-US"/>
        </w:rPr>
        <w:t xml:space="preserve"> </w:t>
      </w:r>
      <w:r w:rsidR="00D84950" w:rsidRPr="000F6752">
        <w:rPr>
          <w:color w:val="000000" w:themeColor="text1"/>
          <w:szCs w:val="24"/>
          <w:lang w:val="en-US"/>
        </w:rPr>
        <w:t xml:space="preserve">we additionally attempted to stimulate the neural factors (motor skill training) to provoke a greater excitability of the cortical representation of specific muscles and </w:t>
      </w:r>
      <w:r w:rsidR="00D84950" w:rsidRPr="000F6752">
        <w:rPr>
          <w:color w:val="000000" w:themeColor="text1"/>
          <w:lang w:val="en-US"/>
        </w:rPr>
        <w:t xml:space="preserve">both </w:t>
      </w:r>
      <w:r w:rsidR="006842F8" w:rsidRPr="000F6752">
        <w:rPr>
          <w:color w:val="000000" w:themeColor="text1"/>
          <w:lang w:val="en-US"/>
        </w:rPr>
        <w:t>GAIT+NM</w:t>
      </w:r>
      <w:r w:rsidR="00D84950" w:rsidRPr="000F6752">
        <w:rPr>
          <w:color w:val="000000" w:themeColor="text1"/>
          <w:lang w:val="en-US"/>
        </w:rPr>
        <w:t xml:space="preserve"> groups (</w:t>
      </w:r>
      <w:r w:rsidR="006842F8" w:rsidRPr="000F6752">
        <w:rPr>
          <w:color w:val="000000" w:themeColor="text1"/>
          <w:lang w:val="en-US"/>
        </w:rPr>
        <w:t>GAIT+NM</w:t>
      </w:r>
      <w:r w:rsidR="006842F8" w:rsidRPr="000F6752">
        <w:rPr>
          <w:color w:val="000000" w:themeColor="text1"/>
          <w:vertAlign w:val="subscript"/>
          <w:lang w:val="en-US"/>
        </w:rPr>
        <w:t>14w</w:t>
      </w:r>
      <w:r w:rsidR="006842F8" w:rsidRPr="000F6752">
        <w:rPr>
          <w:color w:val="000000" w:themeColor="text1"/>
          <w:lang w:val="en-US"/>
        </w:rPr>
        <w:t xml:space="preserve"> and GAIT+NM</w:t>
      </w:r>
      <w:r w:rsidR="006842F8" w:rsidRPr="000F6752">
        <w:rPr>
          <w:color w:val="000000" w:themeColor="text1"/>
          <w:vertAlign w:val="subscript"/>
          <w:lang w:val="en-US"/>
        </w:rPr>
        <w:t>1.5y</w:t>
      </w:r>
      <w:r w:rsidR="00D84950" w:rsidRPr="000F6752">
        <w:rPr>
          <w:color w:val="000000" w:themeColor="text1"/>
          <w:lang w:val="en-US"/>
        </w:rPr>
        <w:t xml:space="preserve">) </w:t>
      </w:r>
      <w:r w:rsidR="00D84950" w:rsidRPr="000F6752">
        <w:rPr>
          <w:color w:val="000000" w:themeColor="text1"/>
          <w:szCs w:val="24"/>
          <w:lang w:val="en-US"/>
        </w:rPr>
        <w:t xml:space="preserve">were able to significantly improve their motor skill performance after 14 weeks of combined TS </w:t>
      </w:r>
      <w:r w:rsidR="008958B1" w:rsidRPr="000F6752">
        <w:rPr>
          <w:color w:val="000000" w:themeColor="text1"/>
          <w:lang w:val="en-US"/>
        </w:rPr>
        <w:t>neuromuscular</w:t>
      </w:r>
      <w:r w:rsidR="00D84950" w:rsidRPr="000F6752">
        <w:rPr>
          <w:color w:val="000000" w:themeColor="text1"/>
          <w:szCs w:val="24"/>
          <w:lang w:val="en-US"/>
        </w:rPr>
        <w:t xml:space="preserve"> exercise intervention</w:t>
      </w:r>
      <w:r w:rsidR="00082A54" w:rsidRPr="000F6752">
        <w:rPr>
          <w:color w:val="000000" w:themeColor="text1"/>
          <w:szCs w:val="24"/>
          <w:lang w:val="en-US"/>
        </w:rPr>
        <w:t xml:space="preserve">, which was not the case in the </w:t>
      </w:r>
      <w:r w:rsidR="00861E05" w:rsidRPr="000F6752">
        <w:rPr>
          <w:color w:val="000000" w:themeColor="text1"/>
          <w:lang w:val="en-US"/>
        </w:rPr>
        <w:t>GAIT</w:t>
      </w:r>
      <w:r w:rsidR="00082A54" w:rsidRPr="000F6752">
        <w:rPr>
          <w:color w:val="000000" w:themeColor="text1"/>
          <w:szCs w:val="24"/>
          <w:lang w:val="en-US"/>
        </w:rPr>
        <w:t xml:space="preserve"> group</w:t>
      </w:r>
      <w:r w:rsidR="00763549" w:rsidRPr="000F6752">
        <w:rPr>
          <w:color w:val="000000" w:themeColor="text1"/>
          <w:szCs w:val="24"/>
          <w:lang w:val="en-US"/>
        </w:rPr>
        <w:t>.</w:t>
      </w:r>
      <w:r w:rsidR="00D84950" w:rsidRPr="000F6752">
        <w:rPr>
          <w:color w:val="000000" w:themeColor="text1"/>
          <w:szCs w:val="24"/>
          <w:lang w:val="en-US"/>
        </w:rPr>
        <w:t xml:space="preserve"> </w:t>
      </w:r>
      <w:r w:rsidR="00763549" w:rsidRPr="000F6752">
        <w:rPr>
          <w:color w:val="000000" w:themeColor="text1"/>
          <w:szCs w:val="24"/>
          <w:lang w:val="en-US"/>
        </w:rPr>
        <w:t>H</w:t>
      </w:r>
      <w:r w:rsidR="00D84950" w:rsidRPr="000F6752">
        <w:rPr>
          <w:color w:val="000000" w:themeColor="text1"/>
          <w:szCs w:val="24"/>
          <w:lang w:val="en-US"/>
        </w:rPr>
        <w:t>owever</w:t>
      </w:r>
      <w:r w:rsidR="00763549" w:rsidRPr="000F6752">
        <w:rPr>
          <w:color w:val="000000" w:themeColor="text1"/>
          <w:szCs w:val="24"/>
          <w:lang w:val="en-US"/>
        </w:rPr>
        <w:t>,</w:t>
      </w:r>
      <w:r w:rsidR="00D84950" w:rsidRPr="000F6752">
        <w:rPr>
          <w:color w:val="000000" w:themeColor="text1"/>
          <w:szCs w:val="24"/>
          <w:lang w:val="en-US"/>
        </w:rPr>
        <w:t xml:space="preserve"> similar to the TS muscle strength and </w:t>
      </w:r>
      <w:r w:rsidR="00023115" w:rsidRPr="000F6752">
        <w:rPr>
          <w:color w:val="000000" w:themeColor="text1"/>
          <w:lang w:val="en-US"/>
        </w:rPr>
        <w:t>Achilles tendon</w:t>
      </w:r>
      <w:r w:rsidR="00D84950" w:rsidRPr="000F6752">
        <w:rPr>
          <w:color w:val="000000" w:themeColor="text1"/>
          <w:szCs w:val="24"/>
          <w:lang w:val="en-US"/>
        </w:rPr>
        <w:t xml:space="preserve"> stiffness</w:t>
      </w:r>
      <w:r w:rsidR="00763549" w:rsidRPr="000F6752">
        <w:rPr>
          <w:color w:val="000000" w:themeColor="text1"/>
          <w:szCs w:val="24"/>
          <w:lang w:val="en-US"/>
        </w:rPr>
        <w:t>,</w:t>
      </w:r>
      <w:r w:rsidR="00D84950" w:rsidRPr="000F6752">
        <w:rPr>
          <w:color w:val="000000" w:themeColor="text1"/>
          <w:szCs w:val="24"/>
          <w:lang w:val="en-US"/>
        </w:rPr>
        <w:t xml:space="preserve"> a maintenance</w:t>
      </w:r>
      <w:r w:rsidR="00763549" w:rsidRPr="000F6752">
        <w:rPr>
          <w:color w:val="000000" w:themeColor="text1"/>
          <w:szCs w:val="24"/>
          <w:lang w:val="en-US"/>
        </w:rPr>
        <w:t xml:space="preserve"> of,</w:t>
      </w:r>
      <w:r w:rsidR="00D84950" w:rsidRPr="000F6752">
        <w:rPr>
          <w:color w:val="000000" w:themeColor="text1"/>
          <w:szCs w:val="24"/>
          <w:lang w:val="en-US"/>
        </w:rPr>
        <w:t xml:space="preserve"> rather than further improvements </w:t>
      </w:r>
      <w:r w:rsidR="00763549" w:rsidRPr="000F6752">
        <w:rPr>
          <w:color w:val="000000" w:themeColor="text1"/>
          <w:szCs w:val="24"/>
          <w:lang w:val="en-US"/>
        </w:rPr>
        <w:t xml:space="preserve">in motor skill performance </w:t>
      </w:r>
      <w:r w:rsidR="00D84950" w:rsidRPr="000F6752">
        <w:rPr>
          <w:color w:val="000000" w:themeColor="text1"/>
          <w:szCs w:val="24"/>
          <w:lang w:val="en-US"/>
        </w:rPr>
        <w:t xml:space="preserve">were detected after continuing the exercise intervention up </w:t>
      </w:r>
      <w:r w:rsidR="00763549" w:rsidRPr="000F6752">
        <w:rPr>
          <w:color w:val="000000" w:themeColor="text1"/>
          <w:szCs w:val="24"/>
          <w:lang w:val="en-US"/>
        </w:rPr>
        <w:t xml:space="preserve">until </w:t>
      </w:r>
      <w:r w:rsidR="00D84950" w:rsidRPr="000F6752">
        <w:rPr>
          <w:color w:val="000000" w:themeColor="text1"/>
          <w:szCs w:val="24"/>
          <w:lang w:val="en-US"/>
        </w:rPr>
        <w:t>1.5 years.</w:t>
      </w:r>
      <w:r w:rsidR="003D2883" w:rsidRPr="000F6752">
        <w:rPr>
          <w:color w:val="000000" w:themeColor="text1"/>
          <w:szCs w:val="24"/>
          <w:lang w:val="en-US"/>
        </w:rPr>
        <w:t xml:space="preserve"> </w:t>
      </w:r>
      <w:r w:rsidR="00A2398F" w:rsidRPr="000F6752">
        <w:rPr>
          <w:color w:val="000000" w:themeColor="text1"/>
          <w:szCs w:val="24"/>
          <w:lang w:val="en-US"/>
        </w:rPr>
        <w:t>Accordingly</w:t>
      </w:r>
      <w:r w:rsidR="00EC7CEA" w:rsidRPr="000F6752">
        <w:rPr>
          <w:color w:val="000000" w:themeColor="text1"/>
          <w:szCs w:val="24"/>
          <w:lang w:val="en-US"/>
        </w:rPr>
        <w:t>, even a potentially improved excitability of the cortical representation did not aid the older adults in utilizing the improved TS MTU capacities in the reactive recovery response during perturbed walking.</w:t>
      </w:r>
      <w:r w:rsidR="002B531B" w:rsidRPr="000F6752">
        <w:rPr>
          <w:color w:val="000000" w:themeColor="text1"/>
          <w:szCs w:val="24"/>
          <w:lang w:val="en-US"/>
        </w:rPr>
        <w:t xml:space="preserve"> </w:t>
      </w:r>
      <w:r w:rsidR="006957CB" w:rsidRPr="000F6752">
        <w:rPr>
          <w:color w:val="000000" w:themeColor="text1"/>
          <w:szCs w:val="24"/>
          <w:lang w:val="en-US"/>
        </w:rPr>
        <w:t xml:space="preserve">Therefore, we suggest that </w:t>
      </w:r>
      <w:r w:rsidR="006957CB" w:rsidRPr="000F6752">
        <w:rPr>
          <w:color w:val="000000" w:themeColor="text1"/>
          <w:lang w:val="en-US"/>
        </w:rPr>
        <w:t>in order to improve the ability to cope with disturbances to gait, older adults may benefit more from exposure to unexpected gait perturbations than from interventions targeting the leg-extensor neuromuscular capacities.</w:t>
      </w:r>
      <w:r w:rsidR="00F528EA" w:rsidRPr="000F6752">
        <w:rPr>
          <w:color w:val="000000" w:themeColor="text1"/>
          <w:lang w:val="en-US"/>
        </w:rPr>
        <w:t xml:space="preserve"> </w:t>
      </w:r>
      <w:r w:rsidR="002719F2" w:rsidRPr="000F6752">
        <w:rPr>
          <w:color w:val="000000" w:themeColor="text1"/>
          <w:lang w:val="en-US"/>
        </w:rPr>
        <w:t xml:space="preserve">This kind of perturbation-training may have significant clinical and practical implications for in falls prevention in older adults. Perturbation training could have multiple benefits for healthcare systems, due to the potential to provide such training at low cost, in combination with the short training time that </w:t>
      </w:r>
      <w:r w:rsidR="002719F2" w:rsidRPr="000F6752">
        <w:rPr>
          <w:color w:val="000000" w:themeColor="text1"/>
          <w:lang w:val="en-US"/>
        </w:rPr>
        <w:lastRenderedPageBreak/>
        <w:t>appears to be needed, as well as the long-term benefits for older adults (Gerards et al. 2017)</w:t>
      </w:r>
      <w:r w:rsidR="006243FB" w:rsidRPr="000F6752">
        <w:rPr>
          <w:color w:val="000000" w:themeColor="text1"/>
          <w:lang w:val="en-US"/>
        </w:rPr>
        <w:t>. The above suggestion is supported by earlier slip-perturbation studies, which</w:t>
      </w:r>
      <w:r w:rsidR="006243FB" w:rsidRPr="000F6752">
        <w:rPr>
          <w:color w:val="000000" w:themeColor="text1"/>
          <w:szCs w:val="24"/>
          <w:lang w:val="en-US"/>
        </w:rPr>
        <w:t xml:space="preserve"> have shown a long-term (up to 12 months) retention of the improvements in the reactive recovery response obtained in a single perturbation session as well as a reduced annual daily life fall risk up to 50% (Bhatt et al. 2006, 2012; Pai et al. 2014a; Pai et al. 2014b).</w:t>
      </w:r>
      <w:r w:rsidR="00C957CF" w:rsidRPr="000F6752">
        <w:rPr>
          <w:color w:val="000000" w:themeColor="text1"/>
          <w:szCs w:val="24"/>
          <w:lang w:val="en-US"/>
        </w:rPr>
        <w:t xml:space="preserve"> However, whether the current exercise paradigm using tripping while walking on a treadmill is transferable to other types of perturbations (e.g. slip-perturbations) or to daily life environments and activities (and if it could lead to a reduced incidence of falls) in elderly, needs further investigation.</w:t>
      </w:r>
      <w:bookmarkStart w:id="51" w:name="OLE_LINK84"/>
      <w:bookmarkStart w:id="52" w:name="OLE_LINK85"/>
      <w:bookmarkStart w:id="53" w:name="OLE_LINK86"/>
    </w:p>
    <w:bookmarkEnd w:id="51"/>
    <w:bookmarkEnd w:id="52"/>
    <w:bookmarkEnd w:id="53"/>
    <w:p w14:paraId="149232DC" w14:textId="77777777" w:rsidR="00536006" w:rsidRPr="000F6752" w:rsidRDefault="00536006" w:rsidP="00536006">
      <w:pPr>
        <w:pStyle w:val="Heading2"/>
        <w:rPr>
          <w:b w:val="0"/>
          <w:i/>
          <w:color w:val="000000" w:themeColor="text1"/>
          <w:lang w:val="en-US"/>
        </w:rPr>
      </w:pPr>
      <w:r w:rsidRPr="000F6752">
        <w:rPr>
          <w:b w:val="0"/>
          <w:i/>
          <w:color w:val="000000" w:themeColor="text1"/>
          <w:lang w:val="en-US"/>
        </w:rPr>
        <w:t>Limitations</w:t>
      </w:r>
    </w:p>
    <w:p w14:paraId="47B5CC08" w14:textId="62BD5723" w:rsidR="00FF7D83" w:rsidRPr="000F6752" w:rsidRDefault="00536006" w:rsidP="002F6DCE">
      <w:pPr>
        <w:jc w:val="both"/>
        <w:rPr>
          <w:color w:val="000000" w:themeColor="text1"/>
          <w:lang w:val="en-US"/>
        </w:rPr>
      </w:pPr>
      <w:r w:rsidRPr="000F6752">
        <w:rPr>
          <w:color w:val="000000" w:themeColor="text1"/>
          <w:lang w:val="en-US"/>
        </w:rPr>
        <w:t xml:space="preserve">One might argue that the participants may have anticipated the onset of the perturbation and thereby predictively modified their gait. However, no clear predictive adjustments were observed in either group or time point (no significant differences in MoS of the step prior to the perturbation compared to baseline). Despite this, the detected improvements in the recovery behaviour may not be fully attributable to reactive, feedback-driven motor adjustments, because prior experience of the perturbation task may have led to a heightened awareness and concentration and thereby a faster and more effective response compared to a novel situation </w:t>
      </w:r>
      <w:bookmarkStart w:id="54" w:name="Mendeley_Bookmark_DhvhkOC1W5"/>
      <w:r w:rsidRPr="000F6752">
        <w:rPr>
          <w:color w:val="000000" w:themeColor="text1"/>
          <w:lang w:val="en-US"/>
        </w:rPr>
        <w:t>(Pater et al. 2015)</w:t>
      </w:r>
      <w:r w:rsidR="003D2674" w:rsidRPr="000F6752">
        <w:rPr>
          <w:color w:val="000000" w:themeColor="text1"/>
          <w:lang w:val="en-US"/>
        </w:rPr>
        <w:fldChar w:fldCharType="begin"/>
      </w:r>
      <w:bookmarkEnd w:id="54"/>
      <w:r w:rsidR="003D2674" w:rsidRPr="000F6752">
        <w:rPr>
          <w:color w:val="000000" w:themeColor="text1"/>
          <w:lang w:val="en-US"/>
        </w:rPr>
        <w:fldChar w:fldCharType="separate"/>
      </w:r>
      <w:r w:rsidRPr="000F6752">
        <w:rPr>
          <w:noProof/>
          <w:color w:val="000000" w:themeColor="text1"/>
          <w:lang w:val="en-US"/>
        </w:rPr>
        <w:t>[42]</w:t>
      </w:r>
      <w:r w:rsidR="003D2674" w:rsidRPr="000F6752">
        <w:rPr>
          <w:color w:val="000000" w:themeColor="text1"/>
          <w:lang w:val="en-US"/>
        </w:rPr>
        <w:fldChar w:fldCharType="end"/>
      </w:r>
      <w:r w:rsidRPr="000F6752">
        <w:rPr>
          <w:color w:val="000000" w:themeColor="text1"/>
          <w:lang w:val="en-US"/>
        </w:rPr>
        <w:t xml:space="preserve">. </w:t>
      </w:r>
      <w:r w:rsidR="00C81A7F" w:rsidRPr="000F6752">
        <w:rPr>
          <w:color w:val="000000" w:themeColor="text1"/>
          <w:lang w:val="en-US"/>
        </w:rPr>
        <w:t xml:space="preserve">While </w:t>
      </w:r>
      <w:r w:rsidR="0097467D" w:rsidRPr="000F6752">
        <w:rPr>
          <w:color w:val="000000" w:themeColor="text1"/>
          <w:lang w:val="en-US"/>
        </w:rPr>
        <w:t xml:space="preserve">this </w:t>
      </w:r>
      <w:r w:rsidR="00C81A7F" w:rsidRPr="000F6752">
        <w:rPr>
          <w:color w:val="000000" w:themeColor="text1"/>
          <w:lang w:val="en-US"/>
        </w:rPr>
        <w:t xml:space="preserve">potential drawback might affect our identified degree of retention effects post 14 weeks and post 1.5 years within subject groups, this drawback may be less relevant for our conclusion that an additional TS MTU exercise intervention does not further enhance the retention of improvements made in reactive response in perturbed gait over a prolonged time period. </w:t>
      </w:r>
      <w:r w:rsidR="00481BA4" w:rsidRPr="000F6752">
        <w:rPr>
          <w:color w:val="000000" w:themeColor="text1"/>
          <w:lang w:val="en-US"/>
        </w:rPr>
        <w:t xml:space="preserve">Concerning the motor skill training, it could be </w:t>
      </w:r>
      <w:r w:rsidR="00D255AA" w:rsidRPr="000F6752">
        <w:rPr>
          <w:color w:val="000000" w:themeColor="text1"/>
          <w:lang w:val="en-US"/>
        </w:rPr>
        <w:t>argued</w:t>
      </w:r>
      <w:r w:rsidR="00481BA4" w:rsidRPr="000F6752">
        <w:rPr>
          <w:color w:val="000000" w:themeColor="text1"/>
          <w:lang w:val="en-US"/>
        </w:rPr>
        <w:t xml:space="preserve"> </w:t>
      </w:r>
      <w:r w:rsidR="00D255AA" w:rsidRPr="000F6752">
        <w:rPr>
          <w:color w:val="000000" w:themeColor="text1"/>
          <w:lang w:val="en-US"/>
        </w:rPr>
        <w:t>that</w:t>
      </w:r>
      <w:r w:rsidR="00481BA4" w:rsidRPr="000F6752">
        <w:rPr>
          <w:color w:val="000000" w:themeColor="text1"/>
          <w:lang w:val="en-US"/>
        </w:rPr>
        <w:t xml:space="preserve"> our </w:t>
      </w:r>
      <w:r w:rsidR="00D255AA" w:rsidRPr="000F6752">
        <w:rPr>
          <w:color w:val="000000" w:themeColor="text1"/>
          <w:lang w:val="en-US"/>
        </w:rPr>
        <w:t>single exercise duration</w:t>
      </w:r>
      <w:r w:rsidR="00481BA4" w:rsidRPr="000F6752">
        <w:rPr>
          <w:color w:val="000000" w:themeColor="text1"/>
          <w:lang w:val="en-US"/>
        </w:rPr>
        <w:t xml:space="preserve"> was </w:t>
      </w:r>
      <w:r w:rsidR="00D255AA" w:rsidRPr="000F6752">
        <w:rPr>
          <w:color w:val="000000" w:themeColor="text1"/>
          <w:lang w:val="en-US"/>
        </w:rPr>
        <w:t>lower than used in studies by Perez et al. (2004) and Jensen et al. (2015), potentially not</w:t>
      </w:r>
      <w:r w:rsidR="004A229C" w:rsidRPr="000F6752">
        <w:rPr>
          <w:color w:val="000000" w:themeColor="text1"/>
          <w:lang w:val="en-US"/>
        </w:rPr>
        <w:t xml:space="preserve"> providing a suf</w:t>
      </w:r>
      <w:r w:rsidR="00D70EDE" w:rsidRPr="000F6752">
        <w:rPr>
          <w:color w:val="000000" w:themeColor="text1"/>
          <w:lang w:val="en-US"/>
        </w:rPr>
        <w:t>f</w:t>
      </w:r>
      <w:r w:rsidR="004A229C" w:rsidRPr="000F6752">
        <w:rPr>
          <w:color w:val="000000" w:themeColor="text1"/>
          <w:lang w:val="en-US"/>
        </w:rPr>
        <w:t>ici</w:t>
      </w:r>
      <w:r w:rsidR="00D70EDE" w:rsidRPr="000F6752">
        <w:rPr>
          <w:color w:val="000000" w:themeColor="text1"/>
          <w:lang w:val="en-US"/>
        </w:rPr>
        <w:t>e</w:t>
      </w:r>
      <w:r w:rsidR="004A229C" w:rsidRPr="000F6752">
        <w:rPr>
          <w:color w:val="000000" w:themeColor="text1"/>
          <w:lang w:val="en-US"/>
        </w:rPr>
        <w:t>nt stimul</w:t>
      </w:r>
      <w:r w:rsidR="00D70EDE" w:rsidRPr="000F6752">
        <w:rPr>
          <w:color w:val="000000" w:themeColor="text1"/>
          <w:lang w:val="en-US"/>
        </w:rPr>
        <w:t>u</w:t>
      </w:r>
      <w:r w:rsidR="004A229C" w:rsidRPr="000F6752">
        <w:rPr>
          <w:color w:val="000000" w:themeColor="text1"/>
          <w:lang w:val="en-US"/>
        </w:rPr>
        <w:t>s to provoke</w:t>
      </w:r>
      <w:r w:rsidR="00D255AA" w:rsidRPr="000F6752">
        <w:rPr>
          <w:color w:val="000000" w:themeColor="text1"/>
          <w:lang w:val="en-US"/>
        </w:rPr>
        <w:t xml:space="preserve"> plastic changes in the central nervous system</w:t>
      </w:r>
      <w:r w:rsidR="004A229C" w:rsidRPr="000F6752">
        <w:rPr>
          <w:color w:val="000000" w:themeColor="text1"/>
          <w:lang w:val="en-US"/>
        </w:rPr>
        <w:t xml:space="preserve"> in the older adults</w:t>
      </w:r>
      <w:r w:rsidR="00D255AA" w:rsidRPr="000F6752">
        <w:rPr>
          <w:color w:val="000000" w:themeColor="text1"/>
          <w:lang w:val="en-US"/>
        </w:rPr>
        <w:t xml:space="preserve">. However, the participants </w:t>
      </w:r>
      <w:r w:rsidR="00D255AA" w:rsidRPr="000F6752">
        <w:rPr>
          <w:color w:val="000000" w:themeColor="text1"/>
          <w:lang w:val="en-US"/>
        </w:rPr>
        <w:lastRenderedPageBreak/>
        <w:t xml:space="preserve">of the current study performed an exercise intervention 2-3 times a week up to 1.5 years with a total training duration </w:t>
      </w:r>
      <w:r w:rsidR="00D255AA" w:rsidRPr="000F6752">
        <w:rPr>
          <w:rFonts w:eastAsia="Times New Roman"/>
          <w:color w:val="000000" w:themeColor="text1"/>
          <w:szCs w:val="24"/>
        </w:rPr>
        <w:t>over 1</w:t>
      </w:r>
      <w:r w:rsidR="002610CC" w:rsidRPr="000F6752">
        <w:rPr>
          <w:rFonts w:eastAsia="Times New Roman"/>
          <w:color w:val="000000" w:themeColor="text1"/>
          <w:szCs w:val="24"/>
        </w:rPr>
        <w:t>1</w:t>
      </w:r>
      <w:r w:rsidR="00D255AA" w:rsidRPr="000F6752">
        <w:rPr>
          <w:rFonts w:eastAsia="Times New Roman"/>
          <w:color w:val="000000" w:themeColor="text1"/>
          <w:szCs w:val="24"/>
        </w:rPr>
        <w:t>00 minutes</w:t>
      </w:r>
      <w:r w:rsidR="00D255AA" w:rsidRPr="000F6752">
        <w:rPr>
          <w:color w:val="000000" w:themeColor="text1"/>
          <w:lang w:val="en-US"/>
        </w:rPr>
        <w:t xml:space="preserve"> for the motor skill training</w:t>
      </w:r>
      <w:r w:rsidR="009852AC" w:rsidRPr="000F6752">
        <w:rPr>
          <w:color w:val="000000" w:themeColor="text1"/>
          <w:lang w:val="en-US"/>
        </w:rPr>
        <w:t xml:space="preserve">. Therefore, </w:t>
      </w:r>
      <w:r w:rsidR="00D255AA" w:rsidRPr="000F6752">
        <w:rPr>
          <w:color w:val="000000" w:themeColor="text1"/>
          <w:lang w:val="en-US"/>
        </w:rPr>
        <w:t xml:space="preserve">we are quite confident that the </w:t>
      </w:r>
      <w:r w:rsidR="002610CC" w:rsidRPr="000F6752">
        <w:rPr>
          <w:color w:val="000000" w:themeColor="text1"/>
          <w:lang w:val="en-US"/>
        </w:rPr>
        <w:t xml:space="preserve">total </w:t>
      </w:r>
      <w:r w:rsidR="008D6E8F" w:rsidRPr="000F6752">
        <w:rPr>
          <w:color w:val="000000" w:themeColor="text1"/>
          <w:lang w:val="en-US"/>
        </w:rPr>
        <w:t xml:space="preserve">exercise duration was </w:t>
      </w:r>
      <w:r w:rsidR="00D255AA" w:rsidRPr="000F6752">
        <w:rPr>
          <w:color w:val="000000" w:themeColor="text1"/>
          <w:lang w:val="en-US"/>
        </w:rPr>
        <w:t>s</w:t>
      </w:r>
      <w:r w:rsidR="008D6E8F" w:rsidRPr="000F6752">
        <w:rPr>
          <w:rFonts w:eastAsia="Times New Roman"/>
          <w:color w:val="000000" w:themeColor="text1"/>
          <w:szCs w:val="24"/>
        </w:rPr>
        <w:t xml:space="preserve">ufficient to provoke </w:t>
      </w:r>
      <w:r w:rsidR="00D255AA" w:rsidRPr="000F6752">
        <w:rPr>
          <w:color w:val="000000" w:themeColor="text1"/>
          <w:lang w:val="en-US"/>
        </w:rPr>
        <w:t>neural adaptation</w:t>
      </w:r>
      <w:r w:rsidR="004A229C" w:rsidRPr="000F6752">
        <w:rPr>
          <w:color w:val="000000" w:themeColor="text1"/>
          <w:lang w:val="en-US"/>
        </w:rPr>
        <w:t xml:space="preserve"> in the examine</w:t>
      </w:r>
      <w:r w:rsidR="00D70EDE" w:rsidRPr="000F6752">
        <w:rPr>
          <w:color w:val="000000" w:themeColor="text1"/>
          <w:lang w:val="en-US"/>
        </w:rPr>
        <w:t>d</w:t>
      </w:r>
      <w:r w:rsidR="004A229C" w:rsidRPr="000F6752">
        <w:rPr>
          <w:color w:val="000000" w:themeColor="text1"/>
          <w:lang w:val="en-US"/>
        </w:rPr>
        <w:t xml:space="preserve"> older adults</w:t>
      </w:r>
      <w:r w:rsidR="00D255AA" w:rsidRPr="000F6752">
        <w:rPr>
          <w:color w:val="000000" w:themeColor="text1"/>
          <w:lang w:val="en-US"/>
        </w:rPr>
        <w:t>.</w:t>
      </w:r>
      <w:r w:rsidR="00B05CFE" w:rsidRPr="000F6752">
        <w:rPr>
          <w:color w:val="000000" w:themeColor="text1"/>
          <w:lang w:val="en-US"/>
        </w:rPr>
        <w:t xml:space="preserve"> </w:t>
      </w:r>
      <w:r w:rsidR="004A229C" w:rsidRPr="000F6752">
        <w:rPr>
          <w:color w:val="000000" w:themeColor="text1"/>
          <w:lang w:val="en-US"/>
        </w:rPr>
        <w:t>Furthermore, a</w:t>
      </w:r>
      <w:r w:rsidR="00FF7D83" w:rsidRPr="000F6752">
        <w:rPr>
          <w:color w:val="000000" w:themeColor="text1"/>
          <w:lang w:val="en-US"/>
        </w:rPr>
        <w:t xml:space="preserve"> limitation of the curre</w:t>
      </w:r>
      <w:r w:rsidR="00E03B37" w:rsidRPr="000F6752">
        <w:rPr>
          <w:color w:val="000000" w:themeColor="text1"/>
          <w:lang w:val="en-US"/>
        </w:rPr>
        <w:t xml:space="preserve">nt study is </w:t>
      </w:r>
      <w:r w:rsidR="009852AC" w:rsidRPr="000F6752">
        <w:rPr>
          <w:color w:val="000000" w:themeColor="text1"/>
          <w:lang w:val="en-US"/>
        </w:rPr>
        <w:t xml:space="preserve">the </w:t>
      </w:r>
      <w:r w:rsidR="00FF7D83" w:rsidRPr="000F6752">
        <w:rPr>
          <w:color w:val="000000" w:themeColor="text1"/>
          <w:lang w:val="en-US"/>
        </w:rPr>
        <w:t>relatively low number of subjects in each group (</w:t>
      </w:r>
      <w:r w:rsidR="00B05CFE" w:rsidRPr="000F6752">
        <w:rPr>
          <w:rFonts w:eastAsia="Times New Roman"/>
          <w:color w:val="000000" w:themeColor="text1"/>
          <w:szCs w:val="24"/>
          <w:lang w:val="en-US"/>
        </w:rPr>
        <w:t>n=13 for GAIT</w:t>
      </w:r>
      <w:r w:rsidR="00CD27B4" w:rsidRPr="000F6752">
        <w:rPr>
          <w:color w:val="000000" w:themeColor="text1"/>
          <w:lang w:val="en-US"/>
        </w:rPr>
        <w:t xml:space="preserve"> </w:t>
      </w:r>
      <w:r w:rsidR="00B05CFE" w:rsidRPr="000F6752">
        <w:rPr>
          <w:rFonts w:eastAsia="Times New Roman"/>
          <w:color w:val="000000" w:themeColor="text1"/>
          <w:szCs w:val="24"/>
          <w:lang w:val="en-US"/>
        </w:rPr>
        <w:t>group; n=21 GAIT+NM</w:t>
      </w:r>
      <w:r w:rsidR="00B05CFE" w:rsidRPr="000F6752">
        <w:rPr>
          <w:rFonts w:eastAsia="Times New Roman"/>
          <w:color w:val="000000" w:themeColor="text1"/>
          <w:szCs w:val="24"/>
          <w:vertAlign w:val="subscript"/>
          <w:lang w:val="en-US"/>
        </w:rPr>
        <w:t>14w</w:t>
      </w:r>
      <w:r w:rsidR="00B05CFE" w:rsidRPr="000F6752">
        <w:rPr>
          <w:rFonts w:eastAsia="Times New Roman"/>
          <w:color w:val="000000" w:themeColor="text1"/>
          <w:szCs w:val="24"/>
          <w:lang w:val="en-US"/>
        </w:rPr>
        <w:t xml:space="preserve"> group and n=12 GAIT+NM</w:t>
      </w:r>
      <w:r w:rsidR="00B05CFE" w:rsidRPr="000F6752">
        <w:rPr>
          <w:rFonts w:eastAsia="Times New Roman"/>
          <w:color w:val="000000" w:themeColor="text1"/>
          <w:szCs w:val="24"/>
          <w:vertAlign w:val="subscript"/>
          <w:lang w:val="en-US"/>
        </w:rPr>
        <w:t>1.5y</w:t>
      </w:r>
      <w:r w:rsidR="00B05CFE" w:rsidRPr="000F6752">
        <w:rPr>
          <w:color w:val="000000" w:themeColor="text1"/>
          <w:lang w:val="en-US"/>
        </w:rPr>
        <w:t>)</w:t>
      </w:r>
      <w:r w:rsidR="00FF7D83" w:rsidRPr="000F6752">
        <w:rPr>
          <w:color w:val="000000" w:themeColor="text1"/>
          <w:lang w:val="en-US"/>
        </w:rPr>
        <w:t xml:space="preserve"> which reduces the potential for determining </w:t>
      </w:r>
      <w:r w:rsidR="009852AC" w:rsidRPr="000F6752">
        <w:rPr>
          <w:color w:val="000000" w:themeColor="text1"/>
          <w:lang w:val="en-US"/>
        </w:rPr>
        <w:t xml:space="preserve">statistical </w:t>
      </w:r>
      <w:r w:rsidR="00FF7D83" w:rsidRPr="000F6752">
        <w:rPr>
          <w:color w:val="000000" w:themeColor="text1"/>
          <w:lang w:val="en-US"/>
        </w:rPr>
        <w:t>differences between the exercise interventions (GAIT vs GAIT+NM)</w:t>
      </w:r>
      <w:r w:rsidR="00E03B37" w:rsidRPr="000F6752">
        <w:rPr>
          <w:color w:val="000000" w:themeColor="text1"/>
          <w:lang w:val="en-US"/>
        </w:rPr>
        <w:t>,</w:t>
      </w:r>
      <w:r w:rsidR="00FF7D83" w:rsidRPr="000F6752">
        <w:rPr>
          <w:color w:val="000000" w:themeColor="text1"/>
          <w:lang w:val="en-US"/>
        </w:rPr>
        <w:t xml:space="preserve"> reflected</w:t>
      </w:r>
      <w:r w:rsidR="00E03B37" w:rsidRPr="000F6752">
        <w:rPr>
          <w:color w:val="000000" w:themeColor="text1"/>
          <w:lang w:val="en-US"/>
        </w:rPr>
        <w:t xml:space="preserve"> also by</w:t>
      </w:r>
      <w:r w:rsidR="00FF7D83" w:rsidRPr="000F6752">
        <w:rPr>
          <w:color w:val="000000" w:themeColor="text1"/>
          <w:lang w:val="en-US"/>
        </w:rPr>
        <w:t xml:space="preserve"> a low statistical power (0.</w:t>
      </w:r>
      <w:r w:rsidR="004A229C" w:rsidRPr="000F6752">
        <w:rPr>
          <w:color w:val="000000" w:themeColor="text1"/>
          <w:lang w:val="en-US"/>
        </w:rPr>
        <w:t>32</w:t>
      </w:r>
      <w:r w:rsidR="004A229C" w:rsidRPr="000F6752">
        <w:rPr>
          <w:color w:val="000000" w:themeColor="text1"/>
        </w:rPr>
        <w:t xml:space="preserve"> </w:t>
      </w:r>
      <w:r w:rsidR="00E03B37" w:rsidRPr="000F6752">
        <w:rPr>
          <w:color w:val="000000" w:themeColor="text1"/>
          <w:lang w:val="en-US"/>
        </w:rPr>
        <w:t>for the non-significant group x trial interaction</w:t>
      </w:r>
      <w:r w:rsidR="00D70EDE" w:rsidRPr="000F6752">
        <w:rPr>
          <w:color w:val="000000" w:themeColor="text1"/>
          <w:lang w:val="en-US"/>
        </w:rPr>
        <w:t xml:space="preserve"> for the MoS at TD Pert</w:t>
      </w:r>
      <w:r w:rsidR="00FF7D83" w:rsidRPr="000F6752">
        <w:rPr>
          <w:color w:val="000000" w:themeColor="text1"/>
          <w:lang w:val="en-US"/>
        </w:rPr>
        <w:t xml:space="preserve">). Therefore we cannot exclude that a higher number of subjects might </w:t>
      </w:r>
      <w:r w:rsidR="009852AC" w:rsidRPr="000F6752">
        <w:rPr>
          <w:color w:val="000000" w:themeColor="text1"/>
          <w:lang w:val="en-US"/>
        </w:rPr>
        <w:t xml:space="preserve">have </w:t>
      </w:r>
      <w:r w:rsidR="00FF7D83" w:rsidRPr="000F6752">
        <w:rPr>
          <w:color w:val="000000" w:themeColor="text1"/>
          <w:lang w:val="en-US"/>
        </w:rPr>
        <w:t xml:space="preserve">led to </w:t>
      </w:r>
      <w:r w:rsidR="009852AC" w:rsidRPr="000F6752">
        <w:rPr>
          <w:rFonts w:eastAsia="Times New Roman"/>
          <w:color w:val="000000" w:themeColor="text1"/>
          <w:szCs w:val="24"/>
          <w:lang w:val="en-US"/>
        </w:rPr>
        <w:t xml:space="preserve">a significant result regarding </w:t>
      </w:r>
      <w:r w:rsidR="00FF7D83" w:rsidRPr="000F6752">
        <w:rPr>
          <w:color w:val="000000" w:themeColor="text1"/>
          <w:lang w:val="en-US"/>
        </w:rPr>
        <w:t xml:space="preserve">effectiveness of the combined perturbation and TS neuromuscular exercise intervention in comparison to </w:t>
      </w:r>
      <w:r w:rsidR="009852AC" w:rsidRPr="000F6752">
        <w:rPr>
          <w:color w:val="000000" w:themeColor="text1"/>
          <w:lang w:val="en-US"/>
        </w:rPr>
        <w:t xml:space="preserve">only </w:t>
      </w:r>
      <w:r w:rsidR="00FF7D83" w:rsidRPr="000F6752">
        <w:rPr>
          <w:color w:val="000000" w:themeColor="text1"/>
          <w:lang w:val="en-US"/>
        </w:rPr>
        <w:t xml:space="preserve">perturbation exposure. However this drawback does not affect </w:t>
      </w:r>
      <w:r w:rsidR="0067287D" w:rsidRPr="000F6752">
        <w:rPr>
          <w:color w:val="000000" w:themeColor="text1"/>
          <w:lang w:val="en-US"/>
        </w:rPr>
        <w:t xml:space="preserve">our </w:t>
      </w:r>
      <w:r w:rsidR="00FF7D83" w:rsidRPr="000F6752">
        <w:rPr>
          <w:color w:val="000000" w:themeColor="text1"/>
          <w:lang w:val="en-US"/>
        </w:rPr>
        <w:t xml:space="preserve">observation that the </w:t>
      </w:r>
      <w:r w:rsidR="002610CC" w:rsidRPr="000F6752">
        <w:rPr>
          <w:color w:val="000000" w:themeColor="text1"/>
          <w:lang w:val="en-US"/>
        </w:rPr>
        <w:t>aged n</w:t>
      </w:r>
      <w:r w:rsidR="00FF7D83" w:rsidRPr="000F6752">
        <w:rPr>
          <w:color w:val="000000" w:themeColor="text1"/>
          <w:lang w:val="en-US"/>
        </w:rPr>
        <w:t>eurom</w:t>
      </w:r>
      <w:r w:rsidR="002610CC" w:rsidRPr="000F6752">
        <w:rPr>
          <w:color w:val="000000" w:themeColor="text1"/>
          <w:lang w:val="en-US"/>
        </w:rPr>
        <w:t xml:space="preserve">otor </w:t>
      </w:r>
      <w:r w:rsidR="00FF7D83" w:rsidRPr="000F6752">
        <w:rPr>
          <w:color w:val="000000" w:themeColor="text1"/>
          <w:lang w:val="en-US"/>
        </w:rPr>
        <w:t>system shows plasticity in response to repeated exposure to unexpected perturbations and an ability to retain these acquisitions in reactive recovery responses over a prolonged time period</w:t>
      </w:r>
      <w:r w:rsidR="002610CC" w:rsidRPr="000F6752">
        <w:rPr>
          <w:color w:val="000000" w:themeColor="text1"/>
          <w:lang w:val="en-US"/>
        </w:rPr>
        <w:t xml:space="preserve"> </w:t>
      </w:r>
      <w:r w:rsidR="00DD086B" w:rsidRPr="000F6752">
        <w:rPr>
          <w:color w:val="000000" w:themeColor="text1"/>
          <w:lang w:val="en-US"/>
        </w:rPr>
        <w:t xml:space="preserve">of </w:t>
      </w:r>
      <w:r w:rsidR="002610CC" w:rsidRPr="000F6752">
        <w:rPr>
          <w:color w:val="000000" w:themeColor="text1"/>
          <w:lang w:val="en-US"/>
        </w:rPr>
        <w:t>1.5 years</w:t>
      </w:r>
      <w:r w:rsidR="00FF7D83" w:rsidRPr="000F6752">
        <w:rPr>
          <w:color w:val="000000" w:themeColor="text1"/>
          <w:lang w:val="en-US"/>
        </w:rPr>
        <w:t>.</w:t>
      </w:r>
      <w:r w:rsidR="004A229C" w:rsidRPr="000F6752">
        <w:rPr>
          <w:color w:val="000000" w:themeColor="text1"/>
          <w:lang w:val="en-US"/>
        </w:rPr>
        <w:t xml:space="preserve"> </w:t>
      </w:r>
    </w:p>
    <w:p w14:paraId="24612BE5" w14:textId="77777777" w:rsidR="00536006" w:rsidRPr="000F6752" w:rsidRDefault="00536006" w:rsidP="00536006">
      <w:pPr>
        <w:pStyle w:val="Heading2"/>
        <w:rPr>
          <w:b w:val="0"/>
          <w:i/>
          <w:color w:val="000000" w:themeColor="text1"/>
          <w:lang w:val="en-US"/>
        </w:rPr>
      </w:pPr>
      <w:r w:rsidRPr="000F6752">
        <w:rPr>
          <w:b w:val="0"/>
          <w:i/>
          <w:color w:val="000000" w:themeColor="text1"/>
          <w:lang w:val="en-US"/>
        </w:rPr>
        <w:t>Conclusions</w:t>
      </w:r>
    </w:p>
    <w:p w14:paraId="3EDDB3A1" w14:textId="565BAE87" w:rsidR="00536006" w:rsidRPr="000F6752" w:rsidRDefault="00536006" w:rsidP="00536006">
      <w:pPr>
        <w:jc w:val="both"/>
        <w:rPr>
          <w:color w:val="000000" w:themeColor="text1"/>
          <w:lang w:val="en-US"/>
        </w:rPr>
      </w:pPr>
      <w:r w:rsidRPr="000F6752">
        <w:rPr>
          <w:color w:val="000000" w:themeColor="text1"/>
          <w:lang w:val="en-US"/>
        </w:rPr>
        <w:t>In conclusion, the current findings provide evidence that older adults are able to partly retain the reactive response improvements in fall</w:t>
      </w:r>
      <w:r w:rsidRPr="000F6752">
        <w:rPr>
          <w:b/>
          <w:color w:val="000000" w:themeColor="text1"/>
          <w:lang w:val="en-US"/>
        </w:rPr>
        <w:t>-</w:t>
      </w:r>
      <w:r w:rsidRPr="000F6752">
        <w:rPr>
          <w:color w:val="000000" w:themeColor="text1"/>
          <w:lang w:val="en-US"/>
        </w:rPr>
        <w:t xml:space="preserve">resting skills acquired during perturbation training sessions over a prolonged period of 1.5 years. An additional exercise-induced enhancement of the TS </w:t>
      </w:r>
      <w:r w:rsidR="00AF0C53" w:rsidRPr="000F6752">
        <w:rPr>
          <w:color w:val="000000" w:themeColor="text1"/>
          <w:lang w:val="en-US"/>
        </w:rPr>
        <w:t>neuromuscular</w:t>
      </w:r>
      <w:r w:rsidRPr="000F6752">
        <w:rPr>
          <w:color w:val="000000" w:themeColor="text1"/>
          <w:lang w:val="en-US"/>
        </w:rPr>
        <w:t xml:space="preserve"> capacities over 14 weeks or 1.5 years seems not to lead to further meaningful benefits for the reactive recovery response to control the </w:t>
      </w:r>
      <w:r w:rsidR="00337A2D" w:rsidRPr="000F6752">
        <w:rPr>
          <w:color w:val="000000" w:themeColor="text1"/>
          <w:szCs w:val="24"/>
          <w:lang w:val="en-US"/>
        </w:rPr>
        <w:t>center of mass</w:t>
      </w:r>
      <w:r w:rsidRPr="000F6752">
        <w:rPr>
          <w:color w:val="000000" w:themeColor="text1"/>
          <w:lang w:val="en-US"/>
        </w:rPr>
        <w:t xml:space="preserve"> state following a gait perturbation in elderly adults. Thus, the central nervous system of older adults shows rapid plasticity to repeated exposure to unexpected perturbations and an ability to retain these acquisitions in reactive recovery responses over a prolonged time period (1.5 years), but it seems, </w:t>
      </w:r>
      <w:r w:rsidRPr="000F6752">
        <w:rPr>
          <w:color w:val="000000" w:themeColor="text1"/>
          <w:lang w:val="en-US"/>
        </w:rPr>
        <w:lastRenderedPageBreak/>
        <w:t xml:space="preserve">that an additional exercise-related enhancement of TS </w:t>
      </w:r>
      <w:r w:rsidR="00AF0C53" w:rsidRPr="000F6752">
        <w:rPr>
          <w:color w:val="000000" w:themeColor="text1"/>
          <w:lang w:val="en-US"/>
        </w:rPr>
        <w:t xml:space="preserve">neuromuscular </w:t>
      </w:r>
      <w:r w:rsidRPr="000F6752">
        <w:rPr>
          <w:color w:val="000000" w:themeColor="text1"/>
          <w:lang w:val="en-US"/>
        </w:rPr>
        <w:t>capacities is not necessarily transferred to the recovery behavior during unexpected perturbations to gait in older adults</w:t>
      </w:r>
      <w:r w:rsidR="00DF28A4" w:rsidRPr="000F6752">
        <w:rPr>
          <w:color w:val="000000" w:themeColor="text1"/>
          <w:lang w:val="en-US"/>
        </w:rPr>
        <w:t>. Accordingly, perturbation training alone seems to optimize task performance to a necessary level of stability</w:t>
      </w:r>
      <w:r w:rsidRPr="000F6752">
        <w:rPr>
          <w:color w:val="000000" w:themeColor="text1"/>
          <w:lang w:val="en-US"/>
        </w:rPr>
        <w:t>.</w:t>
      </w:r>
      <w:r w:rsidR="00786122" w:rsidRPr="000F6752">
        <w:rPr>
          <w:color w:val="000000" w:themeColor="text1"/>
        </w:rPr>
        <w:t xml:space="preserve"> I</w:t>
      </w:r>
      <w:r w:rsidR="00786122" w:rsidRPr="000F6752">
        <w:rPr>
          <w:color w:val="000000" w:themeColor="text1"/>
          <w:lang w:val="en-US"/>
        </w:rPr>
        <w:t xml:space="preserve">n order to improve the ability to cope with disturbances to gait, older adults may benefit more from </w:t>
      </w:r>
      <w:r w:rsidR="009410BA" w:rsidRPr="000F6752">
        <w:rPr>
          <w:color w:val="000000" w:themeColor="text1"/>
          <w:lang w:val="en-US"/>
        </w:rPr>
        <w:t>a brief</w:t>
      </w:r>
      <w:r w:rsidR="00654059" w:rsidRPr="000F6752">
        <w:rPr>
          <w:color w:val="000000" w:themeColor="text1"/>
          <w:lang w:val="en-US"/>
        </w:rPr>
        <w:t xml:space="preserve"> </w:t>
      </w:r>
      <w:r w:rsidR="00786122" w:rsidRPr="000F6752">
        <w:rPr>
          <w:color w:val="000000" w:themeColor="text1"/>
          <w:lang w:val="en-US"/>
        </w:rPr>
        <w:t xml:space="preserve">exposure to unexpected gait perturbations than from interventions targeting </w:t>
      </w:r>
      <w:r w:rsidR="00190FAD" w:rsidRPr="000F6752">
        <w:rPr>
          <w:color w:val="000000" w:themeColor="text1"/>
          <w:lang w:val="en-US"/>
        </w:rPr>
        <w:t xml:space="preserve">the </w:t>
      </w:r>
      <w:r w:rsidR="00786122" w:rsidRPr="000F6752">
        <w:rPr>
          <w:color w:val="000000" w:themeColor="text1"/>
          <w:lang w:val="en-US"/>
        </w:rPr>
        <w:t>neuromuscular capacities</w:t>
      </w:r>
      <w:r w:rsidR="00190FAD" w:rsidRPr="000F6752">
        <w:rPr>
          <w:color w:val="000000" w:themeColor="text1"/>
          <w:lang w:val="en-US"/>
        </w:rPr>
        <w:t xml:space="preserve"> of the lower limbs.</w:t>
      </w:r>
      <w:r w:rsidR="009410BA" w:rsidRPr="000F6752">
        <w:rPr>
          <w:color w:val="000000" w:themeColor="text1"/>
          <w:lang w:val="en-US"/>
        </w:rPr>
        <w:t xml:space="preserve"> </w:t>
      </w:r>
    </w:p>
    <w:p w14:paraId="5A40ED3F" w14:textId="77777777" w:rsidR="00536006" w:rsidRPr="00C827B9" w:rsidRDefault="00536006" w:rsidP="00536006">
      <w:pPr>
        <w:pStyle w:val="Heading1"/>
        <w:rPr>
          <w:lang w:val="en-US"/>
        </w:rPr>
      </w:pPr>
      <w:r w:rsidRPr="00C827B9">
        <w:rPr>
          <w:lang w:val="en-US"/>
        </w:rPr>
        <w:t>Author contributions</w:t>
      </w:r>
    </w:p>
    <w:p w14:paraId="07DA67DA" w14:textId="6B67B82E" w:rsidR="00536006" w:rsidRPr="00C827B9" w:rsidRDefault="00536006" w:rsidP="00536006">
      <w:pPr>
        <w:rPr>
          <w:lang w:val="en-US"/>
        </w:rPr>
      </w:pPr>
      <w:r w:rsidRPr="00C827B9">
        <w:rPr>
          <w:lang w:val="en-US"/>
        </w:rPr>
        <w:t>G.E., G-P.B. and K.K. conceptio</w:t>
      </w:r>
      <w:r w:rsidRPr="002B4756">
        <w:rPr>
          <w:color w:val="000000" w:themeColor="text1"/>
          <w:lang w:val="en-US"/>
        </w:rPr>
        <w:t>n and design of research; G.</w:t>
      </w:r>
      <w:r w:rsidR="00EE6D17" w:rsidRPr="002B4756">
        <w:rPr>
          <w:color w:val="000000" w:themeColor="text1"/>
          <w:lang w:val="en-US"/>
        </w:rPr>
        <w:t xml:space="preserve">E., A.M., </w:t>
      </w:r>
      <w:r w:rsidRPr="002B4756">
        <w:rPr>
          <w:color w:val="000000" w:themeColor="text1"/>
          <w:lang w:val="en-US"/>
        </w:rPr>
        <w:t>M.</w:t>
      </w:r>
      <w:r w:rsidR="00EE6D17" w:rsidRPr="002B4756">
        <w:rPr>
          <w:color w:val="000000" w:themeColor="text1"/>
          <w:lang w:val="en-US"/>
        </w:rPr>
        <w:t>L.</w:t>
      </w:r>
      <w:r w:rsidRPr="002B4756">
        <w:rPr>
          <w:color w:val="000000" w:themeColor="text1"/>
          <w:lang w:val="en-US"/>
        </w:rPr>
        <w:t xml:space="preserve">, and K.K. performed experiments; G.E., </w:t>
      </w:r>
      <w:r w:rsidR="00EE6D17" w:rsidRPr="002B4756">
        <w:rPr>
          <w:color w:val="000000" w:themeColor="text1"/>
          <w:lang w:val="en-US"/>
        </w:rPr>
        <w:t>C.M.</w:t>
      </w:r>
      <w:r w:rsidR="00D21F13" w:rsidRPr="002B4756">
        <w:rPr>
          <w:color w:val="000000" w:themeColor="text1"/>
          <w:lang w:val="en-US"/>
        </w:rPr>
        <w:t xml:space="preserve"> </w:t>
      </w:r>
      <w:r w:rsidRPr="002B4756">
        <w:rPr>
          <w:color w:val="000000" w:themeColor="text1"/>
          <w:lang w:val="en-US"/>
        </w:rPr>
        <w:t xml:space="preserve">and K.K. analyzed data; G.E., </w:t>
      </w:r>
      <w:r w:rsidR="00EE6D17" w:rsidRPr="002B4756">
        <w:rPr>
          <w:color w:val="000000" w:themeColor="text1"/>
          <w:lang w:val="en-US"/>
        </w:rPr>
        <w:t>C.M.</w:t>
      </w:r>
      <w:r w:rsidRPr="002B4756">
        <w:rPr>
          <w:color w:val="000000" w:themeColor="text1"/>
          <w:lang w:val="en-US"/>
        </w:rPr>
        <w:t xml:space="preserve">, G-P.B. and K.K interpreted results of experiments; G.E. and K.K. prepared figures; G.E. and K.K. drafted manuscript; G.E., </w:t>
      </w:r>
      <w:r w:rsidR="00EE6D17" w:rsidRPr="002B4756">
        <w:rPr>
          <w:color w:val="000000" w:themeColor="text1"/>
          <w:lang w:val="en-US"/>
        </w:rPr>
        <w:t>C.M.</w:t>
      </w:r>
      <w:r w:rsidRPr="002B4756">
        <w:rPr>
          <w:color w:val="000000" w:themeColor="text1"/>
          <w:lang w:val="en-US"/>
        </w:rPr>
        <w:t xml:space="preserve">, A.M., </w:t>
      </w:r>
      <w:r w:rsidR="00EE6D17" w:rsidRPr="002B4756">
        <w:rPr>
          <w:color w:val="000000" w:themeColor="text1"/>
          <w:lang w:val="en-US"/>
        </w:rPr>
        <w:t>M.L.</w:t>
      </w:r>
      <w:r w:rsidRPr="002B4756">
        <w:rPr>
          <w:color w:val="000000" w:themeColor="text1"/>
          <w:lang w:val="en-US"/>
        </w:rPr>
        <w:t xml:space="preserve">, G-P.B. and K.K. edited and revised manuscript; G.E., </w:t>
      </w:r>
      <w:r w:rsidR="00EE6D17" w:rsidRPr="002B4756">
        <w:rPr>
          <w:color w:val="000000" w:themeColor="text1"/>
          <w:lang w:val="en-US"/>
        </w:rPr>
        <w:t>C.M.</w:t>
      </w:r>
      <w:r w:rsidRPr="002B4756">
        <w:rPr>
          <w:color w:val="000000" w:themeColor="text1"/>
          <w:lang w:val="en-US"/>
        </w:rPr>
        <w:t xml:space="preserve">, A.M., </w:t>
      </w:r>
      <w:r w:rsidR="00EE6D17" w:rsidRPr="002B4756">
        <w:rPr>
          <w:color w:val="000000" w:themeColor="text1"/>
          <w:lang w:val="en-US"/>
        </w:rPr>
        <w:t>M.L.</w:t>
      </w:r>
      <w:r w:rsidRPr="002B4756">
        <w:rPr>
          <w:color w:val="000000" w:themeColor="text1"/>
          <w:lang w:val="en-US"/>
        </w:rPr>
        <w:t>, G-P.B. and K.K. approved final version of manuscript.</w:t>
      </w:r>
    </w:p>
    <w:p w14:paraId="60CEC121" w14:textId="77777777" w:rsidR="00536006" w:rsidRPr="00C827B9" w:rsidRDefault="00536006" w:rsidP="00536006">
      <w:pPr>
        <w:pStyle w:val="Heading1"/>
        <w:rPr>
          <w:lang w:val="en-US"/>
        </w:rPr>
      </w:pPr>
      <w:r w:rsidRPr="00C827B9">
        <w:rPr>
          <w:lang w:val="en-US"/>
        </w:rPr>
        <w:t>Conflict of Interest Statement</w:t>
      </w:r>
    </w:p>
    <w:p w14:paraId="76D3EBE5" w14:textId="77777777" w:rsidR="00536006" w:rsidRPr="00C827B9" w:rsidRDefault="00536006" w:rsidP="00536006">
      <w:pPr>
        <w:autoSpaceDE w:val="0"/>
        <w:autoSpaceDN w:val="0"/>
        <w:adjustRightInd w:val="0"/>
        <w:spacing w:after="0"/>
        <w:contextualSpacing/>
        <w:jc w:val="both"/>
        <w:rPr>
          <w:color w:val="000000"/>
          <w:szCs w:val="24"/>
          <w:lang w:val="en-US"/>
        </w:rPr>
      </w:pPr>
      <w:r w:rsidRPr="00C827B9">
        <w:rPr>
          <w:color w:val="000000"/>
          <w:szCs w:val="24"/>
          <w:lang w:val="en-US"/>
        </w:rPr>
        <w:t>The authors declare no conflicts of interest.</w:t>
      </w:r>
    </w:p>
    <w:p w14:paraId="3B0DB963" w14:textId="77777777" w:rsidR="00536006" w:rsidRPr="00C827B9" w:rsidRDefault="00536006" w:rsidP="00536006">
      <w:pPr>
        <w:pStyle w:val="Heading1"/>
        <w:rPr>
          <w:lang w:val="en-US"/>
        </w:rPr>
      </w:pPr>
      <w:r w:rsidRPr="00C827B9">
        <w:rPr>
          <w:lang w:val="en-US"/>
        </w:rPr>
        <w:t>Acknowledgements</w:t>
      </w:r>
    </w:p>
    <w:p w14:paraId="188DD4EC" w14:textId="77777777" w:rsidR="00C51676" w:rsidRPr="00C827B9" w:rsidRDefault="00536006" w:rsidP="00BB4CB8">
      <w:pPr>
        <w:autoSpaceDE w:val="0"/>
        <w:autoSpaceDN w:val="0"/>
        <w:adjustRightInd w:val="0"/>
        <w:spacing w:after="0"/>
        <w:contextualSpacing/>
        <w:jc w:val="both"/>
        <w:rPr>
          <w:szCs w:val="24"/>
          <w:lang w:val="en-US"/>
        </w:rPr>
      </w:pPr>
      <w:r w:rsidRPr="00C827B9">
        <w:rPr>
          <w:szCs w:val="24"/>
          <w:lang w:val="en-US"/>
        </w:rPr>
        <w:t>This work was supported by the Forschungsservicestelle, German Sport University Cologne (Hochschulinterne Forschungsförderung and Graduate Scholarship in Natural Science). CM was funded by the Kootstra Talent Fellowship awarded by the Centre for Research Innovation, Support and Policy (CRISP) and by the NUTRIM Graduate Progra</w:t>
      </w:r>
      <w:r w:rsidRPr="00423619">
        <w:rPr>
          <w:color w:val="000000" w:themeColor="text1"/>
          <w:szCs w:val="24"/>
          <w:lang w:val="en-US"/>
        </w:rPr>
        <w:t>mme</w:t>
      </w:r>
      <w:r w:rsidR="00CA6F86" w:rsidRPr="00423619">
        <w:rPr>
          <w:color w:val="000000" w:themeColor="text1"/>
          <w:szCs w:val="24"/>
          <w:lang w:val="en-US"/>
        </w:rPr>
        <w:t>, both</w:t>
      </w:r>
      <w:r w:rsidRPr="00423619">
        <w:rPr>
          <w:color w:val="000000" w:themeColor="text1"/>
          <w:szCs w:val="24"/>
          <w:lang w:val="en-US"/>
        </w:rPr>
        <w:t xml:space="preserve"> </w:t>
      </w:r>
      <w:r w:rsidRPr="00C827B9">
        <w:rPr>
          <w:szCs w:val="24"/>
          <w:lang w:val="en-US"/>
        </w:rPr>
        <w:t>of Maastricht</w:t>
      </w:r>
      <w:r w:rsidR="00BF2259" w:rsidRPr="00C827B9">
        <w:rPr>
          <w:szCs w:val="24"/>
          <w:lang w:val="en-US"/>
        </w:rPr>
        <w:t xml:space="preserve"> </w:t>
      </w:r>
      <w:r w:rsidRPr="00C827B9">
        <w:rPr>
          <w:szCs w:val="24"/>
          <w:lang w:val="en-US"/>
        </w:rPr>
        <w:t>University Medical Center+.</w:t>
      </w:r>
    </w:p>
    <w:p w14:paraId="142E1FEE" w14:textId="77777777" w:rsidR="00536006" w:rsidRPr="00C827B9" w:rsidRDefault="00536006" w:rsidP="007D47F6">
      <w:pPr>
        <w:pStyle w:val="Heading1"/>
        <w:rPr>
          <w:b w:val="0"/>
          <w:szCs w:val="24"/>
          <w:lang w:val="en-US"/>
        </w:rPr>
      </w:pPr>
      <w:r w:rsidRPr="00C827B9">
        <w:rPr>
          <w:szCs w:val="24"/>
          <w:lang w:val="en-US"/>
        </w:rPr>
        <w:br w:type="page"/>
      </w:r>
      <w:r w:rsidRPr="00C827B9">
        <w:rPr>
          <w:rStyle w:val="Heading1Char"/>
          <w:rFonts w:eastAsia="Calibri"/>
          <w:b/>
          <w:lang w:val="en-US"/>
        </w:rPr>
        <w:lastRenderedPageBreak/>
        <w:t>References</w:t>
      </w:r>
    </w:p>
    <w:p w14:paraId="488B97CC"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bookmarkStart w:id="55" w:name="Mendeley_Bookmark_OoEx69DHRO"/>
      <w:r w:rsidRPr="00C827B9">
        <w:rPr>
          <w:rFonts w:eastAsia="Times New Roman"/>
          <w:b/>
          <w:szCs w:val="24"/>
          <w:lang w:val="en-US"/>
        </w:rPr>
        <w:t>Aagaard P</w:t>
      </w:r>
      <w:r w:rsidRPr="00C827B9">
        <w:rPr>
          <w:rFonts w:eastAsia="Times New Roman"/>
          <w:szCs w:val="24"/>
          <w:lang w:val="en-US"/>
        </w:rPr>
        <w:t xml:space="preserve">, </w:t>
      </w:r>
      <w:r w:rsidRPr="00C827B9">
        <w:rPr>
          <w:rFonts w:eastAsia="Times New Roman"/>
          <w:b/>
          <w:szCs w:val="24"/>
          <w:lang w:val="en-US"/>
        </w:rPr>
        <w:t>Suetta C</w:t>
      </w:r>
      <w:r w:rsidRPr="00C827B9">
        <w:rPr>
          <w:rFonts w:eastAsia="Times New Roman"/>
          <w:szCs w:val="24"/>
          <w:lang w:val="en-US"/>
        </w:rPr>
        <w:t xml:space="preserve">, </w:t>
      </w:r>
      <w:r w:rsidRPr="00C827B9">
        <w:rPr>
          <w:rFonts w:eastAsia="Times New Roman"/>
          <w:b/>
          <w:szCs w:val="24"/>
          <w:lang w:val="en-US"/>
        </w:rPr>
        <w:t>Caserotti P</w:t>
      </w:r>
      <w:r w:rsidRPr="00C827B9">
        <w:rPr>
          <w:rFonts w:eastAsia="Times New Roman"/>
          <w:szCs w:val="24"/>
          <w:lang w:val="en-US"/>
        </w:rPr>
        <w:t xml:space="preserve">, </w:t>
      </w:r>
      <w:r w:rsidRPr="00C827B9">
        <w:rPr>
          <w:rFonts w:eastAsia="Times New Roman"/>
          <w:b/>
          <w:szCs w:val="24"/>
          <w:lang w:val="en-US"/>
        </w:rPr>
        <w:t>Magnusson SP</w:t>
      </w:r>
      <w:r w:rsidRPr="00C827B9">
        <w:rPr>
          <w:rFonts w:eastAsia="Times New Roman"/>
          <w:szCs w:val="24"/>
          <w:lang w:val="en-US"/>
        </w:rPr>
        <w:t xml:space="preserve">, </w:t>
      </w:r>
      <w:r w:rsidRPr="00C827B9">
        <w:rPr>
          <w:rFonts w:eastAsia="Times New Roman"/>
          <w:b/>
          <w:szCs w:val="24"/>
          <w:lang w:val="en-US"/>
        </w:rPr>
        <w:t>Kjaer M</w:t>
      </w:r>
      <w:r w:rsidRPr="00C827B9">
        <w:rPr>
          <w:rFonts w:eastAsia="Times New Roman"/>
          <w:szCs w:val="24"/>
          <w:lang w:val="en-US"/>
        </w:rPr>
        <w:t xml:space="preserve">. Role of the nervous system in sarcopenia and muscle atrophy with aging: Strength training as a countermeasure. </w:t>
      </w:r>
      <w:r w:rsidRPr="00C827B9">
        <w:rPr>
          <w:rFonts w:eastAsia="Times New Roman"/>
          <w:i/>
          <w:szCs w:val="24"/>
          <w:lang w:val="en-US"/>
        </w:rPr>
        <w:t>Scand J Med Sci Sport</w:t>
      </w:r>
      <w:r w:rsidRPr="00C827B9">
        <w:rPr>
          <w:rFonts w:eastAsia="Times New Roman"/>
          <w:szCs w:val="24"/>
          <w:lang w:val="en-US"/>
        </w:rPr>
        <w:t xml:space="preserve"> 20: 49–64, 2010.</w:t>
      </w:r>
    </w:p>
    <w:p w14:paraId="2E4B38A3" w14:textId="77777777" w:rsidR="004D69BB" w:rsidRPr="00B06466" w:rsidRDefault="004D69BB" w:rsidP="004D69BB">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An KN, Ueba Y, Chao EY, Cooney WP, Linscheid RL.</w:t>
      </w:r>
      <w:r w:rsidRPr="00B06466">
        <w:rPr>
          <w:rFonts w:eastAsia="Times New Roman"/>
          <w:color w:val="000000" w:themeColor="text1"/>
          <w:szCs w:val="24"/>
          <w:lang w:val="en-US"/>
        </w:rPr>
        <w:t xml:space="preserve"> Tendon excursion and moment arm of index finger muscles. </w:t>
      </w:r>
      <w:r w:rsidRPr="00B06466">
        <w:rPr>
          <w:rFonts w:eastAsia="Times New Roman"/>
          <w:i/>
          <w:color w:val="000000" w:themeColor="text1"/>
          <w:szCs w:val="24"/>
          <w:lang w:val="en-US"/>
        </w:rPr>
        <w:t xml:space="preserve">J Biomech </w:t>
      </w:r>
      <w:r w:rsidRPr="00B06466">
        <w:rPr>
          <w:rFonts w:eastAsia="Times New Roman"/>
          <w:color w:val="000000" w:themeColor="text1"/>
          <w:szCs w:val="24"/>
          <w:lang w:val="en-US"/>
        </w:rPr>
        <w:t>16, 419-425, 1983.</w:t>
      </w:r>
    </w:p>
    <w:p w14:paraId="16C8A2A7" w14:textId="77777777" w:rsidR="004E4A84" w:rsidRPr="00B06466" w:rsidRDefault="004E4A84" w:rsidP="004E4A84">
      <w:pPr>
        <w:widowControl w:val="0"/>
        <w:autoSpaceDE w:val="0"/>
        <w:autoSpaceDN w:val="0"/>
        <w:adjustRightInd w:val="0"/>
        <w:spacing w:after="0"/>
        <w:jc w:val="both"/>
        <w:rPr>
          <w:rFonts w:eastAsia="Times New Roman"/>
          <w:b/>
          <w:color w:val="000000" w:themeColor="text1"/>
          <w:szCs w:val="24"/>
          <w:lang w:val="en-US"/>
        </w:rPr>
      </w:pPr>
      <w:r w:rsidRPr="00B06466">
        <w:rPr>
          <w:rFonts w:eastAsia="Times New Roman"/>
          <w:b/>
          <w:color w:val="000000" w:themeColor="text1"/>
          <w:szCs w:val="24"/>
          <w:lang w:val="en-US"/>
        </w:rPr>
        <w:t xml:space="preserve">An KN, Takahashi K, Harrigan TP, Chao EY. </w:t>
      </w:r>
      <w:r w:rsidRPr="00B06466">
        <w:rPr>
          <w:rFonts w:eastAsia="Times New Roman"/>
          <w:color w:val="000000" w:themeColor="text1"/>
          <w:szCs w:val="24"/>
          <w:lang w:val="en-US"/>
        </w:rPr>
        <w:t xml:space="preserve">Determination of muscle orientations and moment arms. </w:t>
      </w:r>
      <w:r w:rsidRPr="00B06466">
        <w:rPr>
          <w:rFonts w:eastAsia="Times New Roman"/>
          <w:i/>
          <w:color w:val="000000" w:themeColor="text1"/>
          <w:szCs w:val="24"/>
          <w:lang w:val="en-US"/>
        </w:rPr>
        <w:t xml:space="preserve">J Biomech Eng </w:t>
      </w:r>
      <w:r w:rsidRPr="00B06466">
        <w:rPr>
          <w:rFonts w:eastAsia="Times New Roman"/>
          <w:color w:val="000000" w:themeColor="text1"/>
          <w:szCs w:val="24"/>
          <w:lang w:val="en-US"/>
        </w:rPr>
        <w:t>106, 280-282, 1984.</w:t>
      </w:r>
    </w:p>
    <w:p w14:paraId="2A14A78D" w14:textId="77777777" w:rsidR="009C1E0D" w:rsidRPr="00C827B9" w:rsidRDefault="009C1E0D"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 xml:space="preserve">Arampatzis A, Karamanidis K and Albracht K. </w:t>
      </w:r>
      <w:r w:rsidRPr="00C827B9">
        <w:rPr>
          <w:rFonts w:eastAsia="Times New Roman"/>
          <w:szCs w:val="24"/>
          <w:lang w:val="en-US"/>
        </w:rPr>
        <w:t xml:space="preserve">Adaptational responses of the human Achilles tendon by modulation of the applied cyclic strain magnitude. </w:t>
      </w:r>
      <w:r w:rsidRPr="00C827B9">
        <w:rPr>
          <w:rFonts w:eastAsia="Times New Roman"/>
          <w:i/>
          <w:szCs w:val="24"/>
          <w:lang w:val="en-US"/>
        </w:rPr>
        <w:t>J Exp Biol</w:t>
      </w:r>
      <w:r w:rsidRPr="00C827B9">
        <w:rPr>
          <w:rFonts w:eastAsia="Times New Roman"/>
          <w:szCs w:val="24"/>
          <w:lang w:val="en-US"/>
        </w:rPr>
        <w:t xml:space="preserve"> 210: 2743–2753, 2007.</w:t>
      </w:r>
    </w:p>
    <w:p w14:paraId="756C9F9D" w14:textId="3B4CB303"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Arampatzis A</w:t>
      </w:r>
      <w:r w:rsidRPr="00C827B9">
        <w:rPr>
          <w:rFonts w:eastAsia="Times New Roman"/>
          <w:szCs w:val="24"/>
          <w:lang w:val="en-US"/>
        </w:rPr>
        <w:t xml:space="preserve">, </w:t>
      </w:r>
      <w:r w:rsidRPr="00C827B9">
        <w:rPr>
          <w:rFonts w:eastAsia="Times New Roman"/>
          <w:b/>
          <w:szCs w:val="24"/>
          <w:lang w:val="en-US"/>
        </w:rPr>
        <w:t>Peper A</w:t>
      </w:r>
      <w:r w:rsidRPr="00C827B9">
        <w:rPr>
          <w:rFonts w:eastAsia="Times New Roman"/>
          <w:szCs w:val="24"/>
          <w:lang w:val="en-US"/>
        </w:rPr>
        <w:t xml:space="preserve">, </w:t>
      </w:r>
      <w:r w:rsidR="003B0AFE">
        <w:rPr>
          <w:rFonts w:eastAsia="Times New Roman"/>
          <w:b/>
          <w:szCs w:val="24"/>
          <w:lang w:val="en-US"/>
        </w:rPr>
        <w:t>Bierbaum S</w:t>
      </w:r>
      <w:r w:rsidRPr="00C827B9">
        <w:rPr>
          <w:rFonts w:eastAsia="Times New Roman"/>
          <w:szCs w:val="24"/>
          <w:lang w:val="en-US"/>
        </w:rPr>
        <w:t xml:space="preserve">. Exercise of mechanisms for dynamic stability control increases stability performance in the elderly. </w:t>
      </w:r>
      <w:r w:rsidRPr="00C827B9">
        <w:rPr>
          <w:rFonts w:eastAsia="Times New Roman"/>
          <w:i/>
          <w:szCs w:val="24"/>
          <w:lang w:val="en-US"/>
        </w:rPr>
        <w:t>J Biomech</w:t>
      </w:r>
      <w:r w:rsidRPr="00C827B9">
        <w:rPr>
          <w:rFonts w:eastAsia="Times New Roman"/>
          <w:szCs w:val="24"/>
          <w:lang w:val="en-US"/>
        </w:rPr>
        <w:t xml:space="preserve"> 44: 52–58, 2011.</w:t>
      </w:r>
    </w:p>
    <w:p w14:paraId="6334509B"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C827B9">
        <w:rPr>
          <w:rFonts w:eastAsia="Times New Roman"/>
          <w:b/>
          <w:szCs w:val="24"/>
          <w:lang w:val="en-US"/>
        </w:rPr>
        <w:t>Berg WP</w:t>
      </w:r>
      <w:r w:rsidRPr="00C827B9">
        <w:rPr>
          <w:rFonts w:eastAsia="Times New Roman"/>
          <w:szCs w:val="24"/>
          <w:lang w:val="en-US"/>
        </w:rPr>
        <w:t xml:space="preserve">, </w:t>
      </w:r>
      <w:r w:rsidRPr="00C827B9">
        <w:rPr>
          <w:rFonts w:eastAsia="Times New Roman"/>
          <w:b/>
          <w:szCs w:val="24"/>
          <w:lang w:val="en-US"/>
        </w:rPr>
        <w:t>Alessio HM</w:t>
      </w:r>
      <w:r w:rsidRPr="00C827B9">
        <w:rPr>
          <w:rFonts w:eastAsia="Times New Roman"/>
          <w:szCs w:val="24"/>
          <w:lang w:val="en-US"/>
        </w:rPr>
        <w:t xml:space="preserve">, </w:t>
      </w:r>
      <w:r w:rsidRPr="00C827B9">
        <w:rPr>
          <w:rFonts w:eastAsia="Times New Roman"/>
          <w:b/>
          <w:szCs w:val="24"/>
          <w:lang w:val="en-US"/>
        </w:rPr>
        <w:t>Mills EM</w:t>
      </w:r>
      <w:r w:rsidRPr="00C827B9">
        <w:rPr>
          <w:rFonts w:eastAsia="Times New Roman"/>
          <w:szCs w:val="24"/>
          <w:lang w:val="en-US"/>
        </w:rPr>
        <w:t xml:space="preserve">, </w:t>
      </w:r>
      <w:r w:rsidRPr="00C827B9">
        <w:rPr>
          <w:rFonts w:eastAsia="Times New Roman"/>
          <w:b/>
          <w:szCs w:val="24"/>
          <w:lang w:val="en-US"/>
        </w:rPr>
        <w:t>Tong C</w:t>
      </w:r>
      <w:r w:rsidRPr="00C827B9">
        <w:rPr>
          <w:rFonts w:eastAsia="Times New Roman"/>
          <w:szCs w:val="24"/>
          <w:lang w:val="en-US"/>
        </w:rPr>
        <w:t>. Circumstances and consequences of falls in independent co</w:t>
      </w:r>
      <w:r w:rsidRPr="00B06466">
        <w:rPr>
          <w:rFonts w:eastAsia="Times New Roman"/>
          <w:color w:val="000000" w:themeColor="text1"/>
          <w:szCs w:val="24"/>
          <w:lang w:val="en-US"/>
        </w:rPr>
        <w:t xml:space="preserve">mmunity-dwelling older adults. </w:t>
      </w:r>
      <w:r w:rsidRPr="00B06466">
        <w:rPr>
          <w:rFonts w:eastAsia="Times New Roman"/>
          <w:i/>
          <w:color w:val="000000" w:themeColor="text1"/>
          <w:szCs w:val="24"/>
          <w:lang w:val="en-US"/>
        </w:rPr>
        <w:t>Age Ageing</w:t>
      </w:r>
      <w:r w:rsidRPr="00B06466">
        <w:rPr>
          <w:rFonts w:eastAsia="Times New Roman"/>
          <w:color w:val="000000" w:themeColor="text1"/>
          <w:szCs w:val="24"/>
          <w:lang w:val="en-US"/>
        </w:rPr>
        <w:t xml:space="preserve"> 26: 261–268, 1997.</w:t>
      </w:r>
    </w:p>
    <w:p w14:paraId="69052CD6" w14:textId="77777777" w:rsidR="00061E97" w:rsidRPr="00B06466" w:rsidRDefault="00061E97" w:rsidP="00061E97">
      <w:pPr>
        <w:jc w:val="both"/>
        <w:rPr>
          <w:color w:val="000000" w:themeColor="text1"/>
          <w:lang w:val="en-GB"/>
        </w:rPr>
      </w:pPr>
      <w:r w:rsidRPr="00B06466">
        <w:rPr>
          <w:b/>
          <w:color w:val="000000" w:themeColor="text1"/>
          <w:lang w:val="en-GB"/>
        </w:rPr>
        <w:t>Beijersbergen CMI</w:t>
      </w:r>
      <w:r w:rsidRPr="00B06466">
        <w:rPr>
          <w:color w:val="000000" w:themeColor="text1"/>
          <w:lang w:val="en-GB"/>
        </w:rPr>
        <w:t xml:space="preserve">, </w:t>
      </w:r>
      <w:r w:rsidRPr="00B06466">
        <w:rPr>
          <w:b/>
          <w:color w:val="000000" w:themeColor="text1"/>
          <w:lang w:val="en-GB"/>
        </w:rPr>
        <w:t>Granacher U</w:t>
      </w:r>
      <w:r w:rsidRPr="00B06466">
        <w:rPr>
          <w:color w:val="000000" w:themeColor="text1"/>
          <w:lang w:val="en-GB"/>
        </w:rPr>
        <w:t xml:space="preserve">, </w:t>
      </w:r>
      <w:r w:rsidRPr="00B06466">
        <w:rPr>
          <w:b/>
          <w:color w:val="000000" w:themeColor="text1"/>
          <w:lang w:val="en-GB"/>
        </w:rPr>
        <w:t>Vandervoort AA</w:t>
      </w:r>
      <w:r w:rsidRPr="00B06466">
        <w:rPr>
          <w:color w:val="000000" w:themeColor="text1"/>
          <w:lang w:val="en-GB"/>
        </w:rPr>
        <w:t xml:space="preserve">, </w:t>
      </w:r>
      <w:r w:rsidRPr="00B06466">
        <w:rPr>
          <w:b/>
          <w:color w:val="000000" w:themeColor="text1"/>
          <w:lang w:val="en-GB"/>
        </w:rPr>
        <w:t>DeVita P</w:t>
      </w:r>
      <w:r w:rsidRPr="00B06466">
        <w:rPr>
          <w:color w:val="000000" w:themeColor="text1"/>
          <w:lang w:val="en-GB"/>
        </w:rPr>
        <w:t xml:space="preserve">, </w:t>
      </w:r>
      <w:r w:rsidRPr="00B06466">
        <w:rPr>
          <w:b/>
          <w:color w:val="000000" w:themeColor="text1"/>
          <w:lang w:val="en-GB"/>
        </w:rPr>
        <w:t>Hortobágyi T</w:t>
      </w:r>
      <w:r w:rsidRPr="00B06466">
        <w:rPr>
          <w:color w:val="000000" w:themeColor="text1"/>
          <w:lang w:val="en-GB"/>
        </w:rPr>
        <w:t xml:space="preserve">. The biomechanical mechanism of how strength and power training improves walking speed in old adults remains unknown. </w:t>
      </w:r>
      <w:r w:rsidRPr="00B06466">
        <w:rPr>
          <w:i/>
          <w:color w:val="000000" w:themeColor="text1"/>
          <w:lang w:val="en-GB"/>
        </w:rPr>
        <w:t>Ageing Res Rev</w:t>
      </w:r>
      <w:r w:rsidRPr="00B06466">
        <w:rPr>
          <w:color w:val="000000" w:themeColor="text1"/>
          <w:lang w:val="en-GB"/>
        </w:rPr>
        <w:t xml:space="preserve"> 12: 618–627, 2013.</w:t>
      </w:r>
    </w:p>
    <w:p w14:paraId="0696087B" w14:textId="4234EA8E"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966039">
        <w:rPr>
          <w:rFonts w:eastAsia="Times New Roman"/>
          <w:b/>
          <w:color w:val="000000" w:themeColor="text1"/>
          <w:szCs w:val="24"/>
          <w:lang w:val="en-GB"/>
        </w:rPr>
        <w:t>Bhatt T</w:t>
      </w:r>
      <w:r w:rsidRPr="00966039">
        <w:rPr>
          <w:rFonts w:eastAsia="Times New Roman"/>
          <w:color w:val="000000" w:themeColor="text1"/>
          <w:szCs w:val="24"/>
          <w:lang w:val="en-GB"/>
        </w:rPr>
        <w:t xml:space="preserve">, </w:t>
      </w:r>
      <w:r w:rsidRPr="00966039">
        <w:rPr>
          <w:rFonts w:eastAsia="Times New Roman"/>
          <w:b/>
          <w:color w:val="000000" w:themeColor="text1"/>
          <w:szCs w:val="24"/>
          <w:lang w:val="en-GB"/>
        </w:rPr>
        <w:t>Feng Y</w:t>
      </w:r>
      <w:r w:rsidRPr="00966039">
        <w:rPr>
          <w:rFonts w:eastAsia="Times New Roman"/>
          <w:color w:val="000000" w:themeColor="text1"/>
          <w:szCs w:val="24"/>
          <w:lang w:val="en-GB"/>
        </w:rPr>
        <w:t xml:space="preserve">, </w:t>
      </w:r>
      <w:r w:rsidR="00E4169B" w:rsidRPr="00966039">
        <w:rPr>
          <w:rFonts w:eastAsia="Times New Roman"/>
          <w:b/>
          <w:color w:val="000000" w:themeColor="text1"/>
          <w:szCs w:val="24"/>
          <w:lang w:val="en-GB"/>
        </w:rPr>
        <w:t>Pai Y-C</w:t>
      </w:r>
      <w:r w:rsidRPr="00966039">
        <w:rPr>
          <w:rFonts w:eastAsia="Times New Roman"/>
          <w:color w:val="000000" w:themeColor="text1"/>
          <w:szCs w:val="24"/>
          <w:lang w:val="en-GB"/>
        </w:rPr>
        <w:t xml:space="preserve">. </w:t>
      </w:r>
      <w:r w:rsidRPr="00B06466">
        <w:rPr>
          <w:rFonts w:eastAsia="Times New Roman"/>
          <w:color w:val="000000" w:themeColor="text1"/>
          <w:szCs w:val="24"/>
          <w:lang w:val="en-US"/>
        </w:rPr>
        <w:t xml:space="preserve">Learning to resist gait-slip falls: Long-term retention in community-dwelling older adults. </w:t>
      </w:r>
      <w:r w:rsidRPr="00B06466">
        <w:rPr>
          <w:rFonts w:eastAsia="Times New Roman"/>
          <w:i/>
          <w:color w:val="000000" w:themeColor="text1"/>
          <w:szCs w:val="24"/>
          <w:lang w:val="en-US"/>
        </w:rPr>
        <w:t>Arch Phys Med Rehabil</w:t>
      </w:r>
      <w:r w:rsidRPr="00B06466">
        <w:rPr>
          <w:rFonts w:eastAsia="Times New Roman"/>
          <w:color w:val="000000" w:themeColor="text1"/>
          <w:szCs w:val="24"/>
          <w:lang w:val="en-US"/>
        </w:rPr>
        <w:t xml:space="preserve"> 93: 557–564, 2012.</w:t>
      </w:r>
    </w:p>
    <w:p w14:paraId="44CFF807"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Bhatt T</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Pai Y-C</w:t>
      </w:r>
      <w:r w:rsidRPr="00B06466">
        <w:rPr>
          <w:rFonts w:eastAsia="Times New Roman"/>
          <w:color w:val="000000" w:themeColor="text1"/>
          <w:szCs w:val="24"/>
          <w:lang w:val="en-US"/>
        </w:rPr>
        <w:t xml:space="preserve">. Long-Term Retention of Gait Stability Improvements. </w:t>
      </w:r>
      <w:r w:rsidRPr="00B06466">
        <w:rPr>
          <w:rFonts w:eastAsia="Times New Roman"/>
          <w:i/>
          <w:color w:val="000000" w:themeColor="text1"/>
          <w:szCs w:val="24"/>
          <w:lang w:val="en-US"/>
        </w:rPr>
        <w:t>J Neurophysiol</w:t>
      </w:r>
      <w:r w:rsidRPr="00B06466">
        <w:rPr>
          <w:rFonts w:eastAsia="Times New Roman"/>
          <w:color w:val="000000" w:themeColor="text1"/>
          <w:szCs w:val="24"/>
          <w:lang w:val="en-US"/>
        </w:rPr>
        <w:t xml:space="preserve"> 94: 1971–1979, 2005.</w:t>
      </w:r>
    </w:p>
    <w:p w14:paraId="796AF7DC"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Bhatt T</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Pai Y-C</w:t>
      </w:r>
      <w:r w:rsidRPr="00B06466">
        <w:rPr>
          <w:rFonts w:eastAsia="Times New Roman"/>
          <w:color w:val="000000" w:themeColor="text1"/>
          <w:szCs w:val="24"/>
          <w:lang w:val="en-US"/>
        </w:rPr>
        <w:t xml:space="preserve">. Generalization of Gait Adaptation for Fall Prevention: From Moveable Platform to Slippery Floor. </w:t>
      </w:r>
      <w:r w:rsidRPr="00B06466">
        <w:rPr>
          <w:rFonts w:eastAsia="Times New Roman"/>
          <w:i/>
          <w:color w:val="000000" w:themeColor="text1"/>
          <w:szCs w:val="24"/>
          <w:lang w:val="en-US"/>
        </w:rPr>
        <w:t>J Neurophysiol</w:t>
      </w:r>
      <w:r w:rsidRPr="00B06466">
        <w:rPr>
          <w:rFonts w:eastAsia="Times New Roman"/>
          <w:color w:val="000000" w:themeColor="text1"/>
          <w:szCs w:val="24"/>
          <w:lang w:val="en-US"/>
        </w:rPr>
        <w:t xml:space="preserve"> 101: 948–957, 2009.</w:t>
      </w:r>
    </w:p>
    <w:p w14:paraId="17B3B287"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de-DE"/>
        </w:rPr>
      </w:pPr>
      <w:r w:rsidRPr="00B06466">
        <w:rPr>
          <w:rFonts w:eastAsia="Times New Roman"/>
          <w:b/>
          <w:color w:val="000000" w:themeColor="text1"/>
          <w:szCs w:val="24"/>
          <w:lang w:val="en-US"/>
        </w:rPr>
        <w:lastRenderedPageBreak/>
        <w:t>Bhatt T</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Wang E</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Pai Y-C</w:t>
      </w:r>
      <w:r w:rsidRPr="00B06466">
        <w:rPr>
          <w:rFonts w:eastAsia="Times New Roman"/>
          <w:color w:val="000000" w:themeColor="text1"/>
          <w:szCs w:val="24"/>
          <w:lang w:val="en-US"/>
        </w:rPr>
        <w:t xml:space="preserve">. Retention of Adaptive Control Over Varying Intervals: Prevention of Slip- Induced Backward Balance Loss During Gait. </w:t>
      </w:r>
      <w:r w:rsidRPr="00B06466">
        <w:rPr>
          <w:rFonts w:eastAsia="Times New Roman"/>
          <w:i/>
          <w:color w:val="000000" w:themeColor="text1"/>
          <w:szCs w:val="24"/>
          <w:lang w:val="de-DE"/>
        </w:rPr>
        <w:t>J Neurophysiol</w:t>
      </w:r>
      <w:r w:rsidRPr="00B06466">
        <w:rPr>
          <w:rFonts w:eastAsia="Times New Roman"/>
          <w:color w:val="000000" w:themeColor="text1"/>
          <w:szCs w:val="24"/>
          <w:lang w:val="de-DE"/>
        </w:rPr>
        <w:t xml:space="preserve"> 95: 2913–2922, 2006a.</w:t>
      </w:r>
    </w:p>
    <w:p w14:paraId="63D4A568"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de-DE"/>
        </w:rPr>
        <w:t>Bhatt T</w:t>
      </w:r>
      <w:r w:rsidRPr="00B06466">
        <w:rPr>
          <w:rFonts w:eastAsia="Times New Roman"/>
          <w:color w:val="000000" w:themeColor="text1"/>
          <w:szCs w:val="24"/>
          <w:lang w:val="de-DE"/>
        </w:rPr>
        <w:t xml:space="preserve">, </w:t>
      </w:r>
      <w:r w:rsidRPr="00B06466">
        <w:rPr>
          <w:rFonts w:eastAsia="Times New Roman"/>
          <w:b/>
          <w:color w:val="000000" w:themeColor="text1"/>
          <w:szCs w:val="24"/>
          <w:lang w:val="de-DE"/>
        </w:rPr>
        <w:t>Wening JD</w:t>
      </w:r>
      <w:r w:rsidRPr="00B06466">
        <w:rPr>
          <w:rFonts w:eastAsia="Times New Roman"/>
          <w:color w:val="000000" w:themeColor="text1"/>
          <w:szCs w:val="24"/>
          <w:lang w:val="de-DE"/>
        </w:rPr>
        <w:t xml:space="preserve">, </w:t>
      </w:r>
      <w:r w:rsidRPr="00B06466">
        <w:rPr>
          <w:rFonts w:eastAsia="Times New Roman"/>
          <w:b/>
          <w:color w:val="000000" w:themeColor="text1"/>
          <w:szCs w:val="24"/>
          <w:lang w:val="de-DE"/>
        </w:rPr>
        <w:t>Pai Y-C</w:t>
      </w:r>
      <w:r w:rsidRPr="00B06466">
        <w:rPr>
          <w:rFonts w:eastAsia="Times New Roman"/>
          <w:color w:val="000000" w:themeColor="text1"/>
          <w:szCs w:val="24"/>
          <w:lang w:val="de-DE"/>
        </w:rPr>
        <w:t xml:space="preserve">. </w:t>
      </w:r>
      <w:r w:rsidRPr="00B06466">
        <w:rPr>
          <w:rFonts w:eastAsia="Times New Roman"/>
          <w:color w:val="000000" w:themeColor="text1"/>
          <w:szCs w:val="24"/>
          <w:lang w:val="en-US"/>
        </w:rPr>
        <w:t xml:space="preserve">Adaptive control of gait stability in reducing slip-related backward loss of balance. </w:t>
      </w:r>
      <w:r w:rsidRPr="00B06466">
        <w:rPr>
          <w:rFonts w:eastAsia="Times New Roman"/>
          <w:i/>
          <w:color w:val="000000" w:themeColor="text1"/>
          <w:szCs w:val="24"/>
          <w:lang w:val="en-US"/>
        </w:rPr>
        <w:t>Exp Brain Res</w:t>
      </w:r>
      <w:r w:rsidRPr="00B06466">
        <w:rPr>
          <w:rFonts w:eastAsia="Times New Roman"/>
          <w:color w:val="000000" w:themeColor="text1"/>
          <w:szCs w:val="24"/>
          <w:lang w:val="en-US"/>
        </w:rPr>
        <w:t xml:space="preserve"> 170: 61–73, 2006b.</w:t>
      </w:r>
    </w:p>
    <w:p w14:paraId="27E4A37F"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Bierbaum S</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Peper A</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Karamanidis K</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Arampatzis A</w:t>
      </w:r>
      <w:r w:rsidRPr="00B06466">
        <w:rPr>
          <w:rFonts w:eastAsia="Times New Roman"/>
          <w:color w:val="000000" w:themeColor="text1"/>
          <w:szCs w:val="24"/>
          <w:lang w:val="en-US"/>
        </w:rPr>
        <w:t xml:space="preserve">. Adaptive feedback potential in dynamic stability during disturbed walking in the elderly. </w:t>
      </w:r>
      <w:r w:rsidRPr="00B06466">
        <w:rPr>
          <w:rFonts w:eastAsia="Times New Roman"/>
          <w:i/>
          <w:color w:val="000000" w:themeColor="text1"/>
          <w:szCs w:val="24"/>
          <w:lang w:val="en-US"/>
        </w:rPr>
        <w:t>J Biomech</w:t>
      </w:r>
      <w:r w:rsidR="0011398C" w:rsidRPr="00B06466">
        <w:rPr>
          <w:rFonts w:eastAsia="Times New Roman"/>
          <w:color w:val="000000" w:themeColor="text1"/>
          <w:szCs w:val="24"/>
          <w:lang w:val="en-US"/>
        </w:rPr>
        <w:t xml:space="preserve"> 44: 1921–1926, 2011</w:t>
      </w:r>
      <w:r w:rsidRPr="00B06466">
        <w:rPr>
          <w:rFonts w:eastAsia="Times New Roman"/>
          <w:color w:val="000000" w:themeColor="text1"/>
          <w:szCs w:val="24"/>
          <w:lang w:val="en-US"/>
        </w:rPr>
        <w:t>.</w:t>
      </w:r>
    </w:p>
    <w:p w14:paraId="09610127"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Bohm S</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Mademli L</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Mersmann F</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Arampatzis A</w:t>
      </w:r>
      <w:r w:rsidRPr="00B06466">
        <w:rPr>
          <w:rFonts w:eastAsia="Times New Roman"/>
          <w:color w:val="000000" w:themeColor="text1"/>
          <w:szCs w:val="24"/>
          <w:lang w:val="en-US"/>
        </w:rPr>
        <w:t xml:space="preserve">. Predictive and Reactive Locomotor Adaptability in Healthy Elderly: A Systematic Review and Meta-Analysis. </w:t>
      </w:r>
      <w:r w:rsidRPr="00B06466">
        <w:rPr>
          <w:rFonts w:eastAsia="Times New Roman"/>
          <w:i/>
          <w:color w:val="000000" w:themeColor="text1"/>
          <w:szCs w:val="24"/>
          <w:lang w:val="en-US"/>
        </w:rPr>
        <w:t>Sport Med</w:t>
      </w:r>
      <w:r w:rsidRPr="00B06466">
        <w:rPr>
          <w:rFonts w:eastAsia="Times New Roman"/>
          <w:color w:val="000000" w:themeColor="text1"/>
          <w:szCs w:val="24"/>
          <w:lang w:val="en-US"/>
        </w:rPr>
        <w:t xml:space="preserve"> 45: 1759–1777, 2015.</w:t>
      </w:r>
    </w:p>
    <w:p w14:paraId="6975E99E"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Bruijn SM</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Meijer OG</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Beek PJ</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Dieën JH Van</w:t>
      </w:r>
      <w:r w:rsidRPr="00B06466">
        <w:rPr>
          <w:rFonts w:eastAsia="Times New Roman"/>
          <w:color w:val="000000" w:themeColor="text1"/>
          <w:szCs w:val="24"/>
          <w:lang w:val="en-US"/>
        </w:rPr>
        <w:t>. Assessing th</w:t>
      </w:r>
      <w:r w:rsidR="00B24460" w:rsidRPr="00B06466">
        <w:rPr>
          <w:rFonts w:eastAsia="Times New Roman"/>
          <w:color w:val="000000" w:themeColor="text1"/>
          <w:szCs w:val="24"/>
          <w:lang w:val="en-US"/>
        </w:rPr>
        <w:t>e stability of human locomotion</w:t>
      </w:r>
      <w:r w:rsidRPr="00B06466">
        <w:rPr>
          <w:rFonts w:eastAsia="Times New Roman"/>
          <w:color w:val="000000" w:themeColor="text1"/>
          <w:szCs w:val="24"/>
          <w:lang w:val="en-US"/>
        </w:rPr>
        <w:t xml:space="preserve">: a review of current measures. </w:t>
      </w:r>
      <w:r w:rsidRPr="00B06466">
        <w:rPr>
          <w:rFonts w:eastAsia="Times New Roman"/>
          <w:i/>
          <w:color w:val="000000" w:themeColor="text1"/>
          <w:szCs w:val="24"/>
          <w:lang w:val="en-US"/>
        </w:rPr>
        <w:t>J R Soc Interface</w:t>
      </w:r>
      <w:r w:rsidRPr="00B06466">
        <w:rPr>
          <w:rFonts w:eastAsia="Times New Roman"/>
          <w:color w:val="000000" w:themeColor="text1"/>
          <w:szCs w:val="24"/>
          <w:lang w:val="en-US"/>
        </w:rPr>
        <w:t xml:space="preserve"> 10: 20120999, 2013.</w:t>
      </w:r>
    </w:p>
    <w:p w14:paraId="6B9031EE" w14:textId="77777777" w:rsidR="00FC62D3" w:rsidRPr="00B06466" w:rsidRDefault="00FC62D3" w:rsidP="00715EE9">
      <w:pPr>
        <w:widowControl w:val="0"/>
        <w:autoSpaceDE w:val="0"/>
        <w:autoSpaceDN w:val="0"/>
        <w:adjustRightInd w:val="0"/>
        <w:spacing w:after="0"/>
        <w:jc w:val="both"/>
        <w:rPr>
          <w:color w:val="000000" w:themeColor="text1"/>
          <w:lang w:val="en-US"/>
        </w:rPr>
      </w:pPr>
      <w:r w:rsidRPr="00B06466">
        <w:rPr>
          <w:b/>
          <w:color w:val="000000" w:themeColor="text1"/>
          <w:lang w:val="en-US"/>
        </w:rPr>
        <w:t>Bruijn SM, Van Impe A, Duysens J, Swinnen SP.</w:t>
      </w:r>
      <w:r w:rsidRPr="00B06466">
        <w:rPr>
          <w:color w:val="000000" w:themeColor="text1"/>
          <w:lang w:val="en-US"/>
        </w:rPr>
        <w:t xml:space="preserve"> White matter microstructural organization and gait stability in older adults. </w:t>
      </w:r>
      <w:r w:rsidRPr="00B06466">
        <w:rPr>
          <w:i/>
          <w:color w:val="000000" w:themeColor="text1"/>
          <w:lang w:val="en-US"/>
        </w:rPr>
        <w:t>Front Aging Neurosci</w:t>
      </w:r>
      <w:r w:rsidRPr="00B06466">
        <w:rPr>
          <w:color w:val="000000" w:themeColor="text1"/>
          <w:lang w:val="en-US"/>
        </w:rPr>
        <w:t xml:space="preserve"> 6: 104, 2014.</w:t>
      </w:r>
    </w:p>
    <w:p w14:paraId="5F824FF1" w14:textId="77777777" w:rsidR="00B662E5" w:rsidRPr="00B06466" w:rsidRDefault="00B662E5"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Csapo R, Malis V, Hodgson J, Sinha S.</w:t>
      </w:r>
      <w:r w:rsidRPr="00B06466">
        <w:rPr>
          <w:rFonts w:eastAsia="Times New Roman"/>
          <w:color w:val="000000" w:themeColor="text1"/>
          <w:szCs w:val="24"/>
          <w:lang w:val="en-US"/>
        </w:rPr>
        <w:t xml:space="preserve"> Age-related greater Achilles tendon compliance is not associated with larger plantar flexor muscle fascicle strains in senior women. </w:t>
      </w:r>
      <w:r w:rsidRPr="00B06466">
        <w:rPr>
          <w:rFonts w:eastAsia="Times New Roman"/>
          <w:i/>
          <w:color w:val="000000" w:themeColor="text1"/>
          <w:szCs w:val="24"/>
          <w:lang w:val="en-US"/>
        </w:rPr>
        <w:t>J Appl Physiol</w:t>
      </w:r>
      <w:r w:rsidRPr="00B06466">
        <w:rPr>
          <w:rFonts w:eastAsia="Times New Roman"/>
          <w:color w:val="000000" w:themeColor="text1"/>
          <w:szCs w:val="24"/>
          <w:lang w:val="en-US"/>
        </w:rPr>
        <w:t xml:space="preserve"> 116: 961–969, 2014.</w:t>
      </w:r>
    </w:p>
    <w:p w14:paraId="7FF4A4AD" w14:textId="77777777" w:rsidR="006B3782" w:rsidRPr="00B06466" w:rsidRDefault="006B3782" w:rsidP="006B3782">
      <w:pPr>
        <w:jc w:val="both"/>
        <w:rPr>
          <w:bCs/>
          <w:color w:val="000000" w:themeColor="text1"/>
          <w:szCs w:val="24"/>
        </w:rPr>
      </w:pPr>
      <w:r w:rsidRPr="00B06466">
        <w:rPr>
          <w:b/>
          <w:bCs/>
          <w:color w:val="000000" w:themeColor="text1"/>
          <w:szCs w:val="24"/>
        </w:rPr>
        <w:t xml:space="preserve">Dorfman LJ, Bosley TM. </w:t>
      </w:r>
      <w:r w:rsidRPr="00B06466">
        <w:rPr>
          <w:bCs/>
          <w:color w:val="000000" w:themeColor="text1"/>
          <w:szCs w:val="24"/>
        </w:rPr>
        <w:t xml:space="preserve">Age-related changes in peripheral and central nerve conduction in man. </w:t>
      </w:r>
      <w:r w:rsidRPr="00B06466">
        <w:rPr>
          <w:bCs/>
          <w:i/>
          <w:color w:val="000000" w:themeColor="text1"/>
          <w:szCs w:val="24"/>
        </w:rPr>
        <w:t>Neurology</w:t>
      </w:r>
      <w:r w:rsidRPr="00B06466">
        <w:rPr>
          <w:bCs/>
          <w:color w:val="000000" w:themeColor="text1"/>
          <w:szCs w:val="24"/>
        </w:rPr>
        <w:t xml:space="preserve"> 29: 38–44, 1979.</w:t>
      </w:r>
    </w:p>
    <w:p w14:paraId="2EFCC7E2" w14:textId="77777777" w:rsidR="00D3335B" w:rsidRPr="00B06466" w:rsidRDefault="00D3335B" w:rsidP="00D3335B">
      <w:pPr>
        <w:rPr>
          <w:color w:val="000000" w:themeColor="text1"/>
          <w:szCs w:val="24"/>
        </w:rPr>
      </w:pPr>
      <w:r w:rsidRPr="00B06466">
        <w:rPr>
          <w:b/>
          <w:color w:val="000000" w:themeColor="text1"/>
          <w:szCs w:val="24"/>
        </w:rPr>
        <w:t xml:space="preserve">Edström E, Altun M, Bergman E, Johnson H, Kullberg S, Ramirez-Leon V, Ulfhake B. </w:t>
      </w:r>
      <w:r w:rsidRPr="00B06466">
        <w:rPr>
          <w:color w:val="000000" w:themeColor="text1"/>
          <w:szCs w:val="24"/>
        </w:rPr>
        <w:t xml:space="preserve">Factors contributing to neuromuscular impairment and sarcopenia during aging. </w:t>
      </w:r>
      <w:r w:rsidRPr="00B06466">
        <w:rPr>
          <w:i/>
          <w:color w:val="000000" w:themeColor="text1"/>
          <w:szCs w:val="24"/>
        </w:rPr>
        <w:t>Physiol Behav</w:t>
      </w:r>
      <w:r w:rsidRPr="00B06466">
        <w:rPr>
          <w:color w:val="000000" w:themeColor="text1"/>
          <w:szCs w:val="24"/>
        </w:rPr>
        <w:t xml:space="preserve"> 92: 129–135, 2007.</w:t>
      </w:r>
    </w:p>
    <w:p w14:paraId="328CF42E"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Eisen A</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Siejka S</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Schulzer M</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Calne D</w:t>
      </w:r>
      <w:r w:rsidRPr="00B06466">
        <w:rPr>
          <w:rFonts w:eastAsia="Times New Roman"/>
          <w:color w:val="000000" w:themeColor="text1"/>
          <w:szCs w:val="24"/>
          <w:lang w:val="en-US"/>
        </w:rPr>
        <w:t xml:space="preserve">. Age-dependent decline in motor evoked potential (MEP) amplitude: with a comment on changes in Parkinson’s disease. </w:t>
      </w:r>
      <w:r w:rsidRPr="00B06466">
        <w:rPr>
          <w:rFonts w:eastAsia="Times New Roman"/>
          <w:i/>
          <w:color w:val="000000" w:themeColor="text1"/>
          <w:szCs w:val="24"/>
          <w:lang w:val="en-US"/>
        </w:rPr>
        <w:t xml:space="preserve">Electroencephalogr Clin </w:t>
      </w:r>
      <w:r w:rsidRPr="00B06466">
        <w:rPr>
          <w:rFonts w:eastAsia="Times New Roman"/>
          <w:i/>
          <w:color w:val="000000" w:themeColor="text1"/>
          <w:szCs w:val="24"/>
          <w:lang w:val="en-US"/>
        </w:rPr>
        <w:lastRenderedPageBreak/>
        <w:t>Neurophysiol Evoked Potentials</w:t>
      </w:r>
      <w:r w:rsidRPr="00B06466">
        <w:rPr>
          <w:rFonts w:eastAsia="Times New Roman"/>
          <w:color w:val="000000" w:themeColor="text1"/>
          <w:szCs w:val="24"/>
          <w:lang w:val="en-US"/>
        </w:rPr>
        <w:t xml:space="preserve"> 81: 209–215, 1991.</w:t>
      </w:r>
    </w:p>
    <w:p w14:paraId="648062B3" w14:textId="00D50996" w:rsidR="00536006" w:rsidRPr="00B06466" w:rsidRDefault="00536006" w:rsidP="00B43D54">
      <w:pPr>
        <w:widowControl w:val="0"/>
        <w:autoSpaceDE w:val="0"/>
        <w:autoSpaceDN w:val="0"/>
        <w:adjustRightInd w:val="0"/>
        <w:spacing w:after="0"/>
        <w:jc w:val="both"/>
        <w:rPr>
          <w:rFonts w:eastAsia="Times New Roman"/>
          <w:color w:val="000000" w:themeColor="text1"/>
          <w:szCs w:val="24"/>
          <w:lang w:val="de-DE"/>
        </w:rPr>
      </w:pPr>
      <w:r w:rsidRPr="00B06466">
        <w:rPr>
          <w:rFonts w:eastAsia="Times New Roman"/>
          <w:b/>
          <w:color w:val="000000" w:themeColor="text1"/>
          <w:szCs w:val="24"/>
          <w:lang w:val="en-US"/>
        </w:rPr>
        <w:t>Epro G</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Mierau A</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Leyendecker M</w:t>
      </w:r>
      <w:r w:rsidRPr="00B06466">
        <w:rPr>
          <w:rFonts w:eastAsia="Times New Roman"/>
          <w:color w:val="000000" w:themeColor="text1"/>
          <w:szCs w:val="24"/>
          <w:lang w:val="en-US"/>
        </w:rPr>
        <w:t xml:space="preserve">, </w:t>
      </w:r>
      <w:r w:rsidR="0013671F" w:rsidRPr="00B06466">
        <w:rPr>
          <w:rFonts w:eastAsia="Times New Roman"/>
          <w:b/>
          <w:color w:val="000000" w:themeColor="text1"/>
          <w:szCs w:val="24"/>
          <w:lang w:val="en-US"/>
        </w:rPr>
        <w:t>Bildhauer T</w:t>
      </w:r>
      <w:r w:rsidR="0013671F"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Brüggemann G</w:t>
      </w:r>
      <w:r w:rsidR="00D671E6" w:rsidRPr="00D671E6">
        <w:rPr>
          <w:rFonts w:eastAsia="Times New Roman"/>
          <w:b/>
          <w:color w:val="000000" w:themeColor="text1"/>
          <w:szCs w:val="24"/>
          <w:lang w:val="en-GB"/>
        </w:rPr>
        <w:t>-</w:t>
      </w:r>
      <w:r w:rsidRPr="00B06466">
        <w:rPr>
          <w:rFonts w:eastAsia="Times New Roman"/>
          <w:b/>
          <w:color w:val="000000" w:themeColor="text1"/>
          <w:szCs w:val="24"/>
          <w:lang w:val="en-US"/>
        </w:rPr>
        <w:t>P</w:t>
      </w:r>
      <w:r w:rsidRPr="00B06466">
        <w:rPr>
          <w:rFonts w:eastAsia="Times New Roman"/>
          <w:color w:val="000000" w:themeColor="text1"/>
          <w:szCs w:val="24"/>
          <w:lang w:val="en-US"/>
        </w:rPr>
        <w:t xml:space="preserve">, </w:t>
      </w:r>
      <w:r w:rsidR="00336474" w:rsidRPr="00B06466">
        <w:rPr>
          <w:rFonts w:eastAsia="Times New Roman"/>
          <w:b/>
          <w:color w:val="000000" w:themeColor="text1"/>
          <w:szCs w:val="24"/>
          <w:lang w:val="en-US"/>
        </w:rPr>
        <w:t xml:space="preserve">Karamanidis </w:t>
      </w:r>
      <w:r w:rsidRPr="00B06466">
        <w:rPr>
          <w:rFonts w:eastAsia="Times New Roman"/>
          <w:b/>
          <w:color w:val="000000" w:themeColor="text1"/>
          <w:szCs w:val="24"/>
          <w:lang w:val="en-US"/>
        </w:rPr>
        <w:t>K</w:t>
      </w:r>
      <w:r w:rsidRPr="00B06466">
        <w:rPr>
          <w:rFonts w:eastAsia="Times New Roman"/>
          <w:color w:val="000000" w:themeColor="text1"/>
          <w:szCs w:val="24"/>
          <w:lang w:val="en-US"/>
        </w:rPr>
        <w:t xml:space="preserve">. </w:t>
      </w:r>
      <w:r w:rsidR="00B43D54" w:rsidRPr="00B06466">
        <w:rPr>
          <w:rFonts w:eastAsia="Times New Roman"/>
          <w:color w:val="000000" w:themeColor="text1"/>
          <w:szCs w:val="24"/>
          <w:lang w:val="en-US"/>
        </w:rPr>
        <w:t>Effects of triceps surae contractile strength on dynamic gait stability following tripping in the elderly</w:t>
      </w:r>
      <w:r w:rsidRPr="00B06466">
        <w:rPr>
          <w:rFonts w:eastAsia="Times New Roman"/>
          <w:color w:val="000000" w:themeColor="text1"/>
          <w:szCs w:val="24"/>
          <w:lang w:val="en-US"/>
        </w:rPr>
        <w:t xml:space="preserve">. </w:t>
      </w:r>
      <w:r w:rsidRPr="00B06466">
        <w:rPr>
          <w:rFonts w:eastAsia="Times New Roman"/>
          <w:color w:val="000000" w:themeColor="text1"/>
          <w:szCs w:val="24"/>
          <w:lang w:val="de-DE"/>
        </w:rPr>
        <w:t xml:space="preserve">In: </w:t>
      </w:r>
      <w:r w:rsidR="00B43D54" w:rsidRPr="00B06466">
        <w:rPr>
          <w:rFonts w:eastAsia="Times New Roman"/>
          <w:i/>
          <w:color w:val="000000" w:themeColor="text1"/>
          <w:szCs w:val="24"/>
          <w:lang w:val="de-DE"/>
        </w:rPr>
        <w:t>9. Jahrestagung der Deutschen Gesellschaft für Biomechanik (DGfB)</w:t>
      </w:r>
      <w:r w:rsidRPr="00B06466">
        <w:rPr>
          <w:rFonts w:eastAsia="Times New Roman"/>
          <w:i/>
          <w:color w:val="000000" w:themeColor="text1"/>
          <w:szCs w:val="24"/>
          <w:lang w:val="de-DE"/>
        </w:rPr>
        <w:t xml:space="preserve"> (</w:t>
      </w:r>
      <w:r w:rsidR="00B43D54" w:rsidRPr="00B06466">
        <w:rPr>
          <w:rFonts w:eastAsia="Times New Roman"/>
          <w:i/>
          <w:color w:val="000000" w:themeColor="text1"/>
          <w:szCs w:val="24"/>
          <w:lang w:val="de-DE"/>
        </w:rPr>
        <w:t>Bonn, Germany</w:t>
      </w:r>
      <w:r w:rsidRPr="00B06466">
        <w:rPr>
          <w:rFonts w:eastAsia="Times New Roman"/>
          <w:i/>
          <w:color w:val="000000" w:themeColor="text1"/>
          <w:szCs w:val="24"/>
          <w:lang w:val="de-DE"/>
        </w:rPr>
        <w:t xml:space="preserve">; </w:t>
      </w:r>
      <w:r w:rsidR="00B43D54" w:rsidRPr="00B06466">
        <w:rPr>
          <w:rFonts w:eastAsia="Times New Roman"/>
          <w:i/>
          <w:color w:val="000000" w:themeColor="text1"/>
          <w:szCs w:val="24"/>
          <w:lang w:val="de-DE"/>
        </w:rPr>
        <w:t xml:space="preserve">6th-8th </w:t>
      </w:r>
      <w:r w:rsidRPr="00B06466">
        <w:rPr>
          <w:rFonts w:eastAsia="Times New Roman"/>
          <w:i/>
          <w:color w:val="000000" w:themeColor="text1"/>
          <w:szCs w:val="24"/>
          <w:lang w:val="de-DE"/>
        </w:rPr>
        <w:t xml:space="preserve">of </w:t>
      </w:r>
      <w:r w:rsidR="00B43D54" w:rsidRPr="00B06466">
        <w:rPr>
          <w:rFonts w:eastAsia="Times New Roman"/>
          <w:i/>
          <w:color w:val="000000" w:themeColor="text1"/>
          <w:szCs w:val="24"/>
          <w:lang w:val="de-DE"/>
        </w:rPr>
        <w:t>Mai, 2015</w:t>
      </w:r>
      <w:r w:rsidRPr="00B06466">
        <w:rPr>
          <w:rFonts w:eastAsia="Times New Roman"/>
          <w:i/>
          <w:color w:val="000000" w:themeColor="text1"/>
          <w:szCs w:val="24"/>
          <w:lang w:val="de-DE"/>
        </w:rPr>
        <w:t>)</w:t>
      </w:r>
      <w:r w:rsidR="00043F11" w:rsidRPr="00B06466">
        <w:rPr>
          <w:rFonts w:eastAsia="Times New Roman"/>
          <w:color w:val="000000" w:themeColor="text1"/>
          <w:szCs w:val="24"/>
          <w:lang w:val="de-DE"/>
        </w:rPr>
        <w:t xml:space="preserve"> </w:t>
      </w:r>
      <w:r w:rsidR="00043F11" w:rsidRPr="00B06466">
        <w:rPr>
          <w:rFonts w:eastAsia="Times New Roman"/>
          <w:i/>
          <w:color w:val="000000" w:themeColor="text1"/>
          <w:szCs w:val="24"/>
          <w:lang w:val="de-DE"/>
        </w:rPr>
        <w:t>Abstractband</w:t>
      </w:r>
      <w:r w:rsidR="00544098" w:rsidRPr="00B06466">
        <w:rPr>
          <w:rFonts w:eastAsia="Times New Roman"/>
          <w:color w:val="000000" w:themeColor="text1"/>
          <w:szCs w:val="24"/>
          <w:lang w:val="de-DE"/>
        </w:rPr>
        <w:t>:</w:t>
      </w:r>
      <w:r w:rsidR="00043F11" w:rsidRPr="00B06466">
        <w:rPr>
          <w:rFonts w:eastAsia="Times New Roman"/>
          <w:color w:val="000000" w:themeColor="text1"/>
          <w:szCs w:val="24"/>
          <w:lang w:val="de-DE"/>
        </w:rPr>
        <w:t xml:space="preserve"> 63,</w:t>
      </w:r>
      <w:r w:rsidRPr="00B06466">
        <w:rPr>
          <w:rFonts w:eastAsia="Times New Roman"/>
          <w:color w:val="000000" w:themeColor="text1"/>
          <w:szCs w:val="24"/>
          <w:lang w:val="de-DE"/>
        </w:rPr>
        <w:t xml:space="preserve"> </w:t>
      </w:r>
      <w:r w:rsidR="00B43D54" w:rsidRPr="00B06466">
        <w:rPr>
          <w:rFonts w:eastAsia="Times New Roman"/>
          <w:color w:val="000000" w:themeColor="text1"/>
          <w:szCs w:val="24"/>
          <w:lang w:val="de-DE"/>
        </w:rPr>
        <w:t>2015</w:t>
      </w:r>
      <w:r w:rsidRPr="00B06466">
        <w:rPr>
          <w:rFonts w:eastAsia="Times New Roman"/>
          <w:color w:val="000000" w:themeColor="text1"/>
          <w:szCs w:val="24"/>
          <w:lang w:val="de-DE"/>
        </w:rPr>
        <w:t>.</w:t>
      </w:r>
    </w:p>
    <w:p w14:paraId="2C574CA3" w14:textId="24F2A4DA"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GB"/>
        </w:rPr>
        <w:t>Epro G</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Mierau A</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Doerner J</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Luetkens JA</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Scheef L</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Kukuk GM</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Boecker H</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Maganaris CN</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Brüggemann G</w:t>
      </w:r>
      <w:r w:rsidR="00D671E6" w:rsidRPr="00D671E6">
        <w:rPr>
          <w:rFonts w:eastAsia="Times New Roman"/>
          <w:b/>
          <w:color w:val="000000" w:themeColor="text1"/>
          <w:szCs w:val="24"/>
          <w:lang w:val="en-GB"/>
        </w:rPr>
        <w:t>-</w:t>
      </w:r>
      <w:r w:rsidRPr="00B06466">
        <w:rPr>
          <w:rFonts w:eastAsia="Times New Roman"/>
          <w:b/>
          <w:color w:val="000000" w:themeColor="text1"/>
          <w:szCs w:val="24"/>
          <w:lang w:val="en-GB"/>
        </w:rPr>
        <w:t>P</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Karamanidis K</w:t>
      </w:r>
      <w:r w:rsidRPr="00B06466">
        <w:rPr>
          <w:rFonts w:eastAsia="Times New Roman"/>
          <w:color w:val="000000" w:themeColor="text1"/>
          <w:szCs w:val="24"/>
          <w:lang w:val="en-GB"/>
        </w:rPr>
        <w:t>. The Ac</w:t>
      </w:r>
      <w:r w:rsidRPr="00B06466">
        <w:rPr>
          <w:rFonts w:eastAsia="Times New Roman"/>
          <w:color w:val="000000" w:themeColor="text1"/>
          <w:szCs w:val="24"/>
          <w:lang w:val="en-US"/>
        </w:rPr>
        <w:t xml:space="preserve">hilles tendon is mechanosensitive in older adults: adaptations following 14 weeks versus 1.5 years of cyclic strain exercise. </w:t>
      </w:r>
      <w:r w:rsidRPr="00B06466">
        <w:rPr>
          <w:rFonts w:eastAsia="Times New Roman"/>
          <w:i/>
          <w:color w:val="000000" w:themeColor="text1"/>
          <w:szCs w:val="24"/>
          <w:lang w:val="en-US"/>
        </w:rPr>
        <w:t>J Exp Biol</w:t>
      </w:r>
      <w:r w:rsidR="004F4F9A" w:rsidRPr="00B06466">
        <w:rPr>
          <w:rFonts w:eastAsia="Times New Roman"/>
          <w:color w:val="000000" w:themeColor="text1"/>
          <w:szCs w:val="24"/>
          <w:lang w:val="en-US"/>
        </w:rPr>
        <w:t xml:space="preserve"> 220: 1008–1018, 2017</w:t>
      </w:r>
      <w:r w:rsidRPr="00B06466">
        <w:rPr>
          <w:rFonts w:eastAsia="Times New Roman"/>
          <w:color w:val="000000" w:themeColor="text1"/>
          <w:szCs w:val="24"/>
          <w:lang w:val="en-US"/>
        </w:rPr>
        <w:t>.</w:t>
      </w:r>
    </w:p>
    <w:p w14:paraId="767CF0C2" w14:textId="77777777" w:rsidR="00CE70C8" w:rsidRPr="00B06466" w:rsidRDefault="00CE70C8" w:rsidP="00CE70C8">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 xml:space="preserve">Gerards MHG, McCrum C, Mansfield A, Meijer K. </w:t>
      </w:r>
      <w:r w:rsidRPr="00B06466">
        <w:rPr>
          <w:rFonts w:eastAsia="Times New Roman"/>
          <w:color w:val="000000" w:themeColor="text1"/>
          <w:szCs w:val="24"/>
          <w:lang w:val="en-US"/>
        </w:rPr>
        <w:t xml:space="preserve">Perturbation-based balance training for falls reduction among older adults: Current evidence and implications for clinical practice. </w:t>
      </w:r>
      <w:r w:rsidRPr="00B06466">
        <w:rPr>
          <w:rFonts w:eastAsia="Times New Roman"/>
          <w:i/>
          <w:color w:val="000000" w:themeColor="text1"/>
          <w:szCs w:val="24"/>
          <w:lang w:val="en-US"/>
        </w:rPr>
        <w:t>Geriatr Gerontol Int</w:t>
      </w:r>
      <w:r w:rsidRPr="00B06466">
        <w:rPr>
          <w:rFonts w:eastAsia="Times New Roman"/>
          <w:color w:val="000000" w:themeColor="text1"/>
          <w:szCs w:val="24"/>
          <w:lang w:val="en-US"/>
        </w:rPr>
        <w:t xml:space="preserve"> 17: 2294–2303, 2017.</w:t>
      </w:r>
    </w:p>
    <w:p w14:paraId="322D2D8D"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Gillespie LD</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Robertson MC</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Gillespie WJ</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Lamb SE</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Gates S</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Cumming RG</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Rowe BH</w:t>
      </w:r>
      <w:r w:rsidRPr="00B06466">
        <w:rPr>
          <w:rFonts w:eastAsia="Times New Roman"/>
          <w:color w:val="000000" w:themeColor="text1"/>
          <w:szCs w:val="24"/>
          <w:lang w:val="en-US"/>
        </w:rPr>
        <w:t xml:space="preserve">. Interventions for preventing falls in older people living in the community. </w:t>
      </w:r>
      <w:r w:rsidRPr="00B06466">
        <w:rPr>
          <w:rFonts w:eastAsia="Times New Roman"/>
          <w:i/>
          <w:color w:val="000000" w:themeColor="text1"/>
          <w:szCs w:val="24"/>
          <w:lang w:val="en-US"/>
        </w:rPr>
        <w:t>Cochrane Database Syst Rev</w:t>
      </w:r>
      <w:r w:rsidRPr="00B06466">
        <w:rPr>
          <w:rFonts w:eastAsia="Times New Roman"/>
          <w:color w:val="000000" w:themeColor="text1"/>
          <w:szCs w:val="24"/>
          <w:lang w:val="en-US"/>
        </w:rPr>
        <w:t>: CD007146, 2009.</w:t>
      </w:r>
    </w:p>
    <w:p w14:paraId="0A39436E"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Grabiner MD</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Owings TM</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Pavol MJ</w:t>
      </w:r>
      <w:r w:rsidRPr="00B06466">
        <w:rPr>
          <w:rFonts w:eastAsia="Times New Roman"/>
          <w:color w:val="000000" w:themeColor="text1"/>
          <w:szCs w:val="24"/>
          <w:lang w:val="en-US"/>
        </w:rPr>
        <w:t xml:space="preserve">. Lower extremity strength plays only a small role in determining the maximum recoverable lean angle in older adults. </w:t>
      </w:r>
      <w:r w:rsidRPr="00B06466">
        <w:rPr>
          <w:rFonts w:eastAsia="Times New Roman"/>
          <w:i/>
          <w:color w:val="000000" w:themeColor="text1"/>
          <w:szCs w:val="24"/>
          <w:lang w:val="en-US"/>
        </w:rPr>
        <w:t>J Gerontol A Biol Sci Med Sci</w:t>
      </w:r>
      <w:r w:rsidRPr="00B06466">
        <w:rPr>
          <w:rFonts w:eastAsia="Times New Roman"/>
          <w:color w:val="000000" w:themeColor="text1"/>
          <w:szCs w:val="24"/>
          <w:lang w:val="en-US"/>
        </w:rPr>
        <w:t xml:space="preserve"> 60A: 1447–1450, 2005.</w:t>
      </w:r>
    </w:p>
    <w:p w14:paraId="16C789B6" w14:textId="77777777" w:rsidR="001C3DA5" w:rsidRPr="00B06466" w:rsidRDefault="001C3DA5" w:rsidP="001C3DA5">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 xml:space="preserve">Haug H, Eggers R. </w:t>
      </w:r>
      <w:r w:rsidRPr="00B06466">
        <w:rPr>
          <w:rFonts w:eastAsia="Times New Roman"/>
          <w:color w:val="000000" w:themeColor="text1"/>
          <w:szCs w:val="24"/>
          <w:lang w:val="en-US"/>
        </w:rPr>
        <w:t xml:space="preserve">Morphometry of the human cortex cerebri and corpus striatum during aging. </w:t>
      </w:r>
      <w:r w:rsidRPr="00B06466">
        <w:rPr>
          <w:rFonts w:eastAsia="Times New Roman"/>
          <w:i/>
          <w:color w:val="000000" w:themeColor="text1"/>
          <w:szCs w:val="24"/>
          <w:lang w:val="en-US"/>
        </w:rPr>
        <w:t>Neurobiol Aging</w:t>
      </w:r>
      <w:r w:rsidRPr="00B06466">
        <w:rPr>
          <w:rFonts w:eastAsia="Times New Roman"/>
          <w:color w:val="000000" w:themeColor="text1"/>
          <w:szCs w:val="24"/>
          <w:lang w:val="en-US"/>
        </w:rPr>
        <w:t xml:space="preserve"> 12: 336–338, 1991.</w:t>
      </w:r>
    </w:p>
    <w:p w14:paraId="54799BD8"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Hof AL</w:t>
      </w:r>
      <w:r w:rsidRPr="00B06466">
        <w:rPr>
          <w:rFonts w:eastAsia="Times New Roman"/>
          <w:color w:val="000000" w:themeColor="text1"/>
          <w:szCs w:val="24"/>
          <w:lang w:val="en-US"/>
        </w:rPr>
        <w:t xml:space="preserve">. The equations of motion for a standing human reveal three mechanisms for balance. </w:t>
      </w:r>
      <w:r w:rsidRPr="00B06466">
        <w:rPr>
          <w:rFonts w:eastAsia="Times New Roman"/>
          <w:i/>
          <w:color w:val="000000" w:themeColor="text1"/>
          <w:szCs w:val="24"/>
          <w:lang w:val="en-US"/>
        </w:rPr>
        <w:t>J Biomech</w:t>
      </w:r>
      <w:r w:rsidRPr="00B06466">
        <w:rPr>
          <w:rFonts w:eastAsia="Times New Roman"/>
          <w:color w:val="000000" w:themeColor="text1"/>
          <w:szCs w:val="24"/>
          <w:lang w:val="en-US"/>
        </w:rPr>
        <w:t xml:space="preserve"> 40: 451–457, 2007.</w:t>
      </w:r>
    </w:p>
    <w:p w14:paraId="585C82A9" w14:textId="58DD4221"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Hof AL</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Gazendam MGJ</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Sinke WE</w:t>
      </w:r>
      <w:r w:rsidRPr="00B06466">
        <w:rPr>
          <w:rFonts w:eastAsia="Times New Roman"/>
          <w:color w:val="000000" w:themeColor="text1"/>
          <w:szCs w:val="24"/>
          <w:lang w:val="en-US"/>
        </w:rPr>
        <w:t xml:space="preserve">. The condition for dynamic stability. </w:t>
      </w:r>
      <w:r w:rsidRPr="00B06466">
        <w:rPr>
          <w:rFonts w:eastAsia="Times New Roman"/>
          <w:i/>
          <w:color w:val="000000" w:themeColor="text1"/>
          <w:szCs w:val="24"/>
          <w:lang w:val="en-US"/>
        </w:rPr>
        <w:t>J Biomech</w:t>
      </w:r>
      <w:r w:rsidRPr="00B06466">
        <w:rPr>
          <w:rFonts w:eastAsia="Times New Roman"/>
          <w:color w:val="000000" w:themeColor="text1"/>
          <w:szCs w:val="24"/>
          <w:lang w:val="en-US"/>
        </w:rPr>
        <w:t xml:space="preserve"> 38: 1–8, </w:t>
      </w:r>
      <w:r w:rsidRPr="00B06466">
        <w:rPr>
          <w:rFonts w:eastAsia="Times New Roman"/>
          <w:color w:val="000000" w:themeColor="text1"/>
          <w:szCs w:val="24"/>
          <w:lang w:val="en-US"/>
        </w:rPr>
        <w:lastRenderedPageBreak/>
        <w:t>2005.</w:t>
      </w:r>
    </w:p>
    <w:p w14:paraId="3B3ECCF2" w14:textId="573AFB04" w:rsidR="00312207" w:rsidRPr="00B06466" w:rsidRDefault="00312207" w:rsidP="00715EE9">
      <w:pPr>
        <w:widowControl w:val="0"/>
        <w:autoSpaceDE w:val="0"/>
        <w:autoSpaceDN w:val="0"/>
        <w:adjustRightInd w:val="0"/>
        <w:spacing w:after="0"/>
        <w:jc w:val="both"/>
        <w:rPr>
          <w:rFonts w:eastAsia="Times New Roman"/>
          <w:color w:val="000000" w:themeColor="text1"/>
          <w:szCs w:val="24"/>
          <w:lang w:val="de-DE"/>
        </w:rPr>
      </w:pPr>
      <w:r w:rsidRPr="00B06466">
        <w:rPr>
          <w:rFonts w:eastAsia="Times New Roman"/>
          <w:b/>
          <w:color w:val="000000" w:themeColor="text1"/>
          <w:szCs w:val="24"/>
          <w:lang w:val="en-US"/>
        </w:rPr>
        <w:t xml:space="preserve">Jacobs JV, Horak FB. </w:t>
      </w:r>
      <w:r w:rsidRPr="00B06466">
        <w:rPr>
          <w:rFonts w:eastAsia="Times New Roman"/>
          <w:color w:val="000000" w:themeColor="text1"/>
          <w:szCs w:val="24"/>
          <w:lang w:val="en-US"/>
        </w:rPr>
        <w:t xml:space="preserve">Cortical control of postural responses. </w:t>
      </w:r>
      <w:r w:rsidRPr="00B06466">
        <w:rPr>
          <w:rFonts w:eastAsia="Times New Roman"/>
          <w:color w:val="000000" w:themeColor="text1"/>
          <w:szCs w:val="24"/>
          <w:lang w:val="de-DE"/>
        </w:rPr>
        <w:t>J Neural Transm 114: 1339–1348, 2007.</w:t>
      </w:r>
    </w:p>
    <w:p w14:paraId="700D7B63"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de-DE"/>
        </w:rPr>
        <w:t>Jensen JL</w:t>
      </w:r>
      <w:r w:rsidRPr="00B06466">
        <w:rPr>
          <w:rFonts w:eastAsia="Times New Roman"/>
          <w:color w:val="000000" w:themeColor="text1"/>
          <w:szCs w:val="24"/>
          <w:lang w:val="de-DE"/>
        </w:rPr>
        <w:t xml:space="preserve">, </w:t>
      </w:r>
      <w:r w:rsidRPr="00B06466">
        <w:rPr>
          <w:rFonts w:eastAsia="Times New Roman"/>
          <w:b/>
          <w:color w:val="000000" w:themeColor="text1"/>
          <w:szCs w:val="24"/>
          <w:lang w:val="de-DE"/>
        </w:rPr>
        <w:t>Marstrand PCD</w:t>
      </w:r>
      <w:r w:rsidRPr="00B06466">
        <w:rPr>
          <w:rFonts w:eastAsia="Times New Roman"/>
          <w:color w:val="000000" w:themeColor="text1"/>
          <w:szCs w:val="24"/>
          <w:lang w:val="de-DE"/>
        </w:rPr>
        <w:t xml:space="preserve">, </w:t>
      </w:r>
      <w:r w:rsidRPr="00B06466">
        <w:rPr>
          <w:rFonts w:eastAsia="Times New Roman"/>
          <w:b/>
          <w:color w:val="000000" w:themeColor="text1"/>
          <w:szCs w:val="24"/>
          <w:lang w:val="de-DE"/>
        </w:rPr>
        <w:t>Nielsen JB</w:t>
      </w:r>
      <w:r w:rsidRPr="00B06466">
        <w:rPr>
          <w:rFonts w:eastAsia="Times New Roman"/>
          <w:color w:val="000000" w:themeColor="text1"/>
          <w:szCs w:val="24"/>
          <w:lang w:val="de-DE"/>
        </w:rPr>
        <w:t xml:space="preserve">. </w:t>
      </w:r>
      <w:r w:rsidRPr="00B06466">
        <w:rPr>
          <w:rFonts w:eastAsia="Times New Roman"/>
          <w:color w:val="000000" w:themeColor="text1"/>
          <w:szCs w:val="24"/>
          <w:lang w:val="en-US"/>
        </w:rPr>
        <w:t xml:space="preserve">Motor skill training and strength training are associated with different plastic changes in the central nervous system. </w:t>
      </w:r>
      <w:r w:rsidRPr="00B06466">
        <w:rPr>
          <w:rFonts w:eastAsia="Times New Roman"/>
          <w:i/>
          <w:color w:val="000000" w:themeColor="text1"/>
          <w:szCs w:val="24"/>
          <w:lang w:val="en-US"/>
        </w:rPr>
        <w:t>J Appl Physiol</w:t>
      </w:r>
      <w:r w:rsidRPr="00B06466">
        <w:rPr>
          <w:rFonts w:eastAsia="Times New Roman"/>
          <w:color w:val="000000" w:themeColor="text1"/>
          <w:szCs w:val="24"/>
          <w:lang w:val="en-US"/>
        </w:rPr>
        <w:t xml:space="preserve"> 99: 1558–1568, 2005.</w:t>
      </w:r>
    </w:p>
    <w:p w14:paraId="504377AE" w14:textId="30A82E40"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966039">
        <w:rPr>
          <w:rFonts w:eastAsia="Times New Roman"/>
          <w:b/>
          <w:color w:val="000000" w:themeColor="text1"/>
          <w:szCs w:val="24"/>
          <w:lang w:val="en-GB"/>
        </w:rPr>
        <w:t>Karamanidis K</w:t>
      </w:r>
      <w:r w:rsidRPr="00966039">
        <w:rPr>
          <w:rFonts w:eastAsia="Times New Roman"/>
          <w:color w:val="000000" w:themeColor="text1"/>
          <w:szCs w:val="24"/>
          <w:lang w:val="en-GB"/>
        </w:rPr>
        <w:t xml:space="preserve">, </w:t>
      </w:r>
      <w:r w:rsidRPr="00966039">
        <w:rPr>
          <w:rFonts w:eastAsia="Times New Roman"/>
          <w:b/>
          <w:color w:val="000000" w:themeColor="text1"/>
          <w:szCs w:val="24"/>
          <w:lang w:val="en-GB"/>
        </w:rPr>
        <w:t>Arampatzis A</w:t>
      </w:r>
      <w:r w:rsidRPr="00966039">
        <w:rPr>
          <w:rFonts w:eastAsia="Times New Roman"/>
          <w:color w:val="000000" w:themeColor="text1"/>
          <w:szCs w:val="24"/>
          <w:lang w:val="en-GB"/>
        </w:rPr>
        <w:t xml:space="preserve">, </w:t>
      </w:r>
      <w:r w:rsidRPr="00966039">
        <w:rPr>
          <w:rFonts w:eastAsia="Times New Roman"/>
          <w:b/>
          <w:color w:val="000000" w:themeColor="text1"/>
          <w:szCs w:val="24"/>
          <w:lang w:val="en-GB"/>
        </w:rPr>
        <w:t>Brüggemann G</w:t>
      </w:r>
      <w:r w:rsidR="00D671E6" w:rsidRPr="00966039">
        <w:rPr>
          <w:rFonts w:eastAsia="Times New Roman"/>
          <w:b/>
          <w:color w:val="000000" w:themeColor="text1"/>
          <w:szCs w:val="24"/>
          <w:lang w:val="en-GB"/>
        </w:rPr>
        <w:t>-</w:t>
      </w:r>
      <w:r w:rsidRPr="00966039">
        <w:rPr>
          <w:rFonts w:eastAsia="Times New Roman"/>
          <w:b/>
          <w:color w:val="000000" w:themeColor="text1"/>
          <w:szCs w:val="24"/>
          <w:lang w:val="en-GB"/>
        </w:rPr>
        <w:t>P</w:t>
      </w:r>
      <w:r w:rsidRPr="00966039">
        <w:rPr>
          <w:rFonts w:eastAsia="Times New Roman"/>
          <w:color w:val="000000" w:themeColor="text1"/>
          <w:szCs w:val="24"/>
          <w:lang w:val="en-GB"/>
        </w:rPr>
        <w:t xml:space="preserve">. </w:t>
      </w:r>
      <w:r w:rsidRPr="00B06466">
        <w:rPr>
          <w:rFonts w:eastAsia="Times New Roman"/>
          <w:color w:val="000000" w:themeColor="text1"/>
          <w:szCs w:val="24"/>
          <w:lang w:val="en-US"/>
        </w:rPr>
        <w:t xml:space="preserve">Symmetry and reproducibility of kinematic parameters during various running techniques. </w:t>
      </w:r>
      <w:r w:rsidRPr="00B06466">
        <w:rPr>
          <w:rFonts w:eastAsia="Times New Roman"/>
          <w:i/>
          <w:color w:val="000000" w:themeColor="text1"/>
          <w:szCs w:val="24"/>
          <w:lang w:val="en-US"/>
        </w:rPr>
        <w:t>Med Sci Sports Exerc</w:t>
      </w:r>
      <w:r w:rsidRPr="00B06466">
        <w:rPr>
          <w:rFonts w:eastAsia="Times New Roman"/>
          <w:color w:val="000000" w:themeColor="text1"/>
          <w:szCs w:val="24"/>
          <w:lang w:val="en-US"/>
        </w:rPr>
        <w:t xml:space="preserve"> 35: 1009–1016, 2003.</w:t>
      </w:r>
    </w:p>
    <w:p w14:paraId="47532BA5" w14:textId="77777777" w:rsidR="0019699F" w:rsidRPr="00B06466" w:rsidRDefault="0019699F" w:rsidP="00715EE9">
      <w:pPr>
        <w:widowControl w:val="0"/>
        <w:autoSpaceDE w:val="0"/>
        <w:autoSpaceDN w:val="0"/>
        <w:adjustRightInd w:val="0"/>
        <w:spacing w:after="0"/>
        <w:jc w:val="both"/>
        <w:rPr>
          <w:rFonts w:eastAsia="Times New Roman"/>
          <w:b/>
          <w:color w:val="000000" w:themeColor="text1"/>
          <w:szCs w:val="24"/>
          <w:lang w:val="en-US"/>
        </w:rPr>
      </w:pPr>
      <w:r w:rsidRPr="00B06466">
        <w:rPr>
          <w:rFonts w:eastAsia="Times New Roman"/>
          <w:b/>
          <w:color w:val="000000" w:themeColor="text1"/>
          <w:szCs w:val="24"/>
          <w:lang w:val="en-US"/>
        </w:rPr>
        <w:t xml:space="preserve">Karamanidis K, Arampatzis A. </w:t>
      </w:r>
      <w:r w:rsidRPr="00B06466">
        <w:rPr>
          <w:rFonts w:eastAsia="Times New Roman"/>
          <w:color w:val="000000" w:themeColor="text1"/>
          <w:szCs w:val="24"/>
          <w:lang w:val="en-US"/>
        </w:rPr>
        <w:t xml:space="preserve">Mechanical and morphological properties of human quadriceps femoris and triceps surae muscle-tendon unit in relation to aging and running. </w:t>
      </w:r>
      <w:r w:rsidRPr="00B06466">
        <w:rPr>
          <w:rFonts w:eastAsia="Times New Roman"/>
          <w:i/>
          <w:color w:val="000000" w:themeColor="text1"/>
          <w:szCs w:val="24"/>
          <w:lang w:val="en-US"/>
        </w:rPr>
        <w:t>J Biomech</w:t>
      </w:r>
      <w:r w:rsidRPr="00B06466">
        <w:rPr>
          <w:rFonts w:eastAsia="Times New Roman"/>
          <w:color w:val="000000" w:themeColor="text1"/>
          <w:szCs w:val="24"/>
          <w:lang w:val="en-US"/>
        </w:rPr>
        <w:t xml:space="preserve"> 39: 406–417, 2006.</w:t>
      </w:r>
    </w:p>
    <w:p w14:paraId="5CBE462F"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de-DE"/>
        </w:rPr>
      </w:pPr>
      <w:r w:rsidRPr="00B06466">
        <w:rPr>
          <w:rFonts w:eastAsia="Times New Roman"/>
          <w:b/>
          <w:color w:val="000000" w:themeColor="text1"/>
          <w:szCs w:val="24"/>
          <w:lang w:val="en-US"/>
        </w:rPr>
        <w:t>Karamanidis K</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Arampatzis A</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Mademli L</w:t>
      </w:r>
      <w:r w:rsidRPr="00B06466">
        <w:rPr>
          <w:rFonts w:eastAsia="Times New Roman"/>
          <w:color w:val="000000" w:themeColor="text1"/>
          <w:szCs w:val="24"/>
          <w:lang w:val="en-US"/>
        </w:rPr>
        <w:t xml:space="preserve">. Age-related deficit in dynamic stability control after forward falls is affected by muscle strength and tendon stiffness. </w:t>
      </w:r>
      <w:r w:rsidRPr="00B06466">
        <w:rPr>
          <w:rFonts w:eastAsia="Times New Roman"/>
          <w:i/>
          <w:color w:val="000000" w:themeColor="text1"/>
          <w:szCs w:val="24"/>
          <w:lang w:val="de-DE"/>
        </w:rPr>
        <w:t>J Electromyogr Kinesiol</w:t>
      </w:r>
      <w:r w:rsidRPr="00B06466">
        <w:rPr>
          <w:rFonts w:eastAsia="Times New Roman"/>
          <w:color w:val="000000" w:themeColor="text1"/>
          <w:szCs w:val="24"/>
          <w:lang w:val="de-DE"/>
        </w:rPr>
        <w:t xml:space="preserve"> 18: 980–9, 2008.</w:t>
      </w:r>
    </w:p>
    <w:p w14:paraId="0A9772D6" w14:textId="6A36AC8A" w:rsidR="00C05B73" w:rsidRPr="00B06466" w:rsidRDefault="00C05B73"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de-DE"/>
        </w:rPr>
        <w:t>Karamanidis K, Oberländer KD, Niehoff A, Epro G, Brüggemann G-P</w:t>
      </w:r>
      <w:r w:rsidR="0001274F" w:rsidRPr="00B06466">
        <w:rPr>
          <w:rFonts w:eastAsia="Times New Roman"/>
          <w:color w:val="000000" w:themeColor="text1"/>
          <w:szCs w:val="24"/>
          <w:lang w:val="de-DE"/>
        </w:rPr>
        <w:t>.</w:t>
      </w:r>
      <w:r w:rsidRPr="00B06466">
        <w:rPr>
          <w:rFonts w:eastAsia="Times New Roman"/>
          <w:color w:val="000000" w:themeColor="text1"/>
          <w:szCs w:val="24"/>
          <w:lang w:val="de-DE"/>
        </w:rPr>
        <w:t xml:space="preserve"> </w:t>
      </w:r>
      <w:r w:rsidRPr="00B06466">
        <w:rPr>
          <w:rFonts w:eastAsia="Times New Roman"/>
          <w:color w:val="000000" w:themeColor="text1"/>
          <w:szCs w:val="24"/>
          <w:lang w:val="en-US"/>
        </w:rPr>
        <w:t xml:space="preserve">Effect of exercise-induced enhancement of the leg-extensor muscle-tendon unit capacities on ambulatory mechanics and knee osteoarthritis markers in the elderly. </w:t>
      </w:r>
      <w:r w:rsidRPr="00B06466">
        <w:rPr>
          <w:rFonts w:eastAsia="Times New Roman"/>
          <w:i/>
          <w:color w:val="000000" w:themeColor="text1"/>
          <w:szCs w:val="24"/>
          <w:lang w:val="en-US"/>
        </w:rPr>
        <w:t>PLoS On</w:t>
      </w:r>
      <w:r w:rsidR="0001274F" w:rsidRPr="00B06466">
        <w:rPr>
          <w:rFonts w:eastAsia="Times New Roman"/>
          <w:i/>
          <w:color w:val="000000" w:themeColor="text1"/>
          <w:szCs w:val="24"/>
          <w:lang w:val="en-US"/>
        </w:rPr>
        <w:t>e</w:t>
      </w:r>
      <w:r w:rsidR="0001274F" w:rsidRPr="00B06466">
        <w:rPr>
          <w:rFonts w:eastAsia="Times New Roman"/>
          <w:color w:val="000000" w:themeColor="text1"/>
          <w:szCs w:val="24"/>
          <w:lang w:val="en-US"/>
        </w:rPr>
        <w:t xml:space="preserve"> 9, e99330, 2014.</w:t>
      </w:r>
    </w:p>
    <w:p w14:paraId="191C79E9" w14:textId="2F366E30" w:rsidR="00D26B16" w:rsidRPr="00B06466" w:rsidRDefault="001965FF" w:rsidP="00D26B16">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Keck</w:t>
      </w:r>
      <w:r w:rsidR="00D26B16" w:rsidRPr="00B06466">
        <w:rPr>
          <w:rFonts w:eastAsia="Times New Roman"/>
          <w:b/>
          <w:color w:val="000000" w:themeColor="text1"/>
          <w:szCs w:val="24"/>
          <w:lang w:val="en-US"/>
        </w:rPr>
        <w:t xml:space="preserve"> ME, Pijnappels M, Schubert M, Colombo G, Curt A, Dietz V.</w:t>
      </w:r>
      <w:r w:rsidR="00D26B16" w:rsidRPr="00B06466">
        <w:rPr>
          <w:rFonts w:eastAsia="Times New Roman"/>
          <w:color w:val="000000" w:themeColor="text1"/>
          <w:szCs w:val="24"/>
          <w:lang w:val="en-US"/>
        </w:rPr>
        <w:t xml:space="preserve"> Stumbling reactions in man: influence of corticospinal input. </w:t>
      </w:r>
      <w:r w:rsidR="00D26B16" w:rsidRPr="00B06466">
        <w:rPr>
          <w:rFonts w:eastAsia="Times New Roman"/>
          <w:i/>
          <w:color w:val="000000" w:themeColor="text1"/>
          <w:szCs w:val="24"/>
          <w:lang w:val="en-US"/>
        </w:rPr>
        <w:t xml:space="preserve">Electroencephalogr Clin Neurophysiol </w:t>
      </w:r>
      <w:r w:rsidR="00D26B16" w:rsidRPr="00B06466">
        <w:rPr>
          <w:rFonts w:eastAsia="Times New Roman"/>
          <w:color w:val="000000" w:themeColor="text1"/>
          <w:szCs w:val="24"/>
          <w:lang w:val="en-US"/>
        </w:rPr>
        <w:t>109: 215–223, 1998.</w:t>
      </w:r>
    </w:p>
    <w:p w14:paraId="6F1D3596" w14:textId="30BB363C" w:rsidR="00904ACB" w:rsidRPr="00B06466" w:rsidRDefault="00904ACB" w:rsidP="00D26B16">
      <w:pPr>
        <w:widowControl w:val="0"/>
        <w:autoSpaceDE w:val="0"/>
        <w:autoSpaceDN w:val="0"/>
        <w:adjustRightInd w:val="0"/>
        <w:spacing w:after="0"/>
        <w:jc w:val="both"/>
        <w:rPr>
          <w:color w:val="000000" w:themeColor="text1"/>
          <w:lang w:val="en-US"/>
        </w:rPr>
      </w:pPr>
      <w:r w:rsidRPr="00B06466">
        <w:rPr>
          <w:b/>
          <w:color w:val="000000" w:themeColor="text1"/>
          <w:lang w:val="en-US"/>
        </w:rPr>
        <w:t>Koo B-B, Bergethon P, Qiu WQ, Scott T, Hussain M, Rosenberg I, Caplan LR, Bhadelia RA</w:t>
      </w:r>
      <w:r w:rsidRPr="00B06466">
        <w:rPr>
          <w:color w:val="000000" w:themeColor="text1"/>
          <w:lang w:val="en-US"/>
        </w:rPr>
        <w:t xml:space="preserve">. Clinical prediction of fall risk and white matter abnormalities. </w:t>
      </w:r>
      <w:r w:rsidRPr="00B06466">
        <w:rPr>
          <w:i/>
          <w:color w:val="000000" w:themeColor="text1"/>
          <w:lang w:val="en-US"/>
        </w:rPr>
        <w:t xml:space="preserve">Arch Neurol </w:t>
      </w:r>
      <w:r w:rsidRPr="00B06466">
        <w:rPr>
          <w:color w:val="000000" w:themeColor="text1"/>
          <w:lang w:val="en-US"/>
        </w:rPr>
        <w:t>69: 733–738, 2012.</w:t>
      </w:r>
    </w:p>
    <w:p w14:paraId="4E9D9E06" w14:textId="77777777" w:rsidR="002B4EC1" w:rsidRPr="00B06466" w:rsidRDefault="002B4EC1"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Kulmala J, Korhonen MT, Kuitunen S, Suominen H, Heinonen A, Mikkola A, Avela J.</w:t>
      </w:r>
      <w:r w:rsidRPr="00B06466">
        <w:rPr>
          <w:rFonts w:eastAsia="Times New Roman"/>
          <w:color w:val="000000" w:themeColor="text1"/>
          <w:szCs w:val="24"/>
          <w:lang w:val="en-US"/>
        </w:rPr>
        <w:t xml:space="preserve"> Which muscles compromise human locomotor performance with age? </w:t>
      </w:r>
      <w:r w:rsidRPr="00B06466">
        <w:rPr>
          <w:rFonts w:eastAsia="Times New Roman"/>
          <w:i/>
          <w:color w:val="000000" w:themeColor="text1"/>
          <w:szCs w:val="24"/>
          <w:lang w:val="en-US"/>
        </w:rPr>
        <w:t xml:space="preserve">J R Soc Interface </w:t>
      </w:r>
      <w:r w:rsidRPr="00B06466">
        <w:rPr>
          <w:rFonts w:eastAsia="Times New Roman"/>
          <w:color w:val="000000" w:themeColor="text1"/>
          <w:szCs w:val="24"/>
          <w:lang w:val="en-US"/>
        </w:rPr>
        <w:t>11: 20140858, 2014.</w:t>
      </w:r>
    </w:p>
    <w:p w14:paraId="0FC420A1"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GB"/>
        </w:rPr>
        <w:lastRenderedPageBreak/>
        <w:t>Lotze M</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Braun C</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Birbaumer N</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Anders S</w:t>
      </w:r>
      <w:r w:rsidRPr="00B06466">
        <w:rPr>
          <w:rFonts w:eastAsia="Times New Roman"/>
          <w:color w:val="000000" w:themeColor="text1"/>
          <w:szCs w:val="24"/>
          <w:lang w:val="en-GB"/>
        </w:rPr>
        <w:t xml:space="preserve">, </w:t>
      </w:r>
      <w:r w:rsidRPr="00B06466">
        <w:rPr>
          <w:rFonts w:eastAsia="Times New Roman"/>
          <w:b/>
          <w:color w:val="000000" w:themeColor="text1"/>
          <w:szCs w:val="24"/>
          <w:lang w:val="en-GB"/>
        </w:rPr>
        <w:t>Cohen LG</w:t>
      </w:r>
      <w:r w:rsidRPr="00B06466">
        <w:rPr>
          <w:rFonts w:eastAsia="Times New Roman"/>
          <w:color w:val="000000" w:themeColor="text1"/>
          <w:szCs w:val="24"/>
          <w:lang w:val="en-GB"/>
        </w:rPr>
        <w:t xml:space="preserve">. </w:t>
      </w:r>
      <w:r w:rsidRPr="00B06466">
        <w:rPr>
          <w:rFonts w:eastAsia="Times New Roman"/>
          <w:color w:val="000000" w:themeColor="text1"/>
          <w:szCs w:val="24"/>
          <w:lang w:val="en-US"/>
        </w:rPr>
        <w:t xml:space="preserve">Motor learning elicited by voluntary drive. </w:t>
      </w:r>
      <w:r w:rsidRPr="00B06466">
        <w:rPr>
          <w:rFonts w:eastAsia="Times New Roman"/>
          <w:i/>
          <w:color w:val="000000" w:themeColor="text1"/>
          <w:szCs w:val="24"/>
          <w:lang w:val="en-US"/>
        </w:rPr>
        <w:t>Brain</w:t>
      </w:r>
      <w:r w:rsidRPr="00B06466">
        <w:rPr>
          <w:rFonts w:eastAsia="Times New Roman"/>
          <w:color w:val="000000" w:themeColor="text1"/>
          <w:szCs w:val="24"/>
          <w:lang w:val="en-US"/>
        </w:rPr>
        <w:t xml:space="preserve"> 126: 866–872, 2003.</w:t>
      </w:r>
    </w:p>
    <w:p w14:paraId="722468CC" w14:textId="77777777" w:rsidR="00AB450C" w:rsidRPr="00B06466" w:rsidRDefault="00AB450C"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 xml:space="preserve">la Fougere C, Zwergal A, Rominger A, Forster S, Fesl G, Dieterich M, </w:t>
      </w:r>
      <w:r w:rsidR="008D47FA" w:rsidRPr="00B06466">
        <w:rPr>
          <w:rFonts w:eastAsia="Times New Roman"/>
          <w:b/>
          <w:color w:val="000000" w:themeColor="text1"/>
          <w:szCs w:val="24"/>
          <w:lang w:val="en-US"/>
        </w:rPr>
        <w:t>Brandt T, Strupp M, Bartenstein P, Jahn</w:t>
      </w:r>
      <w:r w:rsidRPr="00B06466">
        <w:rPr>
          <w:rFonts w:eastAsia="Times New Roman"/>
          <w:b/>
          <w:color w:val="000000" w:themeColor="text1"/>
          <w:szCs w:val="24"/>
          <w:lang w:val="en-US"/>
        </w:rPr>
        <w:t xml:space="preserve"> </w:t>
      </w:r>
      <w:r w:rsidR="0036067F" w:rsidRPr="00B06466">
        <w:rPr>
          <w:rFonts w:eastAsia="Times New Roman"/>
          <w:b/>
          <w:color w:val="000000" w:themeColor="text1"/>
          <w:szCs w:val="24"/>
          <w:lang w:val="en-US"/>
        </w:rPr>
        <w:t>K.</w:t>
      </w:r>
      <w:r w:rsidR="00D95E74" w:rsidRPr="00B06466">
        <w:rPr>
          <w:rFonts w:eastAsia="Times New Roman"/>
          <w:b/>
          <w:color w:val="000000" w:themeColor="text1"/>
          <w:szCs w:val="24"/>
          <w:lang w:val="en-US"/>
        </w:rPr>
        <w:t xml:space="preserve"> </w:t>
      </w:r>
      <w:r w:rsidRPr="00B06466">
        <w:rPr>
          <w:rFonts w:eastAsia="Times New Roman"/>
          <w:color w:val="000000" w:themeColor="text1"/>
          <w:szCs w:val="24"/>
          <w:lang w:val="en-US"/>
        </w:rPr>
        <w:t>Real versus imagined locomotion: a [18F]-FDGPET-fMRI comparison. Neuroimage 50: 1589–1598, 2010.</w:t>
      </w:r>
    </w:p>
    <w:p w14:paraId="79D54FAB" w14:textId="77777777" w:rsidR="005E3419" w:rsidRPr="00B06466" w:rsidRDefault="005E3419"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Lee A, Bhatt T, Pai Y</w:t>
      </w:r>
      <w:r w:rsidR="00BF2E81" w:rsidRPr="00B06466">
        <w:rPr>
          <w:rFonts w:eastAsia="Times New Roman"/>
          <w:b/>
          <w:color w:val="000000" w:themeColor="text1"/>
          <w:szCs w:val="24"/>
          <w:lang w:val="en-US"/>
        </w:rPr>
        <w:t>-</w:t>
      </w:r>
      <w:r w:rsidRPr="00B06466">
        <w:rPr>
          <w:rFonts w:eastAsia="Times New Roman"/>
          <w:b/>
          <w:color w:val="000000" w:themeColor="text1"/>
          <w:szCs w:val="24"/>
          <w:lang w:val="en-US"/>
        </w:rPr>
        <w:t>C.</w:t>
      </w:r>
      <w:r w:rsidRPr="00B06466">
        <w:rPr>
          <w:rFonts w:eastAsia="Times New Roman"/>
          <w:color w:val="000000" w:themeColor="text1"/>
          <w:szCs w:val="24"/>
          <w:lang w:val="en-US"/>
        </w:rPr>
        <w:t xml:space="preserve"> Generalization of treadmill perturbation to overground slip during gait: Effect of different perturbation distances on slip recovery. </w:t>
      </w:r>
      <w:r w:rsidRPr="00B06466">
        <w:rPr>
          <w:rFonts w:eastAsia="Times New Roman"/>
          <w:i/>
          <w:color w:val="000000" w:themeColor="text1"/>
          <w:szCs w:val="24"/>
          <w:lang w:val="en-US"/>
        </w:rPr>
        <w:t>J Biomech</w:t>
      </w:r>
      <w:r w:rsidRPr="00B06466">
        <w:rPr>
          <w:rFonts w:eastAsia="Times New Roman"/>
          <w:color w:val="000000" w:themeColor="text1"/>
          <w:szCs w:val="24"/>
          <w:lang w:val="en-US"/>
        </w:rPr>
        <w:t xml:space="preserve"> 2016 49: 149–154, 2016.</w:t>
      </w:r>
    </w:p>
    <w:p w14:paraId="075E532D"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MacAulay RK</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Allaire TD</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Brouillette RM</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Foil HC</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Bruce-Keller AJ</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Han H</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Johnson WD</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Keller JN</w:t>
      </w:r>
      <w:r w:rsidRPr="00B06466">
        <w:rPr>
          <w:rFonts w:eastAsia="Times New Roman"/>
          <w:color w:val="000000" w:themeColor="text1"/>
          <w:szCs w:val="24"/>
          <w:lang w:val="en-US"/>
        </w:rPr>
        <w:t xml:space="preserve">. Longitudinal assessment of neuropsychological and temporal/spatial gait characteristics of elderly fallers: taking it all in stride. </w:t>
      </w:r>
      <w:r w:rsidRPr="00B06466">
        <w:rPr>
          <w:rFonts w:eastAsia="Times New Roman"/>
          <w:i/>
          <w:color w:val="000000" w:themeColor="text1"/>
          <w:szCs w:val="24"/>
          <w:lang w:val="en-US"/>
        </w:rPr>
        <w:t>Front Aging Neurosci</w:t>
      </w:r>
      <w:r w:rsidRPr="00B06466">
        <w:rPr>
          <w:rFonts w:eastAsia="Times New Roman"/>
          <w:color w:val="000000" w:themeColor="text1"/>
          <w:szCs w:val="24"/>
          <w:lang w:val="en-US"/>
        </w:rPr>
        <w:t xml:space="preserve"> 7: 1–7, 2015.</w:t>
      </w:r>
    </w:p>
    <w:p w14:paraId="48A9A928"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MacLellan MJ</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Patla AE</w:t>
      </w:r>
      <w:r w:rsidRPr="00B06466">
        <w:rPr>
          <w:rFonts w:eastAsia="Times New Roman"/>
          <w:color w:val="000000" w:themeColor="text1"/>
          <w:szCs w:val="24"/>
          <w:lang w:val="en-US"/>
        </w:rPr>
        <w:t xml:space="preserve">. Adaptations of walking pattern on a compliant surface to regulate dynamic stability. </w:t>
      </w:r>
      <w:r w:rsidRPr="00B06466">
        <w:rPr>
          <w:rFonts w:eastAsia="Times New Roman"/>
          <w:i/>
          <w:color w:val="000000" w:themeColor="text1"/>
          <w:szCs w:val="24"/>
          <w:lang w:val="en-US"/>
        </w:rPr>
        <w:t>Exp Brain Res</w:t>
      </w:r>
      <w:r w:rsidRPr="00B06466">
        <w:rPr>
          <w:rFonts w:eastAsia="Times New Roman"/>
          <w:color w:val="000000" w:themeColor="text1"/>
          <w:szCs w:val="24"/>
          <w:lang w:val="en-US"/>
        </w:rPr>
        <w:t xml:space="preserve"> 173: 521–530, 2006.</w:t>
      </w:r>
    </w:p>
    <w:p w14:paraId="2FCB4C22" w14:textId="77777777" w:rsidR="00536006" w:rsidRPr="00B06466" w:rsidRDefault="00536006"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Maki BE</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McIlroy WE</w:t>
      </w:r>
      <w:r w:rsidRPr="00B06466">
        <w:rPr>
          <w:rFonts w:eastAsia="Times New Roman"/>
          <w:color w:val="000000" w:themeColor="text1"/>
          <w:szCs w:val="24"/>
          <w:lang w:val="en-US"/>
        </w:rPr>
        <w:t xml:space="preserve">. Control of rapid limb movements for balance recovery: Age-related changes and implications for fall prevention. </w:t>
      </w:r>
      <w:r w:rsidRPr="00B06466">
        <w:rPr>
          <w:rFonts w:eastAsia="Times New Roman"/>
          <w:i/>
          <w:color w:val="000000" w:themeColor="text1"/>
          <w:szCs w:val="24"/>
          <w:lang w:val="en-US"/>
        </w:rPr>
        <w:t>Age Ageing</w:t>
      </w:r>
      <w:r w:rsidRPr="00B06466">
        <w:rPr>
          <w:rFonts w:eastAsia="Times New Roman"/>
          <w:color w:val="000000" w:themeColor="text1"/>
          <w:szCs w:val="24"/>
          <w:lang w:val="en-US"/>
        </w:rPr>
        <w:t xml:space="preserve"> 35: 12–18, 2006.</w:t>
      </w:r>
    </w:p>
    <w:p w14:paraId="25347DB5" w14:textId="77777777" w:rsidR="00E87647" w:rsidRPr="00B06466" w:rsidRDefault="00E87647" w:rsidP="00715EE9">
      <w:pPr>
        <w:widowControl w:val="0"/>
        <w:autoSpaceDE w:val="0"/>
        <w:autoSpaceDN w:val="0"/>
        <w:adjustRightInd w:val="0"/>
        <w:spacing w:after="0"/>
        <w:jc w:val="both"/>
        <w:rPr>
          <w:rFonts w:eastAsia="Times New Roman"/>
          <w:color w:val="000000" w:themeColor="text1"/>
          <w:szCs w:val="24"/>
        </w:rPr>
      </w:pPr>
      <w:r w:rsidRPr="00B06466">
        <w:rPr>
          <w:rFonts w:eastAsia="Times New Roman"/>
          <w:b/>
          <w:color w:val="000000" w:themeColor="text1"/>
          <w:szCs w:val="24"/>
          <w:lang w:val="en-US"/>
        </w:rPr>
        <w:t>Malone LA, Bastian AJ, Torres-Oviedo G.</w:t>
      </w:r>
      <w:r w:rsidRPr="00B06466">
        <w:rPr>
          <w:rFonts w:eastAsia="Times New Roman"/>
          <w:color w:val="000000" w:themeColor="text1"/>
          <w:szCs w:val="24"/>
          <w:lang w:val="en-US"/>
        </w:rPr>
        <w:t xml:space="preserve"> How does the motor system correct for errors in time and space during locomotor adaptation? </w:t>
      </w:r>
      <w:r w:rsidRPr="00B06466">
        <w:rPr>
          <w:rFonts w:eastAsia="Times New Roman"/>
          <w:i/>
          <w:color w:val="000000" w:themeColor="text1"/>
          <w:szCs w:val="24"/>
          <w:lang w:val="en-US"/>
        </w:rPr>
        <w:t>J Neurophysiol</w:t>
      </w:r>
      <w:r w:rsidRPr="00B06466">
        <w:rPr>
          <w:rFonts w:eastAsia="Times New Roman"/>
          <w:color w:val="000000" w:themeColor="text1"/>
          <w:szCs w:val="24"/>
          <w:lang w:val="en-US"/>
        </w:rPr>
        <w:t xml:space="preserve"> 108: 672–683, 2012.</w:t>
      </w:r>
    </w:p>
    <w:p w14:paraId="69C75BEC" w14:textId="77777777" w:rsidR="003E68BE" w:rsidRPr="00B06466" w:rsidRDefault="003E68BE" w:rsidP="00715EE9">
      <w:pPr>
        <w:widowControl w:val="0"/>
        <w:autoSpaceDE w:val="0"/>
        <w:autoSpaceDN w:val="0"/>
        <w:adjustRightInd w:val="0"/>
        <w:spacing w:after="0"/>
        <w:jc w:val="both"/>
        <w:rPr>
          <w:rFonts w:eastAsia="Times New Roman"/>
          <w:color w:val="000000" w:themeColor="text1"/>
          <w:szCs w:val="24"/>
          <w:lang w:val="en-US"/>
        </w:rPr>
      </w:pPr>
      <w:r w:rsidRPr="00B06466">
        <w:rPr>
          <w:rFonts w:eastAsia="Times New Roman"/>
          <w:b/>
          <w:color w:val="000000" w:themeColor="text1"/>
          <w:szCs w:val="24"/>
          <w:lang w:val="en-US"/>
        </w:rPr>
        <w:t>Maganaris CN, Baltzopoulos V, Sargeant AJ.</w:t>
      </w:r>
      <w:r w:rsidRPr="00B06466">
        <w:rPr>
          <w:rFonts w:eastAsia="Times New Roman"/>
          <w:color w:val="000000" w:themeColor="text1"/>
          <w:szCs w:val="24"/>
          <w:lang w:val="en-US"/>
        </w:rPr>
        <w:t xml:space="preserve"> In vivo measurements of the triceps surae complex architecture in man: Implications for muscle function. </w:t>
      </w:r>
      <w:r w:rsidRPr="00B06466">
        <w:rPr>
          <w:rFonts w:eastAsia="Times New Roman"/>
          <w:i/>
          <w:color w:val="000000" w:themeColor="text1"/>
          <w:szCs w:val="24"/>
          <w:lang w:val="en-US"/>
        </w:rPr>
        <w:t>J Physiol</w:t>
      </w:r>
      <w:r w:rsidRPr="00B06466">
        <w:rPr>
          <w:rFonts w:eastAsia="Times New Roman"/>
          <w:color w:val="000000" w:themeColor="text1"/>
          <w:szCs w:val="24"/>
          <w:lang w:val="en-US"/>
        </w:rPr>
        <w:t xml:space="preserve"> 512: 603–614, 1998.</w:t>
      </w:r>
    </w:p>
    <w:p w14:paraId="48185DF3" w14:textId="38F74BCB" w:rsidR="00536006" w:rsidRPr="00C827B9" w:rsidRDefault="00536006" w:rsidP="00715EE9">
      <w:pPr>
        <w:widowControl w:val="0"/>
        <w:autoSpaceDE w:val="0"/>
        <w:autoSpaceDN w:val="0"/>
        <w:adjustRightInd w:val="0"/>
        <w:spacing w:after="0"/>
        <w:jc w:val="both"/>
        <w:rPr>
          <w:rFonts w:eastAsia="Times New Roman"/>
          <w:szCs w:val="24"/>
          <w:lang w:val="en-US"/>
        </w:rPr>
      </w:pPr>
      <w:r w:rsidRPr="00B06466">
        <w:rPr>
          <w:rFonts w:eastAsia="Times New Roman"/>
          <w:b/>
          <w:color w:val="000000" w:themeColor="text1"/>
          <w:szCs w:val="24"/>
          <w:lang w:val="en-US"/>
        </w:rPr>
        <w:t>McCrum C</w:t>
      </w:r>
      <w:r w:rsidRPr="00B06466">
        <w:rPr>
          <w:rFonts w:eastAsia="Times New Roman"/>
          <w:color w:val="000000" w:themeColor="text1"/>
          <w:szCs w:val="24"/>
          <w:lang w:val="en-US"/>
        </w:rPr>
        <w:t xml:space="preserve">, </w:t>
      </w:r>
      <w:r w:rsidRPr="00B06466">
        <w:rPr>
          <w:rFonts w:eastAsia="Times New Roman"/>
          <w:b/>
          <w:color w:val="000000" w:themeColor="text1"/>
          <w:szCs w:val="24"/>
          <w:lang w:val="en-US"/>
        </w:rPr>
        <w:t>Eysel-Gosepath</w:t>
      </w:r>
      <w:r w:rsidRPr="00C827B9">
        <w:rPr>
          <w:rFonts w:eastAsia="Times New Roman"/>
          <w:b/>
          <w:szCs w:val="24"/>
          <w:lang w:val="en-US"/>
        </w:rPr>
        <w:t xml:space="preserve"> K</w:t>
      </w:r>
      <w:r w:rsidRPr="00C827B9">
        <w:rPr>
          <w:rFonts w:eastAsia="Times New Roman"/>
          <w:szCs w:val="24"/>
          <w:lang w:val="en-US"/>
        </w:rPr>
        <w:t xml:space="preserve">, </w:t>
      </w:r>
      <w:r w:rsidRPr="00C827B9">
        <w:rPr>
          <w:rFonts w:eastAsia="Times New Roman"/>
          <w:b/>
          <w:szCs w:val="24"/>
          <w:lang w:val="en-US"/>
        </w:rPr>
        <w:t>Epro G</w:t>
      </w:r>
      <w:r w:rsidRPr="00C827B9">
        <w:rPr>
          <w:rFonts w:eastAsia="Times New Roman"/>
          <w:szCs w:val="24"/>
          <w:lang w:val="en-US"/>
        </w:rPr>
        <w:t xml:space="preserve">, </w:t>
      </w:r>
      <w:r w:rsidRPr="00C827B9">
        <w:rPr>
          <w:rFonts w:eastAsia="Times New Roman"/>
          <w:b/>
          <w:szCs w:val="24"/>
          <w:lang w:val="en-US"/>
        </w:rPr>
        <w:t>Meijer K</w:t>
      </w:r>
      <w:r w:rsidRPr="00C827B9">
        <w:rPr>
          <w:rFonts w:eastAsia="Times New Roman"/>
          <w:szCs w:val="24"/>
          <w:lang w:val="en-US"/>
        </w:rPr>
        <w:t xml:space="preserve">, </w:t>
      </w:r>
      <w:r w:rsidRPr="00C827B9">
        <w:rPr>
          <w:rFonts w:eastAsia="Times New Roman"/>
          <w:b/>
          <w:szCs w:val="24"/>
          <w:lang w:val="en-US"/>
        </w:rPr>
        <w:t>Savelberg HHCM</w:t>
      </w:r>
      <w:r w:rsidRPr="00C827B9">
        <w:rPr>
          <w:rFonts w:eastAsia="Times New Roman"/>
          <w:szCs w:val="24"/>
          <w:lang w:val="en-US"/>
        </w:rPr>
        <w:t xml:space="preserve">, </w:t>
      </w:r>
      <w:r w:rsidRPr="00C827B9">
        <w:rPr>
          <w:rFonts w:eastAsia="Times New Roman"/>
          <w:b/>
          <w:szCs w:val="24"/>
          <w:lang w:val="en-US"/>
        </w:rPr>
        <w:t>Brüggemann G</w:t>
      </w:r>
      <w:r w:rsidR="00D671E6" w:rsidRPr="00D671E6">
        <w:rPr>
          <w:rFonts w:eastAsia="Times New Roman"/>
          <w:b/>
          <w:color w:val="000000" w:themeColor="text1"/>
          <w:szCs w:val="24"/>
          <w:lang w:val="en-GB"/>
        </w:rPr>
        <w:t>-</w:t>
      </w:r>
      <w:r w:rsidRPr="00C827B9">
        <w:rPr>
          <w:rFonts w:eastAsia="Times New Roman"/>
          <w:b/>
          <w:szCs w:val="24"/>
          <w:lang w:val="en-US"/>
        </w:rPr>
        <w:t>P</w:t>
      </w:r>
      <w:r w:rsidRPr="00C827B9">
        <w:rPr>
          <w:rFonts w:eastAsia="Times New Roman"/>
          <w:szCs w:val="24"/>
          <w:lang w:val="en-US"/>
        </w:rPr>
        <w:t xml:space="preserve">, </w:t>
      </w:r>
      <w:r w:rsidRPr="00C827B9">
        <w:rPr>
          <w:rFonts w:eastAsia="Times New Roman"/>
          <w:b/>
          <w:szCs w:val="24"/>
          <w:lang w:val="en-US"/>
        </w:rPr>
        <w:t>Karamanidis K</w:t>
      </w:r>
      <w:r w:rsidRPr="00C827B9">
        <w:rPr>
          <w:rFonts w:eastAsia="Times New Roman"/>
          <w:szCs w:val="24"/>
          <w:lang w:val="en-US"/>
        </w:rPr>
        <w:t xml:space="preserve">. Deficient recovery response and adaptive feedback potential in dynamic gait stability in unilateral peripheral vestibular disorder patients. </w:t>
      </w:r>
      <w:r w:rsidRPr="00C827B9">
        <w:rPr>
          <w:rFonts w:eastAsia="Times New Roman"/>
          <w:i/>
          <w:szCs w:val="24"/>
          <w:lang w:val="en-US"/>
        </w:rPr>
        <w:t>Physiol Rep</w:t>
      </w:r>
      <w:r w:rsidRPr="00C827B9">
        <w:rPr>
          <w:rFonts w:eastAsia="Times New Roman"/>
          <w:szCs w:val="24"/>
          <w:lang w:val="en-US"/>
        </w:rPr>
        <w:t xml:space="preserve"> 2: e12222, 2014.</w:t>
      </w:r>
    </w:p>
    <w:p w14:paraId="69D90685"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McCrum C</w:t>
      </w:r>
      <w:r w:rsidRPr="00C827B9">
        <w:rPr>
          <w:rFonts w:eastAsia="Times New Roman"/>
          <w:szCs w:val="24"/>
          <w:lang w:val="en-US"/>
        </w:rPr>
        <w:t xml:space="preserve">, </w:t>
      </w:r>
      <w:r w:rsidRPr="00C827B9">
        <w:rPr>
          <w:rFonts w:eastAsia="Times New Roman"/>
          <w:b/>
          <w:szCs w:val="24"/>
          <w:lang w:val="en-US"/>
        </w:rPr>
        <w:t>Gerards MHG</w:t>
      </w:r>
      <w:r w:rsidRPr="00C827B9">
        <w:rPr>
          <w:rFonts w:eastAsia="Times New Roman"/>
          <w:szCs w:val="24"/>
          <w:lang w:val="en-US"/>
        </w:rPr>
        <w:t xml:space="preserve">, </w:t>
      </w:r>
      <w:r w:rsidRPr="00C827B9">
        <w:rPr>
          <w:rFonts w:eastAsia="Times New Roman"/>
          <w:b/>
          <w:szCs w:val="24"/>
          <w:lang w:val="en-US"/>
        </w:rPr>
        <w:t>Karamanidis K</w:t>
      </w:r>
      <w:r w:rsidRPr="00C827B9">
        <w:rPr>
          <w:rFonts w:eastAsia="Times New Roman"/>
          <w:szCs w:val="24"/>
          <w:lang w:val="en-US"/>
        </w:rPr>
        <w:t xml:space="preserve">, </w:t>
      </w:r>
      <w:r w:rsidRPr="00C827B9">
        <w:rPr>
          <w:rFonts w:eastAsia="Times New Roman"/>
          <w:b/>
          <w:szCs w:val="24"/>
          <w:lang w:val="en-US"/>
        </w:rPr>
        <w:t>Zijlstra W</w:t>
      </w:r>
      <w:r w:rsidRPr="00C827B9">
        <w:rPr>
          <w:rFonts w:eastAsia="Times New Roman"/>
          <w:szCs w:val="24"/>
          <w:lang w:val="en-US"/>
        </w:rPr>
        <w:t xml:space="preserve">, </w:t>
      </w:r>
      <w:r w:rsidRPr="00C827B9">
        <w:rPr>
          <w:rFonts w:eastAsia="Times New Roman"/>
          <w:b/>
          <w:szCs w:val="24"/>
          <w:lang w:val="en-US"/>
        </w:rPr>
        <w:t>Meijer K</w:t>
      </w:r>
      <w:r w:rsidRPr="00C827B9">
        <w:rPr>
          <w:rFonts w:eastAsia="Times New Roman"/>
          <w:szCs w:val="24"/>
          <w:lang w:val="en-US"/>
        </w:rPr>
        <w:t xml:space="preserve">. A systematic review of gait perturbation paradigms for improving reactive stepping responses and falls risk among healthy </w:t>
      </w:r>
      <w:r w:rsidRPr="00C827B9">
        <w:rPr>
          <w:rFonts w:eastAsia="Times New Roman"/>
          <w:szCs w:val="24"/>
          <w:lang w:val="en-US"/>
        </w:rPr>
        <w:lastRenderedPageBreak/>
        <w:t xml:space="preserve">older adults. </w:t>
      </w:r>
      <w:r w:rsidRPr="00C827B9">
        <w:rPr>
          <w:rFonts w:eastAsia="Times New Roman"/>
          <w:i/>
          <w:szCs w:val="24"/>
          <w:lang w:val="en-US"/>
        </w:rPr>
        <w:t>Eur Rev Aging Phys Act</w:t>
      </w:r>
      <w:r w:rsidRPr="00C827B9">
        <w:rPr>
          <w:rFonts w:eastAsia="Times New Roman"/>
          <w:szCs w:val="24"/>
          <w:lang w:val="en-US"/>
        </w:rPr>
        <w:t xml:space="preserve"> 14: 3, 2017.</w:t>
      </w:r>
    </w:p>
    <w:p w14:paraId="1A450DB9" w14:textId="77777777" w:rsidR="006A72E2" w:rsidRPr="00B06466" w:rsidRDefault="006A72E2" w:rsidP="00715EE9">
      <w:pPr>
        <w:widowControl w:val="0"/>
        <w:autoSpaceDE w:val="0"/>
        <w:autoSpaceDN w:val="0"/>
        <w:adjustRightInd w:val="0"/>
        <w:spacing w:after="0"/>
        <w:jc w:val="both"/>
        <w:rPr>
          <w:rFonts w:eastAsia="Times New Roman"/>
          <w:color w:val="000000" w:themeColor="text1"/>
          <w:szCs w:val="24"/>
          <w:lang w:val="en-GB"/>
        </w:rPr>
      </w:pPr>
      <w:r w:rsidRPr="00C827B9">
        <w:rPr>
          <w:rFonts w:eastAsia="Times New Roman"/>
          <w:b/>
          <w:szCs w:val="24"/>
          <w:lang w:val="en-US"/>
        </w:rPr>
        <w:t>Onambele-Pearson GL, Narici MV, Maganaris CN.</w:t>
      </w:r>
      <w:r w:rsidRPr="00C827B9">
        <w:rPr>
          <w:rFonts w:eastAsia="Times New Roman"/>
          <w:szCs w:val="24"/>
          <w:lang w:val="en-US"/>
        </w:rPr>
        <w:t xml:space="preserve"> Calf muscle-tendon properties and postural </w:t>
      </w:r>
      <w:r w:rsidRPr="00B06466">
        <w:rPr>
          <w:rFonts w:eastAsia="Times New Roman"/>
          <w:color w:val="000000" w:themeColor="text1"/>
          <w:szCs w:val="24"/>
          <w:lang w:val="en-US"/>
        </w:rPr>
        <w:t xml:space="preserve">balance in old age. </w:t>
      </w:r>
      <w:r w:rsidRPr="00B06466">
        <w:rPr>
          <w:rFonts w:eastAsia="Times New Roman"/>
          <w:i/>
          <w:color w:val="000000" w:themeColor="text1"/>
          <w:szCs w:val="24"/>
          <w:lang w:val="en-GB"/>
        </w:rPr>
        <w:t>J Appl Physiol</w:t>
      </w:r>
      <w:r w:rsidRPr="00B06466">
        <w:rPr>
          <w:rFonts w:eastAsia="Times New Roman"/>
          <w:color w:val="000000" w:themeColor="text1"/>
          <w:szCs w:val="24"/>
          <w:lang w:val="en-GB"/>
        </w:rPr>
        <w:t xml:space="preserve"> 100: 2048–2056, 2006.</w:t>
      </w:r>
    </w:p>
    <w:p w14:paraId="662C2202" w14:textId="77777777" w:rsidR="00E74DD3" w:rsidRPr="00B06466" w:rsidRDefault="00E74DD3" w:rsidP="00E74DD3">
      <w:pPr>
        <w:widowControl w:val="0"/>
        <w:autoSpaceDE w:val="0"/>
        <w:autoSpaceDN w:val="0"/>
        <w:adjustRightInd w:val="0"/>
        <w:spacing w:after="0"/>
        <w:jc w:val="both"/>
        <w:rPr>
          <w:rFonts w:eastAsia="Times New Roman"/>
          <w:color w:val="000000" w:themeColor="text1"/>
          <w:szCs w:val="24"/>
          <w:lang w:val="de-DE"/>
        </w:rPr>
      </w:pPr>
      <w:r w:rsidRPr="00B06466">
        <w:rPr>
          <w:rFonts w:eastAsia="Times New Roman"/>
          <w:b/>
          <w:color w:val="000000" w:themeColor="text1"/>
          <w:szCs w:val="24"/>
          <w:lang w:val="en-GB"/>
        </w:rPr>
        <w:t>Pai Y-C, W</w:t>
      </w:r>
      <w:r w:rsidR="003222E3" w:rsidRPr="00B06466">
        <w:rPr>
          <w:rFonts w:eastAsia="Times New Roman"/>
          <w:b/>
          <w:color w:val="000000" w:themeColor="text1"/>
          <w:szCs w:val="24"/>
          <w:lang w:val="en-GB"/>
        </w:rPr>
        <w:t>ening JD, Runtz EF, Iqbal K,</w:t>
      </w:r>
      <w:r w:rsidRPr="00B06466">
        <w:rPr>
          <w:rFonts w:eastAsia="Times New Roman"/>
          <w:b/>
          <w:color w:val="000000" w:themeColor="text1"/>
          <w:szCs w:val="24"/>
          <w:lang w:val="en-GB"/>
        </w:rPr>
        <w:t xml:space="preserve"> Pavol MJ.</w:t>
      </w:r>
      <w:r w:rsidRPr="00B06466">
        <w:rPr>
          <w:rFonts w:eastAsia="Times New Roman"/>
          <w:color w:val="000000" w:themeColor="text1"/>
          <w:szCs w:val="24"/>
          <w:lang w:val="en-GB"/>
        </w:rPr>
        <w:t xml:space="preserve"> Role of feedforward control of movement stability in reducing slip-related balance loss and falls among older adults. </w:t>
      </w:r>
      <w:r w:rsidRPr="00B06466">
        <w:rPr>
          <w:rFonts w:eastAsia="Times New Roman"/>
          <w:i/>
          <w:color w:val="000000" w:themeColor="text1"/>
          <w:szCs w:val="24"/>
          <w:lang w:val="de-DE"/>
        </w:rPr>
        <w:t>J Neurophysiol</w:t>
      </w:r>
      <w:r w:rsidRPr="00B06466">
        <w:rPr>
          <w:rFonts w:eastAsia="Times New Roman"/>
          <w:color w:val="000000" w:themeColor="text1"/>
          <w:szCs w:val="24"/>
          <w:lang w:val="de-DE"/>
        </w:rPr>
        <w:t xml:space="preserve"> 90: 755–762, 2003.</w:t>
      </w:r>
    </w:p>
    <w:p w14:paraId="4621A295"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de-DE"/>
        </w:rPr>
        <w:t>Pai Y-C</w:t>
      </w:r>
      <w:r w:rsidRPr="00C827B9">
        <w:rPr>
          <w:rFonts w:eastAsia="Times New Roman"/>
          <w:szCs w:val="24"/>
          <w:lang w:val="de-DE"/>
        </w:rPr>
        <w:t xml:space="preserve">, </w:t>
      </w:r>
      <w:r w:rsidRPr="00C827B9">
        <w:rPr>
          <w:rFonts w:eastAsia="Times New Roman"/>
          <w:b/>
          <w:szCs w:val="24"/>
          <w:lang w:val="de-DE"/>
        </w:rPr>
        <w:t>Bhatt T</w:t>
      </w:r>
      <w:r w:rsidRPr="00C827B9">
        <w:rPr>
          <w:rFonts w:eastAsia="Times New Roman"/>
          <w:szCs w:val="24"/>
          <w:lang w:val="de-DE"/>
        </w:rPr>
        <w:t xml:space="preserve">, </w:t>
      </w:r>
      <w:r w:rsidRPr="00C827B9">
        <w:rPr>
          <w:rFonts w:eastAsia="Times New Roman"/>
          <w:b/>
          <w:szCs w:val="24"/>
          <w:lang w:val="de-DE"/>
        </w:rPr>
        <w:t>Wang E</w:t>
      </w:r>
      <w:r w:rsidRPr="00C827B9">
        <w:rPr>
          <w:rFonts w:eastAsia="Times New Roman"/>
          <w:szCs w:val="24"/>
          <w:lang w:val="de-DE"/>
        </w:rPr>
        <w:t xml:space="preserve">, </w:t>
      </w:r>
      <w:r w:rsidRPr="00C827B9">
        <w:rPr>
          <w:rFonts w:eastAsia="Times New Roman"/>
          <w:b/>
          <w:szCs w:val="24"/>
          <w:lang w:val="de-DE"/>
        </w:rPr>
        <w:t>Espy D</w:t>
      </w:r>
      <w:r w:rsidRPr="00C827B9">
        <w:rPr>
          <w:rFonts w:eastAsia="Times New Roman"/>
          <w:szCs w:val="24"/>
          <w:lang w:val="de-DE"/>
        </w:rPr>
        <w:t xml:space="preserve">, </w:t>
      </w:r>
      <w:r w:rsidRPr="00C827B9">
        <w:rPr>
          <w:rFonts w:eastAsia="Times New Roman"/>
          <w:b/>
          <w:szCs w:val="24"/>
          <w:lang w:val="de-DE"/>
        </w:rPr>
        <w:t>Pavol MJ</w:t>
      </w:r>
      <w:r w:rsidRPr="00C827B9">
        <w:rPr>
          <w:rFonts w:eastAsia="Times New Roman"/>
          <w:szCs w:val="24"/>
          <w:lang w:val="de-DE"/>
        </w:rPr>
        <w:t xml:space="preserve">. </w:t>
      </w:r>
      <w:r w:rsidRPr="00C827B9">
        <w:rPr>
          <w:rFonts w:eastAsia="Times New Roman"/>
          <w:szCs w:val="24"/>
          <w:lang w:val="en-US"/>
        </w:rPr>
        <w:t xml:space="preserve">Inoculation Against Falls: Rapid Adaptation by Young and Older Adults to Slips During Daily Activities. </w:t>
      </w:r>
      <w:r w:rsidRPr="00C827B9">
        <w:rPr>
          <w:rFonts w:eastAsia="Times New Roman"/>
          <w:i/>
          <w:szCs w:val="24"/>
          <w:lang w:val="en-US"/>
        </w:rPr>
        <w:t>Arch Phys Med Rehabil</w:t>
      </w:r>
      <w:r w:rsidRPr="00C827B9">
        <w:rPr>
          <w:rFonts w:eastAsia="Times New Roman"/>
          <w:szCs w:val="24"/>
          <w:lang w:val="en-US"/>
        </w:rPr>
        <w:t xml:space="preserve"> 91: 452–459, 2010.</w:t>
      </w:r>
    </w:p>
    <w:p w14:paraId="136711A3"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Pai Y-C</w:t>
      </w:r>
      <w:r w:rsidRPr="00C827B9">
        <w:rPr>
          <w:rFonts w:eastAsia="Times New Roman"/>
          <w:szCs w:val="24"/>
          <w:lang w:val="en-US"/>
        </w:rPr>
        <w:t xml:space="preserve">, </w:t>
      </w:r>
      <w:r w:rsidRPr="00C827B9">
        <w:rPr>
          <w:rFonts w:eastAsia="Times New Roman"/>
          <w:b/>
          <w:szCs w:val="24"/>
          <w:lang w:val="en-US"/>
        </w:rPr>
        <w:t>Bhatt T</w:t>
      </w:r>
      <w:r w:rsidRPr="00C827B9">
        <w:rPr>
          <w:rFonts w:eastAsia="Times New Roman"/>
          <w:szCs w:val="24"/>
          <w:lang w:val="en-US"/>
        </w:rPr>
        <w:t xml:space="preserve">, </w:t>
      </w:r>
      <w:r w:rsidRPr="00C827B9">
        <w:rPr>
          <w:rFonts w:eastAsia="Times New Roman"/>
          <w:b/>
          <w:szCs w:val="24"/>
          <w:lang w:val="en-US"/>
        </w:rPr>
        <w:t>Yang F</w:t>
      </w:r>
      <w:r w:rsidRPr="00C827B9">
        <w:rPr>
          <w:rFonts w:eastAsia="Times New Roman"/>
          <w:szCs w:val="24"/>
          <w:lang w:val="en-US"/>
        </w:rPr>
        <w:t xml:space="preserve">, </w:t>
      </w:r>
      <w:r w:rsidRPr="00C827B9">
        <w:rPr>
          <w:rFonts w:eastAsia="Times New Roman"/>
          <w:b/>
          <w:szCs w:val="24"/>
          <w:lang w:val="en-US"/>
        </w:rPr>
        <w:t>Wang E</w:t>
      </w:r>
      <w:r w:rsidRPr="00C827B9">
        <w:rPr>
          <w:rFonts w:eastAsia="Times New Roman"/>
          <w:szCs w:val="24"/>
          <w:lang w:val="en-US"/>
        </w:rPr>
        <w:t xml:space="preserve">. Perturbation Training Can Reduce Community-Dwelling Older Adults’ Annual Fall Risk: A Randomized Controlled Trial. </w:t>
      </w:r>
      <w:r w:rsidRPr="00C827B9">
        <w:rPr>
          <w:rFonts w:eastAsia="Times New Roman"/>
          <w:i/>
          <w:szCs w:val="24"/>
          <w:lang w:val="en-US"/>
        </w:rPr>
        <w:t>Journals Gerontol Ser A Biol Sci Med Sci</w:t>
      </w:r>
      <w:r w:rsidRPr="00C827B9">
        <w:rPr>
          <w:rFonts w:eastAsia="Times New Roman"/>
          <w:szCs w:val="24"/>
          <w:lang w:val="en-US"/>
        </w:rPr>
        <w:t xml:space="preserve"> 69: 1586–1594, 2014a.</w:t>
      </w:r>
    </w:p>
    <w:p w14:paraId="741C5614"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Pai Y-C</w:t>
      </w:r>
      <w:r w:rsidRPr="00C827B9">
        <w:rPr>
          <w:rFonts w:eastAsia="Times New Roman"/>
          <w:szCs w:val="24"/>
          <w:lang w:val="en-US"/>
        </w:rPr>
        <w:t xml:space="preserve">, </w:t>
      </w:r>
      <w:r w:rsidRPr="00C827B9">
        <w:rPr>
          <w:rFonts w:eastAsia="Times New Roman"/>
          <w:b/>
          <w:szCs w:val="24"/>
          <w:lang w:val="en-US"/>
        </w:rPr>
        <w:t>Yang F</w:t>
      </w:r>
      <w:r w:rsidRPr="00C827B9">
        <w:rPr>
          <w:rFonts w:eastAsia="Times New Roman"/>
          <w:szCs w:val="24"/>
          <w:lang w:val="en-US"/>
        </w:rPr>
        <w:t xml:space="preserve">, </w:t>
      </w:r>
      <w:r w:rsidRPr="00C827B9">
        <w:rPr>
          <w:rFonts w:eastAsia="Times New Roman"/>
          <w:b/>
          <w:szCs w:val="24"/>
          <w:lang w:val="en-US"/>
        </w:rPr>
        <w:t>Bhatt T</w:t>
      </w:r>
      <w:r w:rsidRPr="00C827B9">
        <w:rPr>
          <w:rFonts w:eastAsia="Times New Roman"/>
          <w:szCs w:val="24"/>
          <w:lang w:val="en-US"/>
        </w:rPr>
        <w:t xml:space="preserve">, </w:t>
      </w:r>
      <w:r w:rsidRPr="00C827B9">
        <w:rPr>
          <w:rFonts w:eastAsia="Times New Roman"/>
          <w:b/>
          <w:szCs w:val="24"/>
          <w:lang w:val="en-US"/>
        </w:rPr>
        <w:t>Wang E</w:t>
      </w:r>
      <w:r w:rsidRPr="00C827B9">
        <w:rPr>
          <w:rFonts w:eastAsia="Times New Roman"/>
          <w:szCs w:val="24"/>
          <w:lang w:val="en-US"/>
        </w:rPr>
        <w:t xml:space="preserve">. Learning from laboratory-induced falling: long-term motor retention among older adults. </w:t>
      </w:r>
      <w:r w:rsidRPr="00C827B9">
        <w:rPr>
          <w:rFonts w:eastAsia="Times New Roman"/>
          <w:i/>
          <w:szCs w:val="24"/>
          <w:lang w:val="en-US"/>
        </w:rPr>
        <w:t>Age (Dordr)</w:t>
      </w:r>
      <w:r w:rsidRPr="00C827B9">
        <w:rPr>
          <w:rFonts w:eastAsia="Times New Roman"/>
          <w:szCs w:val="24"/>
          <w:lang w:val="en-US"/>
        </w:rPr>
        <w:t xml:space="preserve"> 36: 9640, 2014b.</w:t>
      </w:r>
    </w:p>
    <w:p w14:paraId="10468DC1"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Pascual-Leone A</w:t>
      </w:r>
      <w:r w:rsidRPr="00C827B9">
        <w:rPr>
          <w:rFonts w:eastAsia="Times New Roman"/>
          <w:szCs w:val="24"/>
          <w:lang w:val="en-US"/>
        </w:rPr>
        <w:t xml:space="preserve">, </w:t>
      </w:r>
      <w:r w:rsidRPr="00C827B9">
        <w:rPr>
          <w:rFonts w:eastAsia="Times New Roman"/>
          <w:b/>
          <w:szCs w:val="24"/>
          <w:lang w:val="en-US"/>
        </w:rPr>
        <w:t>Nguyet D</w:t>
      </w:r>
      <w:r w:rsidRPr="00C827B9">
        <w:rPr>
          <w:rFonts w:eastAsia="Times New Roman"/>
          <w:szCs w:val="24"/>
          <w:lang w:val="en-US"/>
        </w:rPr>
        <w:t xml:space="preserve">, </w:t>
      </w:r>
      <w:r w:rsidRPr="00C827B9">
        <w:rPr>
          <w:rFonts w:eastAsia="Times New Roman"/>
          <w:b/>
          <w:szCs w:val="24"/>
          <w:lang w:val="en-US"/>
        </w:rPr>
        <w:t>Cohen LG</w:t>
      </w:r>
      <w:r w:rsidRPr="00C827B9">
        <w:rPr>
          <w:rFonts w:eastAsia="Times New Roman"/>
          <w:szCs w:val="24"/>
          <w:lang w:val="en-US"/>
        </w:rPr>
        <w:t xml:space="preserve">, </w:t>
      </w:r>
      <w:r w:rsidRPr="00C827B9">
        <w:rPr>
          <w:rFonts w:eastAsia="Times New Roman"/>
          <w:b/>
          <w:szCs w:val="24"/>
          <w:lang w:val="en-US"/>
        </w:rPr>
        <w:t>Brasil-Neto JP</w:t>
      </w:r>
      <w:r w:rsidRPr="00C827B9">
        <w:rPr>
          <w:rFonts w:eastAsia="Times New Roman"/>
          <w:szCs w:val="24"/>
          <w:lang w:val="en-US"/>
        </w:rPr>
        <w:t xml:space="preserve">, </w:t>
      </w:r>
      <w:r w:rsidRPr="00C827B9">
        <w:rPr>
          <w:rFonts w:eastAsia="Times New Roman"/>
          <w:b/>
          <w:szCs w:val="24"/>
          <w:lang w:val="en-US"/>
        </w:rPr>
        <w:t>Cammarota A</w:t>
      </w:r>
      <w:r w:rsidRPr="00C827B9">
        <w:rPr>
          <w:rFonts w:eastAsia="Times New Roman"/>
          <w:szCs w:val="24"/>
          <w:lang w:val="en-US"/>
        </w:rPr>
        <w:t xml:space="preserve">, </w:t>
      </w:r>
      <w:r w:rsidRPr="00C827B9">
        <w:rPr>
          <w:rFonts w:eastAsia="Times New Roman"/>
          <w:b/>
          <w:szCs w:val="24"/>
          <w:lang w:val="en-US"/>
        </w:rPr>
        <w:t>Hallett M</w:t>
      </w:r>
      <w:r w:rsidRPr="00C827B9">
        <w:rPr>
          <w:rFonts w:eastAsia="Times New Roman"/>
          <w:szCs w:val="24"/>
          <w:lang w:val="en-US"/>
        </w:rPr>
        <w:t xml:space="preserve">. Modulation of muscle responses evoked by transcranial magnetic stimulation during the acquisition of new fine motor skills. </w:t>
      </w:r>
      <w:r w:rsidRPr="00C827B9">
        <w:rPr>
          <w:rFonts w:eastAsia="Times New Roman"/>
          <w:i/>
          <w:szCs w:val="24"/>
          <w:lang w:val="en-US"/>
        </w:rPr>
        <w:t>J Neurophysiol</w:t>
      </w:r>
      <w:r w:rsidRPr="00C827B9">
        <w:rPr>
          <w:rFonts w:eastAsia="Times New Roman"/>
          <w:szCs w:val="24"/>
          <w:lang w:val="en-US"/>
        </w:rPr>
        <w:t xml:space="preserve"> 74: 1037–1045, 1995.</w:t>
      </w:r>
    </w:p>
    <w:p w14:paraId="7DB8DE94" w14:textId="77777777" w:rsidR="00536006" w:rsidRPr="00C827B9" w:rsidRDefault="00536006" w:rsidP="00715EE9">
      <w:pPr>
        <w:widowControl w:val="0"/>
        <w:autoSpaceDE w:val="0"/>
        <w:autoSpaceDN w:val="0"/>
        <w:adjustRightInd w:val="0"/>
        <w:spacing w:after="0"/>
        <w:jc w:val="both"/>
        <w:rPr>
          <w:rFonts w:eastAsia="Times New Roman"/>
          <w:szCs w:val="24"/>
          <w:lang w:val="en-GB"/>
        </w:rPr>
      </w:pPr>
      <w:r w:rsidRPr="00C827B9">
        <w:rPr>
          <w:rFonts w:eastAsia="Times New Roman"/>
          <w:b/>
          <w:szCs w:val="24"/>
          <w:lang w:val="en-US"/>
        </w:rPr>
        <w:t>Pater ML</w:t>
      </w:r>
      <w:r w:rsidRPr="00C827B9">
        <w:rPr>
          <w:rFonts w:eastAsia="Times New Roman"/>
          <w:szCs w:val="24"/>
          <w:lang w:val="en-US"/>
        </w:rPr>
        <w:t xml:space="preserve">, </w:t>
      </w:r>
      <w:r w:rsidRPr="00C827B9">
        <w:rPr>
          <w:rFonts w:eastAsia="Times New Roman"/>
          <w:b/>
          <w:szCs w:val="24"/>
          <w:lang w:val="en-US"/>
        </w:rPr>
        <w:t>Rosenblatt NJ</w:t>
      </w:r>
      <w:r w:rsidRPr="00C827B9">
        <w:rPr>
          <w:rFonts w:eastAsia="Times New Roman"/>
          <w:szCs w:val="24"/>
          <w:lang w:val="en-US"/>
        </w:rPr>
        <w:t xml:space="preserve">, </w:t>
      </w:r>
      <w:r w:rsidRPr="00C827B9">
        <w:rPr>
          <w:rFonts w:eastAsia="Times New Roman"/>
          <w:b/>
          <w:szCs w:val="24"/>
          <w:lang w:val="en-US"/>
        </w:rPr>
        <w:t>Grabiner MD</w:t>
      </w:r>
      <w:r w:rsidRPr="00C827B9">
        <w:rPr>
          <w:rFonts w:eastAsia="Times New Roman"/>
          <w:szCs w:val="24"/>
          <w:lang w:val="en-US"/>
        </w:rPr>
        <w:t xml:space="preserve">. Expectation of an upcoming large postural perturbation influences the recovery stepping response and outcome. </w:t>
      </w:r>
      <w:r w:rsidRPr="00C827B9">
        <w:rPr>
          <w:rFonts w:eastAsia="Times New Roman"/>
          <w:i/>
          <w:szCs w:val="24"/>
          <w:lang w:val="en-GB"/>
        </w:rPr>
        <w:t>Gait Posture</w:t>
      </w:r>
      <w:r w:rsidRPr="00C827B9">
        <w:rPr>
          <w:rFonts w:eastAsia="Times New Roman"/>
          <w:szCs w:val="24"/>
          <w:lang w:val="en-GB"/>
        </w:rPr>
        <w:t xml:space="preserve"> 41: 335–337, 2015.</w:t>
      </w:r>
    </w:p>
    <w:p w14:paraId="383FE02F" w14:textId="77777777" w:rsidR="0027368E" w:rsidRPr="007143FE" w:rsidRDefault="0027368E" w:rsidP="0027368E">
      <w:pPr>
        <w:widowControl w:val="0"/>
        <w:autoSpaceDE w:val="0"/>
        <w:autoSpaceDN w:val="0"/>
        <w:adjustRightInd w:val="0"/>
        <w:spacing w:after="0"/>
        <w:jc w:val="both"/>
        <w:rPr>
          <w:rFonts w:eastAsia="Times New Roman"/>
          <w:color w:val="000000" w:themeColor="text1"/>
          <w:szCs w:val="24"/>
          <w:lang w:val="de-DE"/>
        </w:rPr>
      </w:pPr>
      <w:r w:rsidRPr="007143FE">
        <w:rPr>
          <w:rFonts w:eastAsia="Times New Roman"/>
          <w:b/>
          <w:color w:val="000000" w:themeColor="text1"/>
          <w:szCs w:val="24"/>
          <w:lang w:val="en-GB"/>
        </w:rPr>
        <w:t xml:space="preserve">Park DC, Reuter-Lorenz P. </w:t>
      </w:r>
      <w:r w:rsidRPr="007143FE">
        <w:rPr>
          <w:rFonts w:eastAsia="Times New Roman"/>
          <w:color w:val="000000" w:themeColor="text1"/>
          <w:szCs w:val="24"/>
          <w:lang w:val="en-GB"/>
        </w:rPr>
        <w:t xml:space="preserve">The adaptive brain: aging and neurocognitive scaffolding. </w:t>
      </w:r>
      <w:r w:rsidR="003D2674" w:rsidRPr="007143FE">
        <w:rPr>
          <w:rFonts w:eastAsia="Times New Roman"/>
          <w:i/>
          <w:color w:val="000000" w:themeColor="text1"/>
          <w:szCs w:val="24"/>
          <w:lang w:val="de-DE"/>
        </w:rPr>
        <w:t>Annu Rev Psychol</w:t>
      </w:r>
      <w:r w:rsidR="003D2674" w:rsidRPr="007143FE">
        <w:rPr>
          <w:rFonts w:eastAsia="Times New Roman"/>
          <w:color w:val="000000" w:themeColor="text1"/>
          <w:szCs w:val="24"/>
          <w:lang w:val="de-DE"/>
        </w:rPr>
        <w:t xml:space="preserve"> 60: 173–96, 2009.</w:t>
      </w:r>
    </w:p>
    <w:p w14:paraId="54533E83" w14:textId="77777777" w:rsidR="00536006" w:rsidRPr="00C827B9" w:rsidRDefault="00536006" w:rsidP="00715EE9">
      <w:pPr>
        <w:widowControl w:val="0"/>
        <w:autoSpaceDE w:val="0"/>
        <w:autoSpaceDN w:val="0"/>
        <w:adjustRightInd w:val="0"/>
        <w:spacing w:after="0"/>
        <w:jc w:val="both"/>
        <w:rPr>
          <w:rFonts w:eastAsia="Times New Roman"/>
          <w:szCs w:val="24"/>
          <w:lang w:val="de-DE"/>
        </w:rPr>
      </w:pPr>
      <w:r w:rsidRPr="00C827B9">
        <w:rPr>
          <w:rFonts w:eastAsia="Times New Roman"/>
          <w:b/>
          <w:szCs w:val="24"/>
          <w:lang w:val="de-DE"/>
        </w:rPr>
        <w:t>Perez MA</w:t>
      </w:r>
      <w:r w:rsidRPr="00C827B9">
        <w:rPr>
          <w:rFonts w:eastAsia="Times New Roman"/>
          <w:szCs w:val="24"/>
          <w:lang w:val="de-DE"/>
        </w:rPr>
        <w:t xml:space="preserve">, </w:t>
      </w:r>
      <w:r w:rsidRPr="00C827B9">
        <w:rPr>
          <w:rFonts w:eastAsia="Times New Roman"/>
          <w:b/>
          <w:szCs w:val="24"/>
          <w:lang w:val="de-DE"/>
        </w:rPr>
        <w:t>Lungholt BKS</w:t>
      </w:r>
      <w:r w:rsidRPr="00C827B9">
        <w:rPr>
          <w:rFonts w:eastAsia="Times New Roman"/>
          <w:szCs w:val="24"/>
          <w:lang w:val="de-DE"/>
        </w:rPr>
        <w:t xml:space="preserve">, </w:t>
      </w:r>
      <w:r w:rsidRPr="00C827B9">
        <w:rPr>
          <w:rFonts w:eastAsia="Times New Roman"/>
          <w:b/>
          <w:szCs w:val="24"/>
          <w:lang w:val="de-DE"/>
        </w:rPr>
        <w:t>Nyborg K</w:t>
      </w:r>
      <w:r w:rsidRPr="00C827B9">
        <w:rPr>
          <w:rFonts w:eastAsia="Times New Roman"/>
          <w:szCs w:val="24"/>
          <w:lang w:val="de-DE"/>
        </w:rPr>
        <w:t xml:space="preserve">, </w:t>
      </w:r>
      <w:r w:rsidRPr="00C827B9">
        <w:rPr>
          <w:rFonts w:eastAsia="Times New Roman"/>
          <w:b/>
          <w:szCs w:val="24"/>
          <w:lang w:val="de-DE"/>
        </w:rPr>
        <w:t>Nielsen JB</w:t>
      </w:r>
      <w:r w:rsidRPr="00C827B9">
        <w:rPr>
          <w:rFonts w:eastAsia="Times New Roman"/>
          <w:szCs w:val="24"/>
          <w:lang w:val="de-DE"/>
        </w:rPr>
        <w:t xml:space="preserve">. </w:t>
      </w:r>
      <w:r w:rsidRPr="00C827B9">
        <w:rPr>
          <w:rFonts w:eastAsia="Times New Roman"/>
          <w:szCs w:val="24"/>
          <w:lang w:val="en-US"/>
        </w:rPr>
        <w:t xml:space="preserve">Motor skill training induces changes in the </w:t>
      </w:r>
      <w:r w:rsidRPr="00C827B9">
        <w:rPr>
          <w:rFonts w:eastAsia="Times New Roman"/>
          <w:szCs w:val="24"/>
          <w:lang w:val="en-US"/>
        </w:rPr>
        <w:lastRenderedPageBreak/>
        <w:t xml:space="preserve">excitability of the leg cortical area in healthy humans. </w:t>
      </w:r>
      <w:r w:rsidRPr="00C827B9">
        <w:rPr>
          <w:rFonts w:eastAsia="Times New Roman"/>
          <w:i/>
          <w:szCs w:val="24"/>
          <w:lang w:val="de-DE"/>
        </w:rPr>
        <w:t>Exp Brain Res</w:t>
      </w:r>
      <w:r w:rsidRPr="00C827B9">
        <w:rPr>
          <w:rFonts w:eastAsia="Times New Roman"/>
          <w:szCs w:val="24"/>
          <w:lang w:val="de-DE"/>
        </w:rPr>
        <w:t xml:space="preserve"> 159: 197–205, 2004.</w:t>
      </w:r>
    </w:p>
    <w:p w14:paraId="18920447"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de-DE"/>
        </w:rPr>
        <w:t>Persch LN</w:t>
      </w:r>
      <w:r w:rsidRPr="00C827B9">
        <w:rPr>
          <w:rFonts w:eastAsia="Times New Roman"/>
          <w:szCs w:val="24"/>
          <w:lang w:val="de-DE"/>
        </w:rPr>
        <w:t xml:space="preserve">, </w:t>
      </w:r>
      <w:r w:rsidRPr="00C827B9">
        <w:rPr>
          <w:rFonts w:eastAsia="Times New Roman"/>
          <w:b/>
          <w:szCs w:val="24"/>
          <w:lang w:val="de-DE"/>
        </w:rPr>
        <w:t>Ugrinowitsch C</w:t>
      </w:r>
      <w:r w:rsidRPr="00C827B9">
        <w:rPr>
          <w:rFonts w:eastAsia="Times New Roman"/>
          <w:szCs w:val="24"/>
          <w:lang w:val="de-DE"/>
        </w:rPr>
        <w:t xml:space="preserve">, </w:t>
      </w:r>
      <w:r w:rsidRPr="00C827B9">
        <w:rPr>
          <w:rFonts w:eastAsia="Times New Roman"/>
          <w:b/>
          <w:szCs w:val="24"/>
          <w:lang w:val="de-DE"/>
        </w:rPr>
        <w:t>Pereira G</w:t>
      </w:r>
      <w:r w:rsidRPr="00C827B9">
        <w:rPr>
          <w:rFonts w:eastAsia="Times New Roman"/>
          <w:szCs w:val="24"/>
          <w:lang w:val="de-DE"/>
        </w:rPr>
        <w:t xml:space="preserve">, </w:t>
      </w:r>
      <w:r w:rsidRPr="00C827B9">
        <w:rPr>
          <w:rFonts w:eastAsia="Times New Roman"/>
          <w:b/>
          <w:szCs w:val="24"/>
          <w:lang w:val="de-DE"/>
        </w:rPr>
        <w:t>Rodacki ALF</w:t>
      </w:r>
      <w:r w:rsidRPr="00C827B9">
        <w:rPr>
          <w:rFonts w:eastAsia="Times New Roman"/>
          <w:szCs w:val="24"/>
          <w:lang w:val="de-DE"/>
        </w:rPr>
        <w:t xml:space="preserve">. </w:t>
      </w:r>
      <w:r w:rsidRPr="00C827B9">
        <w:rPr>
          <w:rFonts w:eastAsia="Times New Roman"/>
          <w:szCs w:val="24"/>
          <w:lang w:val="en-US"/>
        </w:rPr>
        <w:t xml:space="preserve">Strength training improves fall-related gait kinematics in the elderly: A randomized controlled trial. </w:t>
      </w:r>
      <w:r w:rsidRPr="00C827B9">
        <w:rPr>
          <w:rFonts w:eastAsia="Times New Roman"/>
          <w:i/>
          <w:szCs w:val="24"/>
          <w:lang w:val="en-US"/>
        </w:rPr>
        <w:t>Clin Biomech</w:t>
      </w:r>
      <w:r w:rsidRPr="00C827B9">
        <w:rPr>
          <w:rFonts w:eastAsia="Times New Roman"/>
          <w:szCs w:val="24"/>
          <w:lang w:val="en-US"/>
        </w:rPr>
        <w:t xml:space="preserve"> 24: 819–825, 2009.</w:t>
      </w:r>
    </w:p>
    <w:p w14:paraId="34BAE5B8"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GB"/>
        </w:rPr>
        <w:t>Pijnappels M</w:t>
      </w:r>
      <w:r w:rsidRPr="00C827B9">
        <w:rPr>
          <w:rFonts w:eastAsia="Times New Roman"/>
          <w:szCs w:val="24"/>
          <w:lang w:val="en-GB"/>
        </w:rPr>
        <w:t xml:space="preserve">, </w:t>
      </w:r>
      <w:r w:rsidRPr="00C827B9">
        <w:rPr>
          <w:rFonts w:eastAsia="Times New Roman"/>
          <w:b/>
          <w:szCs w:val="24"/>
          <w:lang w:val="en-GB"/>
        </w:rPr>
        <w:t>Bobbert MF</w:t>
      </w:r>
      <w:r w:rsidRPr="00C827B9">
        <w:rPr>
          <w:rFonts w:eastAsia="Times New Roman"/>
          <w:szCs w:val="24"/>
          <w:lang w:val="en-GB"/>
        </w:rPr>
        <w:t xml:space="preserve">, </w:t>
      </w:r>
      <w:r w:rsidRPr="00C827B9">
        <w:rPr>
          <w:rFonts w:eastAsia="Times New Roman"/>
          <w:b/>
          <w:szCs w:val="24"/>
          <w:lang w:val="en-GB"/>
        </w:rPr>
        <w:t>Van Dieën JH</w:t>
      </w:r>
      <w:r w:rsidRPr="00C827B9">
        <w:rPr>
          <w:rFonts w:eastAsia="Times New Roman"/>
          <w:szCs w:val="24"/>
          <w:lang w:val="en-GB"/>
        </w:rPr>
        <w:t xml:space="preserve">. </w:t>
      </w:r>
      <w:r w:rsidRPr="00C827B9">
        <w:rPr>
          <w:rFonts w:eastAsia="Times New Roman"/>
          <w:szCs w:val="24"/>
          <w:lang w:val="en-US"/>
        </w:rPr>
        <w:t xml:space="preserve">Contribution of the support limb in control of angular momentum after tripping. </w:t>
      </w:r>
      <w:r w:rsidRPr="00C827B9">
        <w:rPr>
          <w:rFonts w:eastAsia="Times New Roman"/>
          <w:i/>
          <w:szCs w:val="24"/>
          <w:lang w:val="en-US"/>
        </w:rPr>
        <w:t>J Biomech</w:t>
      </w:r>
      <w:r w:rsidRPr="00C827B9">
        <w:rPr>
          <w:rFonts w:eastAsia="Times New Roman"/>
          <w:szCs w:val="24"/>
          <w:lang w:val="en-US"/>
        </w:rPr>
        <w:t xml:space="preserve"> 37: 1811–1818, 2004.</w:t>
      </w:r>
    </w:p>
    <w:p w14:paraId="010B9A17"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Pijnappels M</w:t>
      </w:r>
      <w:r w:rsidRPr="00C827B9">
        <w:rPr>
          <w:rFonts w:eastAsia="Times New Roman"/>
          <w:szCs w:val="24"/>
          <w:lang w:val="en-US"/>
        </w:rPr>
        <w:t xml:space="preserve">, </w:t>
      </w:r>
      <w:r w:rsidRPr="00C827B9">
        <w:rPr>
          <w:rFonts w:eastAsia="Times New Roman"/>
          <w:b/>
          <w:szCs w:val="24"/>
          <w:lang w:val="en-US"/>
        </w:rPr>
        <w:t>Bobbert MF</w:t>
      </w:r>
      <w:r w:rsidRPr="00C827B9">
        <w:rPr>
          <w:rFonts w:eastAsia="Times New Roman"/>
          <w:szCs w:val="24"/>
          <w:lang w:val="en-US"/>
        </w:rPr>
        <w:t xml:space="preserve">, </w:t>
      </w:r>
      <w:r w:rsidRPr="00C827B9">
        <w:rPr>
          <w:rFonts w:eastAsia="Times New Roman"/>
          <w:b/>
          <w:szCs w:val="24"/>
          <w:lang w:val="en-US"/>
        </w:rPr>
        <w:t>Van Dieën JH</w:t>
      </w:r>
      <w:r w:rsidRPr="00C827B9">
        <w:rPr>
          <w:rFonts w:eastAsia="Times New Roman"/>
          <w:szCs w:val="24"/>
          <w:lang w:val="en-US"/>
        </w:rPr>
        <w:t xml:space="preserve">. Push-off reactions in recovery after tripping discriminate young subjects, older non-fallers and older fallers. </w:t>
      </w:r>
      <w:r w:rsidRPr="00C827B9">
        <w:rPr>
          <w:rFonts w:eastAsia="Times New Roman"/>
          <w:i/>
          <w:szCs w:val="24"/>
          <w:lang w:val="en-US"/>
        </w:rPr>
        <w:t>Gait Posture</w:t>
      </w:r>
      <w:r w:rsidRPr="00C827B9">
        <w:rPr>
          <w:rFonts w:eastAsia="Times New Roman"/>
          <w:szCs w:val="24"/>
          <w:lang w:val="en-US"/>
        </w:rPr>
        <w:t xml:space="preserve"> 21: 388–394, 2005a.</w:t>
      </w:r>
    </w:p>
    <w:p w14:paraId="35231A74"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GB"/>
        </w:rPr>
        <w:t>Pijnappels M</w:t>
      </w:r>
      <w:r w:rsidRPr="00C827B9">
        <w:rPr>
          <w:rFonts w:eastAsia="Times New Roman"/>
          <w:szCs w:val="24"/>
          <w:lang w:val="en-GB"/>
        </w:rPr>
        <w:t xml:space="preserve">, </w:t>
      </w:r>
      <w:r w:rsidRPr="00C827B9">
        <w:rPr>
          <w:rFonts w:eastAsia="Times New Roman"/>
          <w:b/>
          <w:szCs w:val="24"/>
          <w:lang w:val="en-GB"/>
        </w:rPr>
        <w:t>Bobbert MF</w:t>
      </w:r>
      <w:r w:rsidRPr="00C827B9">
        <w:rPr>
          <w:rFonts w:eastAsia="Times New Roman"/>
          <w:szCs w:val="24"/>
          <w:lang w:val="en-GB"/>
        </w:rPr>
        <w:t xml:space="preserve">, </w:t>
      </w:r>
      <w:r w:rsidRPr="00C827B9">
        <w:rPr>
          <w:rFonts w:eastAsia="Times New Roman"/>
          <w:b/>
          <w:szCs w:val="24"/>
          <w:lang w:val="en-GB"/>
        </w:rPr>
        <w:t>Van Dieën JH</w:t>
      </w:r>
      <w:r w:rsidRPr="00C827B9">
        <w:rPr>
          <w:rFonts w:eastAsia="Times New Roman"/>
          <w:szCs w:val="24"/>
          <w:lang w:val="en-GB"/>
        </w:rPr>
        <w:t xml:space="preserve">. </w:t>
      </w:r>
      <w:r w:rsidRPr="00C827B9">
        <w:rPr>
          <w:rFonts w:eastAsia="Times New Roman"/>
          <w:szCs w:val="24"/>
          <w:lang w:val="en-US"/>
        </w:rPr>
        <w:t xml:space="preserve">Control of support limb muscles in recovery after tripping in young and older subjects. </w:t>
      </w:r>
      <w:r w:rsidRPr="00C827B9">
        <w:rPr>
          <w:rFonts w:eastAsia="Times New Roman"/>
          <w:i/>
          <w:szCs w:val="24"/>
          <w:lang w:val="en-US"/>
        </w:rPr>
        <w:t>Exp Brain Res</w:t>
      </w:r>
      <w:r w:rsidRPr="00C827B9">
        <w:rPr>
          <w:rFonts w:eastAsia="Times New Roman"/>
          <w:szCs w:val="24"/>
          <w:lang w:val="en-US"/>
        </w:rPr>
        <w:t xml:space="preserve"> 160: 326–333, 2005b.</w:t>
      </w:r>
    </w:p>
    <w:p w14:paraId="1EBAB387" w14:textId="77777777" w:rsidR="001333A5" w:rsidRPr="00C827B9" w:rsidRDefault="001333A5" w:rsidP="00715EE9">
      <w:pPr>
        <w:widowControl w:val="0"/>
        <w:autoSpaceDE w:val="0"/>
        <w:autoSpaceDN w:val="0"/>
        <w:adjustRightInd w:val="0"/>
        <w:spacing w:after="0"/>
        <w:jc w:val="both"/>
        <w:rPr>
          <w:noProof/>
          <w:szCs w:val="24"/>
          <w:lang w:val="en-US"/>
        </w:rPr>
      </w:pPr>
      <w:r w:rsidRPr="00C827B9">
        <w:rPr>
          <w:b/>
          <w:noProof/>
          <w:szCs w:val="24"/>
          <w:lang w:val="en-US"/>
        </w:rPr>
        <w:t>Reeves ND, Maganaris CN, Narici MV.</w:t>
      </w:r>
      <w:r w:rsidRPr="00C827B9">
        <w:rPr>
          <w:noProof/>
          <w:szCs w:val="24"/>
          <w:lang w:val="en-US"/>
        </w:rPr>
        <w:t xml:space="preserve"> Effect of strength training on human patella tendon mechanical properties of older individuals. </w:t>
      </w:r>
      <w:r w:rsidRPr="00C827B9">
        <w:rPr>
          <w:i/>
          <w:iCs/>
          <w:noProof/>
          <w:szCs w:val="24"/>
          <w:lang w:val="en-US"/>
        </w:rPr>
        <w:t>J Physiol</w:t>
      </w:r>
      <w:r w:rsidR="00177219" w:rsidRPr="00C827B9">
        <w:rPr>
          <w:noProof/>
          <w:szCs w:val="24"/>
          <w:lang w:val="en-US"/>
        </w:rPr>
        <w:t xml:space="preserve"> </w:t>
      </w:r>
      <w:r w:rsidRPr="00C827B9">
        <w:rPr>
          <w:noProof/>
          <w:szCs w:val="24"/>
          <w:lang w:val="en-US"/>
        </w:rPr>
        <w:t>548</w:t>
      </w:r>
      <w:r w:rsidR="00177219" w:rsidRPr="00C827B9">
        <w:rPr>
          <w:noProof/>
          <w:szCs w:val="24"/>
          <w:lang w:val="en-US"/>
        </w:rPr>
        <w:t>: 971-981, 2003.</w:t>
      </w:r>
    </w:p>
    <w:p w14:paraId="04E766D7" w14:textId="0BD91FB9"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Sale M V</w:t>
      </w:r>
      <w:r w:rsidRPr="00C827B9">
        <w:rPr>
          <w:rFonts w:eastAsia="Times New Roman"/>
          <w:szCs w:val="24"/>
          <w:lang w:val="en-US"/>
        </w:rPr>
        <w:t xml:space="preserve">, </w:t>
      </w:r>
      <w:r w:rsidRPr="00C827B9">
        <w:rPr>
          <w:rFonts w:eastAsia="Times New Roman"/>
          <w:b/>
          <w:szCs w:val="24"/>
          <w:lang w:val="en-US"/>
        </w:rPr>
        <w:t>Semmler JG</w:t>
      </w:r>
      <w:r w:rsidRPr="00C827B9">
        <w:rPr>
          <w:rFonts w:eastAsia="Times New Roman"/>
          <w:szCs w:val="24"/>
          <w:lang w:val="en-US"/>
        </w:rPr>
        <w:t>. Age-related differences in corticospinal control during functional isometric contractions in left and right hands</w:t>
      </w:r>
      <w:r w:rsidRPr="00C827B9">
        <w:rPr>
          <w:rFonts w:eastAsia="Times New Roman"/>
          <w:color w:val="000000" w:themeColor="text1"/>
          <w:szCs w:val="24"/>
          <w:lang w:val="en-US"/>
        </w:rPr>
        <w:t>.</w:t>
      </w:r>
      <w:r w:rsidRPr="00C827B9">
        <w:rPr>
          <w:rFonts w:eastAsia="Times New Roman"/>
          <w:szCs w:val="24"/>
          <w:lang w:val="en-US"/>
        </w:rPr>
        <w:t xml:space="preserve"> </w:t>
      </w:r>
      <w:r w:rsidRPr="00C827B9">
        <w:rPr>
          <w:rFonts w:eastAsia="Times New Roman"/>
          <w:i/>
          <w:szCs w:val="24"/>
          <w:lang w:val="en-US"/>
        </w:rPr>
        <w:t>J Appl Physiol</w:t>
      </w:r>
      <w:r w:rsidRPr="00C827B9">
        <w:rPr>
          <w:rFonts w:eastAsia="Times New Roman"/>
          <w:szCs w:val="24"/>
          <w:lang w:val="en-US"/>
        </w:rPr>
        <w:t xml:space="preserve"> 99: 1483–1493, 2005.</w:t>
      </w:r>
    </w:p>
    <w:p w14:paraId="2FE126BD" w14:textId="23044433" w:rsidR="00D22E86" w:rsidRPr="007143FE" w:rsidRDefault="00D22E86" w:rsidP="00C208F7">
      <w:pPr>
        <w:widowControl w:val="0"/>
        <w:autoSpaceDE w:val="0"/>
        <w:autoSpaceDN w:val="0"/>
        <w:adjustRightInd w:val="0"/>
        <w:spacing w:after="0"/>
        <w:jc w:val="both"/>
        <w:rPr>
          <w:rFonts w:eastAsia="Times New Roman"/>
          <w:color w:val="000000" w:themeColor="text1"/>
          <w:szCs w:val="24"/>
          <w:lang w:val="en-GB"/>
        </w:rPr>
      </w:pPr>
      <w:r w:rsidRPr="007143FE">
        <w:rPr>
          <w:rFonts w:eastAsia="Times New Roman"/>
          <w:b/>
          <w:color w:val="000000" w:themeColor="text1"/>
          <w:szCs w:val="24"/>
          <w:lang w:val="en-GB"/>
        </w:rPr>
        <w:t xml:space="preserve">Shadmehr R, Smith MA, Krakauer JW. </w:t>
      </w:r>
      <w:r w:rsidRPr="007143FE">
        <w:rPr>
          <w:rFonts w:eastAsia="Times New Roman"/>
          <w:color w:val="000000" w:themeColor="text1"/>
          <w:szCs w:val="24"/>
          <w:lang w:val="en-GB"/>
        </w:rPr>
        <w:t xml:space="preserve">Error correction, sensory prediction, and adaptation in motor control. </w:t>
      </w:r>
      <w:r w:rsidRPr="007143FE">
        <w:rPr>
          <w:rFonts w:eastAsia="Times New Roman"/>
          <w:i/>
          <w:color w:val="000000" w:themeColor="text1"/>
          <w:szCs w:val="24"/>
          <w:lang w:val="en-GB"/>
        </w:rPr>
        <w:t>Annu Rev Neurosci</w:t>
      </w:r>
      <w:r w:rsidRPr="007143FE">
        <w:rPr>
          <w:rFonts w:eastAsia="Times New Roman"/>
          <w:color w:val="000000" w:themeColor="text1"/>
          <w:szCs w:val="24"/>
          <w:lang w:val="en-GB"/>
        </w:rPr>
        <w:t xml:space="preserve"> 33: 89–108, 2010.</w:t>
      </w:r>
    </w:p>
    <w:p w14:paraId="34DB5F38"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Sherrington C</w:t>
      </w:r>
      <w:r w:rsidRPr="00C827B9">
        <w:rPr>
          <w:rFonts w:eastAsia="Times New Roman"/>
          <w:szCs w:val="24"/>
          <w:lang w:val="en-US"/>
        </w:rPr>
        <w:t xml:space="preserve">, </w:t>
      </w:r>
      <w:r w:rsidRPr="00C827B9">
        <w:rPr>
          <w:rFonts w:eastAsia="Times New Roman"/>
          <w:b/>
          <w:szCs w:val="24"/>
          <w:lang w:val="en-US"/>
        </w:rPr>
        <w:t>Whitney JC</w:t>
      </w:r>
      <w:r w:rsidRPr="00C827B9">
        <w:rPr>
          <w:rFonts w:eastAsia="Times New Roman"/>
          <w:szCs w:val="24"/>
          <w:lang w:val="en-US"/>
        </w:rPr>
        <w:t xml:space="preserve">, </w:t>
      </w:r>
      <w:r w:rsidRPr="00C827B9">
        <w:rPr>
          <w:rFonts w:eastAsia="Times New Roman"/>
          <w:b/>
          <w:szCs w:val="24"/>
          <w:lang w:val="en-US"/>
        </w:rPr>
        <w:t>Lord SR</w:t>
      </w:r>
      <w:r w:rsidRPr="00C827B9">
        <w:rPr>
          <w:rFonts w:eastAsia="Times New Roman"/>
          <w:szCs w:val="24"/>
          <w:lang w:val="en-US"/>
        </w:rPr>
        <w:t xml:space="preserve">, </w:t>
      </w:r>
      <w:r w:rsidRPr="00C827B9">
        <w:rPr>
          <w:rFonts w:eastAsia="Times New Roman"/>
          <w:b/>
          <w:szCs w:val="24"/>
          <w:lang w:val="en-US"/>
        </w:rPr>
        <w:t>Herbert RD</w:t>
      </w:r>
      <w:r w:rsidRPr="00C827B9">
        <w:rPr>
          <w:rFonts w:eastAsia="Times New Roman"/>
          <w:szCs w:val="24"/>
          <w:lang w:val="en-US"/>
        </w:rPr>
        <w:t xml:space="preserve">, </w:t>
      </w:r>
      <w:r w:rsidRPr="00C827B9">
        <w:rPr>
          <w:rFonts w:eastAsia="Times New Roman"/>
          <w:b/>
          <w:szCs w:val="24"/>
          <w:lang w:val="en-US"/>
        </w:rPr>
        <w:t>Cumming RG</w:t>
      </w:r>
      <w:r w:rsidRPr="00C827B9">
        <w:rPr>
          <w:rFonts w:eastAsia="Times New Roman"/>
          <w:szCs w:val="24"/>
          <w:lang w:val="en-US"/>
        </w:rPr>
        <w:t xml:space="preserve">, </w:t>
      </w:r>
      <w:r w:rsidRPr="00C827B9">
        <w:rPr>
          <w:rFonts w:eastAsia="Times New Roman"/>
          <w:b/>
          <w:szCs w:val="24"/>
          <w:lang w:val="en-US"/>
        </w:rPr>
        <w:t>Close JCT</w:t>
      </w:r>
      <w:r w:rsidRPr="00C827B9">
        <w:rPr>
          <w:rFonts w:eastAsia="Times New Roman"/>
          <w:szCs w:val="24"/>
          <w:lang w:val="en-US"/>
        </w:rPr>
        <w:t xml:space="preserve">. Effective exercise for the prevention of falls: A systematic review and meta-analysis. </w:t>
      </w:r>
      <w:r w:rsidRPr="00C827B9">
        <w:rPr>
          <w:rFonts w:eastAsia="Times New Roman"/>
          <w:i/>
          <w:szCs w:val="24"/>
          <w:lang w:val="en-US"/>
        </w:rPr>
        <w:t>J Am Geriatr Soc</w:t>
      </w:r>
      <w:r w:rsidRPr="00C827B9">
        <w:rPr>
          <w:rFonts w:eastAsia="Times New Roman"/>
          <w:szCs w:val="24"/>
          <w:lang w:val="en-US"/>
        </w:rPr>
        <w:t xml:space="preserve"> 56: 2234–2243, 2008.</w:t>
      </w:r>
    </w:p>
    <w:p w14:paraId="5EE0B81E" w14:textId="77777777" w:rsidR="0040087D" w:rsidRPr="00C827B9" w:rsidRDefault="0040087D"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Stenroth L, Peltonen J, Cronin NJ, Sipilä S, Finni T.</w:t>
      </w:r>
      <w:r w:rsidRPr="00C827B9">
        <w:rPr>
          <w:rFonts w:eastAsia="Times New Roman"/>
          <w:szCs w:val="24"/>
          <w:lang w:val="en-US"/>
        </w:rPr>
        <w:t xml:space="preserve"> Age-related differences in Achilles tendon properties and triceps surae muscle architecture in vivo. </w:t>
      </w:r>
      <w:r w:rsidRPr="00C827B9">
        <w:rPr>
          <w:rFonts w:eastAsia="Times New Roman"/>
          <w:i/>
          <w:szCs w:val="24"/>
          <w:lang w:val="en-US"/>
        </w:rPr>
        <w:t>J Appl Physiol</w:t>
      </w:r>
      <w:r w:rsidRPr="00C827B9">
        <w:rPr>
          <w:rFonts w:eastAsia="Times New Roman"/>
          <w:szCs w:val="24"/>
          <w:lang w:val="en-US"/>
        </w:rPr>
        <w:t xml:space="preserve"> 113: 1537–44, 2012.</w:t>
      </w:r>
    </w:p>
    <w:p w14:paraId="6E044065" w14:textId="4B921636"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Süptitz F</w:t>
      </w:r>
      <w:r w:rsidRPr="00C827B9">
        <w:rPr>
          <w:rFonts w:eastAsia="Times New Roman"/>
          <w:szCs w:val="24"/>
          <w:lang w:val="en-US"/>
        </w:rPr>
        <w:t xml:space="preserve">, </w:t>
      </w:r>
      <w:r w:rsidRPr="00C827B9">
        <w:rPr>
          <w:rFonts w:eastAsia="Times New Roman"/>
          <w:b/>
          <w:szCs w:val="24"/>
          <w:lang w:val="en-US"/>
        </w:rPr>
        <w:t>Catalá MM</w:t>
      </w:r>
      <w:r w:rsidRPr="00C827B9">
        <w:rPr>
          <w:rFonts w:eastAsia="Times New Roman"/>
          <w:szCs w:val="24"/>
          <w:lang w:val="en-US"/>
        </w:rPr>
        <w:t xml:space="preserve">, </w:t>
      </w:r>
      <w:r w:rsidRPr="00C827B9">
        <w:rPr>
          <w:rFonts w:eastAsia="Times New Roman"/>
          <w:b/>
          <w:szCs w:val="24"/>
          <w:lang w:val="en-US"/>
        </w:rPr>
        <w:t>Brüggemann G</w:t>
      </w:r>
      <w:r w:rsidR="00D671E6" w:rsidRPr="00D671E6">
        <w:rPr>
          <w:rFonts w:eastAsia="Times New Roman"/>
          <w:b/>
          <w:color w:val="000000" w:themeColor="text1"/>
          <w:szCs w:val="24"/>
          <w:lang w:val="en-GB"/>
        </w:rPr>
        <w:t>-</w:t>
      </w:r>
      <w:r w:rsidRPr="00C827B9">
        <w:rPr>
          <w:rFonts w:eastAsia="Times New Roman"/>
          <w:b/>
          <w:szCs w:val="24"/>
          <w:lang w:val="en-US"/>
        </w:rPr>
        <w:t>P</w:t>
      </w:r>
      <w:r w:rsidRPr="00C827B9">
        <w:rPr>
          <w:rFonts w:eastAsia="Times New Roman"/>
          <w:szCs w:val="24"/>
          <w:lang w:val="en-US"/>
        </w:rPr>
        <w:t xml:space="preserve">, </w:t>
      </w:r>
      <w:r w:rsidRPr="00C827B9">
        <w:rPr>
          <w:rFonts w:eastAsia="Times New Roman"/>
          <w:b/>
          <w:szCs w:val="24"/>
          <w:lang w:val="en-US"/>
        </w:rPr>
        <w:t>Karamanidis K</w:t>
      </w:r>
      <w:r w:rsidRPr="00C827B9">
        <w:rPr>
          <w:rFonts w:eastAsia="Times New Roman"/>
          <w:szCs w:val="24"/>
          <w:lang w:val="en-US"/>
        </w:rPr>
        <w:t xml:space="preserve">. Dynamic stability control during perturbed walking can be assessed by a reduced kinematic model across the adult female lifespan. </w:t>
      </w:r>
      <w:r w:rsidRPr="00C827B9">
        <w:rPr>
          <w:rFonts w:eastAsia="Times New Roman"/>
          <w:i/>
          <w:szCs w:val="24"/>
          <w:lang w:val="en-US"/>
        </w:rPr>
        <w:t>Hum Mov Sci</w:t>
      </w:r>
      <w:r w:rsidRPr="00C827B9">
        <w:rPr>
          <w:rFonts w:eastAsia="Times New Roman"/>
          <w:szCs w:val="24"/>
          <w:lang w:val="en-US"/>
        </w:rPr>
        <w:t xml:space="preserve"> 32: 1404–1414, 2013.</w:t>
      </w:r>
    </w:p>
    <w:p w14:paraId="3427594E" w14:textId="23DA8A91" w:rsidR="00536006" w:rsidRPr="00C827B9" w:rsidRDefault="00536006" w:rsidP="00715EE9">
      <w:pPr>
        <w:widowControl w:val="0"/>
        <w:autoSpaceDE w:val="0"/>
        <w:autoSpaceDN w:val="0"/>
        <w:adjustRightInd w:val="0"/>
        <w:spacing w:after="0"/>
        <w:jc w:val="both"/>
        <w:rPr>
          <w:rFonts w:eastAsia="Times New Roman"/>
          <w:szCs w:val="24"/>
          <w:lang w:val="en-US"/>
        </w:rPr>
      </w:pPr>
      <w:r w:rsidRPr="00966039">
        <w:rPr>
          <w:rFonts w:eastAsia="Times New Roman"/>
          <w:b/>
          <w:szCs w:val="24"/>
          <w:lang w:val="en-US"/>
        </w:rPr>
        <w:lastRenderedPageBreak/>
        <w:t>Süptitz F</w:t>
      </w:r>
      <w:r w:rsidRPr="00966039">
        <w:rPr>
          <w:rFonts w:eastAsia="Times New Roman"/>
          <w:szCs w:val="24"/>
          <w:lang w:val="en-US"/>
        </w:rPr>
        <w:t xml:space="preserve">, </w:t>
      </w:r>
      <w:r w:rsidRPr="00966039">
        <w:rPr>
          <w:rFonts w:eastAsia="Times New Roman"/>
          <w:b/>
          <w:szCs w:val="24"/>
          <w:lang w:val="en-US"/>
        </w:rPr>
        <w:t>Karamanidis K</w:t>
      </w:r>
      <w:r w:rsidRPr="00966039">
        <w:rPr>
          <w:rFonts w:eastAsia="Times New Roman"/>
          <w:szCs w:val="24"/>
          <w:lang w:val="en-US"/>
        </w:rPr>
        <w:t xml:space="preserve">, </w:t>
      </w:r>
      <w:r w:rsidRPr="00966039">
        <w:rPr>
          <w:rFonts w:eastAsia="Times New Roman"/>
          <w:b/>
          <w:szCs w:val="24"/>
          <w:lang w:val="en-US"/>
        </w:rPr>
        <w:t>Catalá MM</w:t>
      </w:r>
      <w:r w:rsidRPr="00966039">
        <w:rPr>
          <w:rFonts w:eastAsia="Times New Roman"/>
          <w:szCs w:val="24"/>
          <w:lang w:val="en-US"/>
        </w:rPr>
        <w:t xml:space="preserve">, </w:t>
      </w:r>
      <w:r w:rsidRPr="00966039">
        <w:rPr>
          <w:rFonts w:eastAsia="Times New Roman"/>
          <w:b/>
          <w:szCs w:val="24"/>
          <w:lang w:val="en-US"/>
        </w:rPr>
        <w:t>Brüggemann G</w:t>
      </w:r>
      <w:r w:rsidR="00D671E6" w:rsidRPr="00966039">
        <w:rPr>
          <w:rFonts w:eastAsia="Times New Roman"/>
          <w:b/>
          <w:color w:val="000000" w:themeColor="text1"/>
          <w:szCs w:val="24"/>
          <w:lang w:val="en-US"/>
        </w:rPr>
        <w:t>-</w:t>
      </w:r>
      <w:r w:rsidRPr="00966039">
        <w:rPr>
          <w:rFonts w:eastAsia="Times New Roman"/>
          <w:b/>
          <w:szCs w:val="24"/>
          <w:lang w:val="en-US"/>
        </w:rPr>
        <w:t>P</w:t>
      </w:r>
      <w:r w:rsidRPr="00966039">
        <w:rPr>
          <w:rFonts w:eastAsia="Times New Roman"/>
          <w:szCs w:val="24"/>
          <w:lang w:val="en-US"/>
        </w:rPr>
        <w:t xml:space="preserve">. </w:t>
      </w:r>
      <w:r w:rsidRPr="00C827B9">
        <w:rPr>
          <w:rFonts w:eastAsia="Times New Roman"/>
          <w:szCs w:val="24"/>
          <w:lang w:val="en-US"/>
        </w:rPr>
        <w:t xml:space="preserve">Symmetry and reproducibility of the components of dynamic stability in young adults at different walking velocities on the treadmill. </w:t>
      </w:r>
      <w:r w:rsidRPr="00C827B9">
        <w:rPr>
          <w:rFonts w:eastAsia="Times New Roman"/>
          <w:i/>
          <w:szCs w:val="24"/>
          <w:lang w:val="en-US"/>
        </w:rPr>
        <w:t>J Electromyogr Kinesiol</w:t>
      </w:r>
      <w:r w:rsidRPr="00C827B9">
        <w:rPr>
          <w:rFonts w:eastAsia="Times New Roman"/>
          <w:szCs w:val="24"/>
          <w:lang w:val="en-US"/>
        </w:rPr>
        <w:t xml:space="preserve"> 22: 301–307, 2012.</w:t>
      </w:r>
    </w:p>
    <w:p w14:paraId="6499CD7D"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Talbot L a</w:t>
      </w:r>
      <w:r w:rsidRPr="00C827B9">
        <w:rPr>
          <w:rFonts w:eastAsia="Times New Roman"/>
          <w:szCs w:val="24"/>
          <w:lang w:val="en-US"/>
        </w:rPr>
        <w:t xml:space="preserve">, </w:t>
      </w:r>
      <w:r w:rsidRPr="00C827B9">
        <w:rPr>
          <w:rFonts w:eastAsia="Times New Roman"/>
          <w:b/>
          <w:szCs w:val="24"/>
          <w:lang w:val="en-US"/>
        </w:rPr>
        <w:t>Musiol RJ</w:t>
      </w:r>
      <w:r w:rsidRPr="00C827B9">
        <w:rPr>
          <w:rFonts w:eastAsia="Times New Roman"/>
          <w:szCs w:val="24"/>
          <w:lang w:val="en-US"/>
        </w:rPr>
        <w:t xml:space="preserve">, </w:t>
      </w:r>
      <w:r w:rsidRPr="00C827B9">
        <w:rPr>
          <w:rFonts w:eastAsia="Times New Roman"/>
          <w:b/>
          <w:szCs w:val="24"/>
          <w:lang w:val="en-US"/>
        </w:rPr>
        <w:t>Witham EK</w:t>
      </w:r>
      <w:r w:rsidRPr="00C827B9">
        <w:rPr>
          <w:rFonts w:eastAsia="Times New Roman"/>
          <w:szCs w:val="24"/>
          <w:lang w:val="en-US"/>
        </w:rPr>
        <w:t xml:space="preserve">, </w:t>
      </w:r>
      <w:r w:rsidRPr="00C827B9">
        <w:rPr>
          <w:rFonts w:eastAsia="Times New Roman"/>
          <w:b/>
          <w:szCs w:val="24"/>
          <w:lang w:val="en-US"/>
        </w:rPr>
        <w:t>Metter EJ</w:t>
      </w:r>
      <w:r w:rsidRPr="00C827B9">
        <w:rPr>
          <w:rFonts w:eastAsia="Times New Roman"/>
          <w:szCs w:val="24"/>
          <w:lang w:val="en-US"/>
        </w:rPr>
        <w:t xml:space="preserve">. Falls in young, middle-aged and older community dwelling adults: perceived cause, environmental factors and injury. </w:t>
      </w:r>
      <w:r w:rsidRPr="00C827B9">
        <w:rPr>
          <w:rFonts w:eastAsia="Times New Roman"/>
          <w:i/>
          <w:szCs w:val="24"/>
          <w:lang w:val="en-US"/>
        </w:rPr>
        <w:t>BMC Public Health</w:t>
      </w:r>
      <w:r w:rsidRPr="00C827B9">
        <w:rPr>
          <w:rFonts w:eastAsia="Times New Roman"/>
          <w:szCs w:val="24"/>
          <w:lang w:val="en-US"/>
        </w:rPr>
        <w:t xml:space="preserve"> 5: 86, 2005.</w:t>
      </w:r>
    </w:p>
    <w:p w14:paraId="7B6D3189"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Terroso M</w:t>
      </w:r>
      <w:r w:rsidRPr="00C827B9">
        <w:rPr>
          <w:rFonts w:eastAsia="Times New Roman"/>
          <w:szCs w:val="24"/>
          <w:lang w:val="en-US"/>
        </w:rPr>
        <w:t xml:space="preserve">, </w:t>
      </w:r>
      <w:r w:rsidRPr="00C827B9">
        <w:rPr>
          <w:rFonts w:eastAsia="Times New Roman"/>
          <w:b/>
          <w:szCs w:val="24"/>
          <w:lang w:val="en-US"/>
        </w:rPr>
        <w:t>Rosa N</w:t>
      </w:r>
      <w:r w:rsidRPr="00C827B9">
        <w:rPr>
          <w:rFonts w:eastAsia="Times New Roman"/>
          <w:szCs w:val="24"/>
          <w:lang w:val="en-US"/>
        </w:rPr>
        <w:t xml:space="preserve">, </w:t>
      </w:r>
      <w:r w:rsidRPr="00C827B9">
        <w:rPr>
          <w:rFonts w:eastAsia="Times New Roman"/>
          <w:b/>
          <w:szCs w:val="24"/>
          <w:lang w:val="en-US"/>
        </w:rPr>
        <w:t>Torres Marques A</w:t>
      </w:r>
      <w:r w:rsidRPr="00C827B9">
        <w:rPr>
          <w:rFonts w:eastAsia="Times New Roman"/>
          <w:szCs w:val="24"/>
          <w:lang w:val="en-US"/>
        </w:rPr>
        <w:t xml:space="preserve">, </w:t>
      </w:r>
      <w:r w:rsidRPr="00C827B9">
        <w:rPr>
          <w:rFonts w:eastAsia="Times New Roman"/>
          <w:b/>
          <w:szCs w:val="24"/>
          <w:lang w:val="en-US"/>
        </w:rPr>
        <w:t>Simoes R</w:t>
      </w:r>
      <w:r w:rsidRPr="00C827B9">
        <w:rPr>
          <w:rFonts w:eastAsia="Times New Roman"/>
          <w:szCs w:val="24"/>
          <w:lang w:val="en-US"/>
        </w:rPr>
        <w:t xml:space="preserve">. Physical consequences of falls in the elderly: A literature review from 1995 to 2010. </w:t>
      </w:r>
      <w:r w:rsidRPr="00C827B9">
        <w:rPr>
          <w:rFonts w:eastAsia="Times New Roman"/>
          <w:i/>
          <w:szCs w:val="24"/>
          <w:lang w:val="en-US"/>
        </w:rPr>
        <w:t>Eur Rev Aging Phys Act</w:t>
      </w:r>
      <w:r w:rsidRPr="00C827B9">
        <w:rPr>
          <w:rFonts w:eastAsia="Times New Roman"/>
          <w:szCs w:val="24"/>
          <w:lang w:val="en-US"/>
        </w:rPr>
        <w:t xml:space="preserve"> 11: 51–59, 2014.</w:t>
      </w:r>
    </w:p>
    <w:p w14:paraId="0746CFB4" w14:textId="77777777" w:rsidR="00536006" w:rsidRPr="00C827B9" w:rsidRDefault="00536006" w:rsidP="00715EE9">
      <w:pPr>
        <w:widowControl w:val="0"/>
        <w:autoSpaceDE w:val="0"/>
        <w:autoSpaceDN w:val="0"/>
        <w:adjustRightInd w:val="0"/>
        <w:spacing w:after="0"/>
        <w:jc w:val="both"/>
        <w:rPr>
          <w:rFonts w:eastAsia="Times New Roman"/>
          <w:szCs w:val="24"/>
          <w:lang w:val="de-DE"/>
        </w:rPr>
      </w:pPr>
      <w:r w:rsidRPr="00C827B9">
        <w:rPr>
          <w:rFonts w:eastAsia="Times New Roman"/>
          <w:b/>
          <w:szCs w:val="24"/>
          <w:lang w:val="en-US"/>
        </w:rPr>
        <w:t>Tinazzi M</w:t>
      </w:r>
      <w:r w:rsidRPr="00C827B9">
        <w:rPr>
          <w:rFonts w:eastAsia="Times New Roman"/>
          <w:szCs w:val="24"/>
          <w:lang w:val="en-US"/>
        </w:rPr>
        <w:t xml:space="preserve">, </w:t>
      </w:r>
      <w:r w:rsidRPr="00C827B9">
        <w:rPr>
          <w:rFonts w:eastAsia="Times New Roman"/>
          <w:b/>
          <w:szCs w:val="24"/>
          <w:lang w:val="en-US"/>
        </w:rPr>
        <w:t>Farina S</w:t>
      </w:r>
      <w:r w:rsidRPr="00C827B9">
        <w:rPr>
          <w:rFonts w:eastAsia="Times New Roman"/>
          <w:szCs w:val="24"/>
          <w:lang w:val="en-US"/>
        </w:rPr>
        <w:t xml:space="preserve">, </w:t>
      </w:r>
      <w:r w:rsidRPr="00C827B9">
        <w:rPr>
          <w:rFonts w:eastAsia="Times New Roman"/>
          <w:b/>
          <w:szCs w:val="24"/>
          <w:lang w:val="en-US"/>
        </w:rPr>
        <w:t>Tamburin S</w:t>
      </w:r>
      <w:r w:rsidRPr="00C827B9">
        <w:rPr>
          <w:rFonts w:eastAsia="Times New Roman"/>
          <w:szCs w:val="24"/>
          <w:lang w:val="en-US"/>
        </w:rPr>
        <w:t xml:space="preserve">, </w:t>
      </w:r>
      <w:r w:rsidRPr="00C827B9">
        <w:rPr>
          <w:rFonts w:eastAsia="Times New Roman"/>
          <w:b/>
          <w:szCs w:val="24"/>
          <w:lang w:val="en-US"/>
        </w:rPr>
        <w:t>Facchini S</w:t>
      </w:r>
      <w:r w:rsidRPr="00C827B9">
        <w:rPr>
          <w:rFonts w:eastAsia="Times New Roman"/>
          <w:szCs w:val="24"/>
          <w:lang w:val="en-US"/>
        </w:rPr>
        <w:t xml:space="preserve">, </w:t>
      </w:r>
      <w:r w:rsidRPr="00C827B9">
        <w:rPr>
          <w:rFonts w:eastAsia="Times New Roman"/>
          <w:b/>
          <w:szCs w:val="24"/>
          <w:lang w:val="en-US"/>
        </w:rPr>
        <w:t>Fiaschi A</w:t>
      </w:r>
      <w:r w:rsidRPr="00C827B9">
        <w:rPr>
          <w:rFonts w:eastAsia="Times New Roman"/>
          <w:szCs w:val="24"/>
          <w:lang w:val="en-US"/>
        </w:rPr>
        <w:t xml:space="preserve">, </w:t>
      </w:r>
      <w:r w:rsidRPr="00C827B9">
        <w:rPr>
          <w:rFonts w:eastAsia="Times New Roman"/>
          <w:b/>
          <w:szCs w:val="24"/>
          <w:lang w:val="en-US"/>
        </w:rPr>
        <w:t>Restivo D</w:t>
      </w:r>
      <w:r w:rsidRPr="00C827B9">
        <w:rPr>
          <w:rFonts w:eastAsia="Times New Roman"/>
          <w:szCs w:val="24"/>
          <w:lang w:val="en-US"/>
        </w:rPr>
        <w:t xml:space="preserve">, </w:t>
      </w:r>
      <w:r w:rsidRPr="00C827B9">
        <w:rPr>
          <w:rFonts w:eastAsia="Times New Roman"/>
          <w:b/>
          <w:szCs w:val="24"/>
          <w:lang w:val="en-US"/>
        </w:rPr>
        <w:t>Berardelli A</w:t>
      </w:r>
      <w:r w:rsidRPr="00C827B9">
        <w:rPr>
          <w:rFonts w:eastAsia="Times New Roman"/>
          <w:szCs w:val="24"/>
          <w:lang w:val="en-US"/>
        </w:rPr>
        <w:t xml:space="preserve">. Task-dependent modulation of excitatory and inhibitory functions within the human primary motor cortex. </w:t>
      </w:r>
      <w:r w:rsidRPr="00C827B9">
        <w:rPr>
          <w:rFonts w:eastAsia="Times New Roman"/>
          <w:i/>
          <w:szCs w:val="24"/>
          <w:lang w:val="de-DE"/>
        </w:rPr>
        <w:t>Exp brain Res</w:t>
      </w:r>
      <w:r w:rsidRPr="00C827B9">
        <w:rPr>
          <w:rFonts w:eastAsia="Times New Roman"/>
          <w:szCs w:val="24"/>
          <w:lang w:val="de-DE"/>
        </w:rPr>
        <w:t xml:space="preserve"> 150: 222–9, 2003.</w:t>
      </w:r>
    </w:p>
    <w:p w14:paraId="429AF239" w14:textId="77777777" w:rsidR="00991931" w:rsidRPr="007143FE" w:rsidRDefault="00991931" w:rsidP="00991931">
      <w:pPr>
        <w:widowControl w:val="0"/>
        <w:autoSpaceDE w:val="0"/>
        <w:autoSpaceDN w:val="0"/>
        <w:adjustRightInd w:val="0"/>
        <w:spacing w:after="0"/>
        <w:jc w:val="both"/>
        <w:rPr>
          <w:rFonts w:eastAsia="Times New Roman"/>
          <w:color w:val="000000" w:themeColor="text1"/>
          <w:szCs w:val="24"/>
          <w:lang w:val="en-US"/>
        </w:rPr>
      </w:pPr>
      <w:r w:rsidRPr="007143FE">
        <w:rPr>
          <w:rFonts w:eastAsia="Times New Roman"/>
          <w:b/>
          <w:color w:val="000000" w:themeColor="text1"/>
          <w:szCs w:val="24"/>
          <w:lang w:val="de-DE"/>
        </w:rPr>
        <w:t>Tseng YW, Diedrichsen J, Krakauer JW, Shadmehr R, Bastian AJ.</w:t>
      </w:r>
      <w:r w:rsidRPr="007143FE">
        <w:rPr>
          <w:rFonts w:eastAsia="Times New Roman"/>
          <w:color w:val="000000" w:themeColor="text1"/>
          <w:szCs w:val="24"/>
          <w:lang w:val="de-DE"/>
        </w:rPr>
        <w:t xml:space="preserve"> </w:t>
      </w:r>
      <w:r w:rsidRPr="007143FE">
        <w:rPr>
          <w:rFonts w:eastAsia="Times New Roman"/>
          <w:color w:val="000000" w:themeColor="text1"/>
          <w:szCs w:val="24"/>
          <w:lang w:val="en-US"/>
        </w:rPr>
        <w:t xml:space="preserve">Sensory prediction errors drive cerebellum-dependent adaptation of reaching. </w:t>
      </w:r>
      <w:r w:rsidRPr="007143FE">
        <w:rPr>
          <w:rFonts w:eastAsia="Times New Roman"/>
          <w:i/>
          <w:color w:val="000000" w:themeColor="text1"/>
          <w:szCs w:val="24"/>
          <w:lang w:val="en-US"/>
        </w:rPr>
        <w:t xml:space="preserve">J Neurophysiol </w:t>
      </w:r>
      <w:r w:rsidRPr="007143FE">
        <w:rPr>
          <w:rFonts w:eastAsia="Times New Roman"/>
          <w:color w:val="000000" w:themeColor="text1"/>
          <w:szCs w:val="24"/>
          <w:lang w:val="en-US"/>
        </w:rPr>
        <w:t>98: 54–62, 2007.</w:t>
      </w:r>
    </w:p>
    <w:p w14:paraId="4D4B59A3" w14:textId="77777777" w:rsidR="00536006"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Ward NS</w:t>
      </w:r>
      <w:r w:rsidRPr="00C827B9">
        <w:rPr>
          <w:rFonts w:eastAsia="Times New Roman"/>
          <w:szCs w:val="24"/>
          <w:lang w:val="en-US"/>
        </w:rPr>
        <w:t xml:space="preserve">, </w:t>
      </w:r>
      <w:r w:rsidRPr="00C827B9">
        <w:rPr>
          <w:rFonts w:eastAsia="Times New Roman"/>
          <w:b/>
          <w:szCs w:val="24"/>
          <w:lang w:val="en-US"/>
        </w:rPr>
        <w:t>Frackowiak RSJ</w:t>
      </w:r>
      <w:r w:rsidRPr="00C827B9">
        <w:rPr>
          <w:rFonts w:eastAsia="Times New Roman"/>
          <w:szCs w:val="24"/>
          <w:lang w:val="en-US"/>
        </w:rPr>
        <w:t xml:space="preserve">. Age-related changes in the neural correlates of motor performance. </w:t>
      </w:r>
      <w:r w:rsidRPr="00C827B9">
        <w:rPr>
          <w:rFonts w:eastAsia="Times New Roman"/>
          <w:i/>
          <w:szCs w:val="24"/>
          <w:lang w:val="en-US"/>
        </w:rPr>
        <w:t>Brain</w:t>
      </w:r>
      <w:r w:rsidRPr="00C827B9">
        <w:rPr>
          <w:rFonts w:eastAsia="Times New Roman"/>
          <w:szCs w:val="24"/>
          <w:lang w:val="en-US"/>
        </w:rPr>
        <w:t xml:space="preserve"> 126: 873–888, 2003.</w:t>
      </w:r>
    </w:p>
    <w:p w14:paraId="5EBA8F64" w14:textId="77777777" w:rsidR="00C03677" w:rsidRPr="00C827B9" w:rsidRDefault="00536006" w:rsidP="00715EE9">
      <w:pPr>
        <w:widowControl w:val="0"/>
        <w:autoSpaceDE w:val="0"/>
        <w:autoSpaceDN w:val="0"/>
        <w:adjustRightInd w:val="0"/>
        <w:spacing w:after="0"/>
        <w:jc w:val="both"/>
        <w:rPr>
          <w:rFonts w:eastAsia="Times New Roman"/>
          <w:szCs w:val="24"/>
          <w:lang w:val="en-US"/>
        </w:rPr>
      </w:pPr>
      <w:r w:rsidRPr="00C827B9">
        <w:rPr>
          <w:rFonts w:eastAsia="Times New Roman"/>
          <w:b/>
          <w:szCs w:val="24"/>
          <w:lang w:val="en-US"/>
        </w:rPr>
        <w:t>Ward NS</w:t>
      </w:r>
      <w:r w:rsidRPr="00C827B9">
        <w:rPr>
          <w:rFonts w:eastAsia="Times New Roman"/>
          <w:szCs w:val="24"/>
          <w:lang w:val="en-US"/>
        </w:rPr>
        <w:t xml:space="preserve">, </w:t>
      </w:r>
      <w:r w:rsidRPr="00C827B9">
        <w:rPr>
          <w:rFonts w:eastAsia="Times New Roman"/>
          <w:b/>
          <w:szCs w:val="24"/>
          <w:lang w:val="en-US"/>
        </w:rPr>
        <w:t>Swayne OBC</w:t>
      </w:r>
      <w:r w:rsidRPr="00C827B9">
        <w:rPr>
          <w:rFonts w:eastAsia="Times New Roman"/>
          <w:szCs w:val="24"/>
          <w:lang w:val="en-US"/>
        </w:rPr>
        <w:t xml:space="preserve">, </w:t>
      </w:r>
      <w:r w:rsidRPr="00C827B9">
        <w:rPr>
          <w:rFonts w:eastAsia="Times New Roman"/>
          <w:b/>
          <w:szCs w:val="24"/>
          <w:lang w:val="en-US"/>
        </w:rPr>
        <w:t>Newton JM</w:t>
      </w:r>
      <w:r w:rsidRPr="00C827B9">
        <w:rPr>
          <w:rFonts w:eastAsia="Times New Roman"/>
          <w:szCs w:val="24"/>
          <w:lang w:val="en-US"/>
        </w:rPr>
        <w:t xml:space="preserve">. Age-dependent changes in the neural correlates of force modulation: An fMRI study. </w:t>
      </w:r>
      <w:r w:rsidRPr="00C827B9">
        <w:rPr>
          <w:rFonts w:eastAsia="Times New Roman"/>
          <w:i/>
          <w:szCs w:val="24"/>
          <w:lang w:val="en-US"/>
        </w:rPr>
        <w:t>Neurobiol Aging</w:t>
      </w:r>
      <w:r w:rsidRPr="00C827B9">
        <w:rPr>
          <w:rFonts w:eastAsia="Times New Roman"/>
          <w:szCs w:val="24"/>
          <w:lang w:val="en-US"/>
        </w:rPr>
        <w:t xml:space="preserve"> 29: 1434–1446, 2008.</w:t>
      </w:r>
    </w:p>
    <w:p w14:paraId="361BCC9D" w14:textId="77777777" w:rsidR="003941B7" w:rsidRPr="007143FE" w:rsidRDefault="003941B7" w:rsidP="003941B7">
      <w:pPr>
        <w:widowControl w:val="0"/>
        <w:autoSpaceDE w:val="0"/>
        <w:autoSpaceDN w:val="0"/>
        <w:adjustRightInd w:val="0"/>
        <w:spacing w:after="0"/>
        <w:jc w:val="both"/>
        <w:rPr>
          <w:rFonts w:eastAsia="Times New Roman"/>
          <w:color w:val="000000" w:themeColor="text1"/>
          <w:szCs w:val="24"/>
          <w:lang w:val="en-US"/>
        </w:rPr>
      </w:pPr>
      <w:r w:rsidRPr="007143FE">
        <w:rPr>
          <w:rFonts w:eastAsia="Times New Roman"/>
          <w:b/>
          <w:color w:val="000000" w:themeColor="text1"/>
          <w:szCs w:val="24"/>
          <w:lang w:val="en-US"/>
        </w:rPr>
        <w:t xml:space="preserve">Wolpaw JR. </w:t>
      </w:r>
      <w:r w:rsidRPr="007143FE">
        <w:rPr>
          <w:rFonts w:eastAsia="Times New Roman"/>
          <w:color w:val="000000" w:themeColor="text1"/>
          <w:szCs w:val="24"/>
          <w:lang w:val="en-US"/>
        </w:rPr>
        <w:t xml:space="preserve">What can the spinal cord teach us about learning and memory? </w:t>
      </w:r>
      <w:r w:rsidRPr="007143FE">
        <w:rPr>
          <w:rFonts w:eastAsia="Times New Roman"/>
          <w:i/>
          <w:color w:val="000000" w:themeColor="text1"/>
          <w:szCs w:val="24"/>
          <w:lang w:val="en-US"/>
        </w:rPr>
        <w:t xml:space="preserve">Neuroscientist </w:t>
      </w:r>
      <w:r w:rsidRPr="007143FE">
        <w:rPr>
          <w:rFonts w:eastAsia="Times New Roman"/>
          <w:color w:val="000000" w:themeColor="text1"/>
          <w:szCs w:val="24"/>
          <w:lang w:val="en-US"/>
        </w:rPr>
        <w:t>16: 532–549, 201</w:t>
      </w:r>
      <w:r w:rsidR="00D249B0" w:rsidRPr="007143FE">
        <w:rPr>
          <w:rFonts w:eastAsia="Times New Roman"/>
          <w:color w:val="000000" w:themeColor="text1"/>
          <w:szCs w:val="24"/>
          <w:lang w:val="en-US"/>
        </w:rPr>
        <w:t>0</w:t>
      </w:r>
      <w:r w:rsidRPr="007143FE">
        <w:rPr>
          <w:rFonts w:eastAsia="Times New Roman"/>
          <w:color w:val="000000" w:themeColor="text1"/>
          <w:szCs w:val="24"/>
          <w:lang w:val="en-US"/>
        </w:rPr>
        <w:t>.</w:t>
      </w:r>
    </w:p>
    <w:p w14:paraId="1ADDA31E" w14:textId="77777777" w:rsidR="002A155F" w:rsidRDefault="008749D8" w:rsidP="00CA7945">
      <w:pPr>
        <w:widowControl w:val="0"/>
        <w:autoSpaceDE w:val="0"/>
        <w:autoSpaceDN w:val="0"/>
        <w:adjustRightInd w:val="0"/>
        <w:spacing w:after="0"/>
        <w:jc w:val="both"/>
        <w:rPr>
          <w:color w:val="000000" w:themeColor="text1"/>
          <w:szCs w:val="24"/>
          <w:lang w:val="en-US" w:eastAsia="en-GB"/>
        </w:rPr>
      </w:pPr>
      <w:r w:rsidRPr="007143FE">
        <w:rPr>
          <w:rFonts w:eastAsia="Times New Roman"/>
          <w:b/>
          <w:color w:val="000000" w:themeColor="text1"/>
          <w:szCs w:val="24"/>
          <w:lang w:val="en-GB"/>
        </w:rPr>
        <w:t>Yang F, Bhatt T, Pai Y</w:t>
      </w:r>
      <w:r w:rsidR="00BF2E81" w:rsidRPr="007143FE">
        <w:rPr>
          <w:rFonts w:eastAsia="Times New Roman"/>
          <w:b/>
          <w:color w:val="000000" w:themeColor="text1"/>
          <w:szCs w:val="24"/>
          <w:lang w:val="en-GB"/>
        </w:rPr>
        <w:t>-</w:t>
      </w:r>
      <w:r w:rsidRPr="007143FE">
        <w:rPr>
          <w:rFonts w:eastAsia="Times New Roman"/>
          <w:b/>
          <w:color w:val="000000" w:themeColor="text1"/>
          <w:szCs w:val="24"/>
          <w:lang w:val="en-GB"/>
        </w:rPr>
        <w:t>C.</w:t>
      </w:r>
      <w:r w:rsidRPr="007143FE">
        <w:rPr>
          <w:rFonts w:eastAsia="Times New Roman"/>
          <w:color w:val="000000" w:themeColor="text1"/>
          <w:szCs w:val="24"/>
          <w:lang w:val="en-GB"/>
        </w:rPr>
        <w:t xml:space="preserve"> </w:t>
      </w:r>
      <w:r w:rsidRPr="007143FE">
        <w:rPr>
          <w:rFonts w:eastAsia="Times New Roman"/>
          <w:color w:val="000000" w:themeColor="text1"/>
          <w:szCs w:val="24"/>
          <w:lang w:val="en-US"/>
        </w:rPr>
        <w:t xml:space="preserve">Generalization of treadmill-slip training to prevent a fall following a sudden (novel) slip in over-ground walking. </w:t>
      </w:r>
      <w:r w:rsidRPr="007143FE">
        <w:rPr>
          <w:i/>
          <w:color w:val="000000" w:themeColor="text1"/>
          <w:szCs w:val="24"/>
          <w:lang w:val="en-US" w:eastAsia="en-GB"/>
        </w:rPr>
        <w:t>J Biomech</w:t>
      </w:r>
      <w:r w:rsidRPr="007143FE">
        <w:rPr>
          <w:color w:val="000000" w:themeColor="text1"/>
          <w:szCs w:val="24"/>
          <w:lang w:val="en-US" w:eastAsia="en-GB"/>
        </w:rPr>
        <w:t xml:space="preserve"> 46: 63–69, 2013.</w:t>
      </w:r>
      <w:bookmarkEnd w:id="55"/>
    </w:p>
    <w:p w14:paraId="74AFCF6C" w14:textId="77777777" w:rsidR="002A155F" w:rsidRDefault="002A155F" w:rsidP="00CA7945">
      <w:pPr>
        <w:widowControl w:val="0"/>
        <w:autoSpaceDE w:val="0"/>
        <w:autoSpaceDN w:val="0"/>
        <w:adjustRightInd w:val="0"/>
        <w:spacing w:after="0"/>
        <w:jc w:val="both"/>
        <w:rPr>
          <w:color w:val="000000" w:themeColor="text1"/>
          <w:szCs w:val="24"/>
          <w:lang w:val="en-US" w:eastAsia="en-GB"/>
        </w:rPr>
      </w:pPr>
    </w:p>
    <w:p w14:paraId="0131C1DE" w14:textId="77777777" w:rsidR="002A155F" w:rsidRDefault="002A155F" w:rsidP="00CA7945">
      <w:pPr>
        <w:widowControl w:val="0"/>
        <w:autoSpaceDE w:val="0"/>
        <w:autoSpaceDN w:val="0"/>
        <w:adjustRightInd w:val="0"/>
        <w:spacing w:after="0"/>
        <w:jc w:val="both"/>
        <w:rPr>
          <w:color w:val="000000" w:themeColor="text1"/>
          <w:szCs w:val="24"/>
          <w:lang w:val="en-US" w:eastAsia="en-GB"/>
        </w:rPr>
      </w:pPr>
    </w:p>
    <w:p w14:paraId="04092AC5" w14:textId="37B3EB1A" w:rsidR="00335E18" w:rsidRPr="00C827B9" w:rsidRDefault="002A155F" w:rsidP="002A155F">
      <w:pPr>
        <w:pStyle w:val="Heading1"/>
        <w:rPr>
          <w:color w:val="FF0000"/>
          <w:szCs w:val="24"/>
          <w:u w:val="single"/>
          <w:lang w:val="en-US" w:eastAsia="en-GB"/>
        </w:rPr>
      </w:pPr>
      <w:r w:rsidRPr="00C827B9">
        <w:rPr>
          <w:lang w:val="en-US"/>
        </w:rPr>
        <w:br w:type="page"/>
      </w:r>
      <w:r>
        <w:rPr>
          <w:lang w:val="en-US"/>
        </w:rPr>
        <w:lastRenderedPageBreak/>
        <w:t>Tables</w:t>
      </w:r>
    </w:p>
    <w:p w14:paraId="6EBA8AC6" w14:textId="6B5D06BF" w:rsidR="00335E18" w:rsidRPr="00C827B9" w:rsidRDefault="00335E18" w:rsidP="00335E18">
      <w:pPr>
        <w:jc w:val="both"/>
        <w:rPr>
          <w:lang w:val="en-US"/>
        </w:rPr>
      </w:pPr>
      <w:r w:rsidRPr="00C827B9">
        <w:rPr>
          <w:b/>
          <w:lang w:val="en-US"/>
        </w:rPr>
        <w:t>Table 1</w:t>
      </w:r>
      <w:r w:rsidRPr="00C827B9">
        <w:rPr>
          <w:lang w:val="en-US"/>
        </w:rPr>
        <w:t>: Relative mean deviation in the motor skill performance with the slow (upper values) and fast (lower values) cursor movement (80s and 20s of continuous tracing respectively) in all analyzed functions (exercise functions: Funct</w:t>
      </w:r>
      <w:r w:rsidRPr="00C827B9">
        <w:rPr>
          <w:vertAlign w:val="subscript"/>
          <w:lang w:val="en-US"/>
        </w:rPr>
        <w:t>CT1</w:t>
      </w:r>
      <w:r w:rsidRPr="00C827B9">
        <w:rPr>
          <w:lang w:val="en-US"/>
        </w:rPr>
        <w:t xml:space="preserve"> and Funct</w:t>
      </w:r>
      <w:r w:rsidRPr="00C827B9">
        <w:rPr>
          <w:vertAlign w:val="subscript"/>
          <w:lang w:val="en-US"/>
        </w:rPr>
        <w:t>CT2</w:t>
      </w:r>
      <w:r w:rsidRPr="00C827B9">
        <w:rPr>
          <w:lang w:val="en-US"/>
        </w:rPr>
        <w:t>; transfer functions: Funct</w:t>
      </w:r>
      <w:r w:rsidRPr="00C827B9">
        <w:rPr>
          <w:vertAlign w:val="subscript"/>
          <w:lang w:val="en-US"/>
        </w:rPr>
        <w:t>TR1</w:t>
      </w:r>
      <w:r w:rsidRPr="00C827B9">
        <w:rPr>
          <w:lang w:val="en-US"/>
        </w:rPr>
        <w:t xml:space="preserve"> and Funct</w:t>
      </w:r>
      <w:r w:rsidRPr="00C827B9">
        <w:rPr>
          <w:vertAlign w:val="subscript"/>
          <w:lang w:val="en-US"/>
        </w:rPr>
        <w:t>TR2</w:t>
      </w:r>
      <w:r w:rsidRPr="00C827B9">
        <w:rPr>
          <w:lang w:val="en-US"/>
        </w:rPr>
        <w:t>) at Pre, Post 14 weeks and Post 1.5 years me</w:t>
      </w:r>
      <w:r w:rsidRPr="000E6A7F">
        <w:rPr>
          <w:color w:val="000000" w:themeColor="text1"/>
          <w:lang w:val="en-US"/>
        </w:rPr>
        <w:t xml:space="preserve">asurement time points for the </w:t>
      </w:r>
      <w:r w:rsidR="00861E05" w:rsidRPr="000E6A7F">
        <w:rPr>
          <w:color w:val="000000" w:themeColor="text1"/>
          <w:lang w:val="en-US"/>
        </w:rPr>
        <w:t>GAIT</w:t>
      </w:r>
      <w:r w:rsidRPr="000E6A7F">
        <w:rPr>
          <w:color w:val="000000" w:themeColor="text1"/>
          <w:lang w:val="en-US"/>
        </w:rPr>
        <w:t xml:space="preserve"> group (n = 13), </w:t>
      </w:r>
      <w:r w:rsidR="008271BF" w:rsidRPr="000E6A7F">
        <w:rPr>
          <w:color w:val="000000" w:themeColor="text1"/>
          <w:lang w:val="en-US"/>
        </w:rPr>
        <w:t>GAIT+NM</w:t>
      </w:r>
      <w:r w:rsidRPr="000E6A7F">
        <w:rPr>
          <w:color w:val="000000" w:themeColor="text1"/>
          <w:vertAlign w:val="subscript"/>
          <w:lang w:val="en-US"/>
        </w:rPr>
        <w:t>14w</w:t>
      </w:r>
      <w:r w:rsidRPr="000E6A7F">
        <w:rPr>
          <w:color w:val="000000" w:themeColor="text1"/>
          <w:lang w:val="en-US"/>
        </w:rPr>
        <w:t xml:space="preserve"> group (n = 21) and </w:t>
      </w:r>
      <w:r w:rsidR="008271BF" w:rsidRPr="000E6A7F">
        <w:rPr>
          <w:color w:val="000000" w:themeColor="text1"/>
          <w:lang w:val="en-US"/>
        </w:rPr>
        <w:t>GAIT+NM</w:t>
      </w:r>
      <w:r w:rsidRPr="000E6A7F">
        <w:rPr>
          <w:color w:val="000000" w:themeColor="text1"/>
          <w:vertAlign w:val="subscript"/>
          <w:lang w:val="en-US"/>
        </w:rPr>
        <w:t xml:space="preserve">1.5y </w:t>
      </w:r>
      <w:r w:rsidR="008271BF" w:rsidRPr="000E6A7F">
        <w:rPr>
          <w:color w:val="000000" w:themeColor="text1"/>
          <w:lang w:val="en-US"/>
        </w:rPr>
        <w:t>group (</w:t>
      </w:r>
      <w:r w:rsidR="008271BF" w:rsidRPr="00C827B9">
        <w:rPr>
          <w:lang w:val="en-US"/>
        </w:rPr>
        <w:t>n = 12).</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95"/>
        <w:gridCol w:w="995"/>
        <w:gridCol w:w="972"/>
        <w:gridCol w:w="1085"/>
        <w:gridCol w:w="1160"/>
        <w:gridCol w:w="1105"/>
        <w:gridCol w:w="1252"/>
        <w:gridCol w:w="1242"/>
      </w:tblGrid>
      <w:tr w:rsidR="00335E18" w:rsidRPr="00C827B9" w14:paraId="22BE9449" w14:textId="77777777" w:rsidTr="00B50BAB">
        <w:trPr>
          <w:jc w:val="center"/>
        </w:trPr>
        <w:tc>
          <w:tcPr>
            <w:tcW w:w="505" w:type="pct"/>
            <w:vMerge w:val="restart"/>
            <w:tcBorders>
              <w:top w:val="single" w:sz="12" w:space="0" w:color="000000"/>
              <w:left w:val="single" w:sz="12" w:space="0" w:color="000000"/>
              <w:right w:val="single" w:sz="12" w:space="0" w:color="000000"/>
            </w:tcBorders>
            <w:shd w:val="clear" w:color="auto" w:fill="auto"/>
            <w:vAlign w:val="center"/>
          </w:tcPr>
          <w:p w14:paraId="056ACB83" w14:textId="77777777" w:rsidR="00335E18" w:rsidRPr="00C827B9" w:rsidRDefault="00335E18" w:rsidP="00B50BAB">
            <w:pPr>
              <w:spacing w:after="0" w:line="240" w:lineRule="auto"/>
              <w:jc w:val="both"/>
              <w:rPr>
                <w:b/>
                <w:sz w:val="22"/>
                <w:szCs w:val="24"/>
                <w:lang w:val="en-US"/>
              </w:rPr>
            </w:pPr>
          </w:p>
        </w:tc>
        <w:tc>
          <w:tcPr>
            <w:tcW w:w="1512" w:type="pct"/>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D0E248C" w14:textId="4E460439" w:rsidR="00335E18" w:rsidRPr="000E6A7F" w:rsidRDefault="00E61652" w:rsidP="00B50BAB">
            <w:pPr>
              <w:spacing w:after="0" w:line="240" w:lineRule="auto"/>
              <w:jc w:val="center"/>
              <w:rPr>
                <w:b/>
                <w:color w:val="000000" w:themeColor="text1"/>
                <w:sz w:val="22"/>
                <w:szCs w:val="24"/>
                <w:lang w:val="en-US"/>
              </w:rPr>
            </w:pPr>
            <w:r w:rsidRPr="000E6A7F">
              <w:rPr>
                <w:b/>
                <w:color w:val="000000" w:themeColor="text1"/>
                <w:sz w:val="22"/>
                <w:szCs w:val="24"/>
                <w:lang w:val="en-US"/>
              </w:rPr>
              <w:t>GAIT</w:t>
            </w:r>
          </w:p>
        </w:tc>
        <w:tc>
          <w:tcPr>
            <w:tcW w:w="1146"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29D0565" w14:textId="0C66C512" w:rsidR="00335E18" w:rsidRPr="000E6A7F" w:rsidRDefault="00E61652" w:rsidP="00B50BAB">
            <w:pPr>
              <w:spacing w:after="0" w:line="240" w:lineRule="auto"/>
              <w:jc w:val="center"/>
              <w:rPr>
                <w:b/>
                <w:color w:val="000000" w:themeColor="text1"/>
                <w:sz w:val="22"/>
                <w:lang w:val="en-US"/>
              </w:rPr>
            </w:pPr>
            <w:r w:rsidRPr="000E6A7F">
              <w:rPr>
                <w:b/>
                <w:color w:val="000000" w:themeColor="text1"/>
                <w:sz w:val="22"/>
                <w:lang w:val="en-US"/>
              </w:rPr>
              <w:t>GAIT+NM</w:t>
            </w:r>
            <w:r w:rsidRPr="000E6A7F">
              <w:rPr>
                <w:b/>
                <w:color w:val="000000" w:themeColor="text1"/>
                <w:sz w:val="22"/>
                <w:vertAlign w:val="subscript"/>
                <w:lang w:val="en-US"/>
              </w:rPr>
              <w:t>14w</w:t>
            </w:r>
          </w:p>
        </w:tc>
        <w:tc>
          <w:tcPr>
            <w:tcW w:w="1837" w:type="pct"/>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CE4DB51" w14:textId="357FD703" w:rsidR="00335E18" w:rsidRPr="000E6A7F" w:rsidRDefault="00E61652" w:rsidP="00B50BAB">
            <w:pPr>
              <w:spacing w:after="0" w:line="240" w:lineRule="auto"/>
              <w:jc w:val="center"/>
              <w:rPr>
                <w:b/>
                <w:color w:val="000000" w:themeColor="text1"/>
                <w:sz w:val="22"/>
                <w:szCs w:val="24"/>
                <w:lang w:val="en-US"/>
              </w:rPr>
            </w:pPr>
            <w:r w:rsidRPr="000E6A7F">
              <w:rPr>
                <w:b/>
                <w:color w:val="000000" w:themeColor="text1"/>
                <w:sz w:val="22"/>
                <w:lang w:val="en-US"/>
              </w:rPr>
              <w:t>GAIT+NM</w:t>
            </w:r>
            <w:r w:rsidRPr="000E6A7F">
              <w:rPr>
                <w:b/>
                <w:color w:val="000000" w:themeColor="text1"/>
                <w:sz w:val="22"/>
                <w:szCs w:val="24"/>
                <w:vertAlign w:val="subscript"/>
                <w:lang w:val="en-US"/>
              </w:rPr>
              <w:t xml:space="preserve"> </w:t>
            </w:r>
            <w:r w:rsidR="00BB492A" w:rsidRPr="000E6A7F">
              <w:rPr>
                <w:b/>
                <w:color w:val="000000" w:themeColor="text1"/>
                <w:sz w:val="22"/>
                <w:szCs w:val="24"/>
                <w:vertAlign w:val="subscript"/>
                <w:lang w:val="en-US"/>
              </w:rPr>
              <w:t>1.5y</w:t>
            </w:r>
          </w:p>
        </w:tc>
      </w:tr>
      <w:tr w:rsidR="00335E18" w:rsidRPr="00C827B9" w14:paraId="6DAAD67C" w14:textId="77777777" w:rsidTr="00B50BAB">
        <w:trPr>
          <w:trHeight w:val="467"/>
          <w:jc w:val="center"/>
        </w:trPr>
        <w:tc>
          <w:tcPr>
            <w:tcW w:w="505" w:type="pct"/>
            <w:vMerge/>
            <w:tcBorders>
              <w:left w:val="single" w:sz="12" w:space="0" w:color="000000"/>
              <w:bottom w:val="single" w:sz="12" w:space="0" w:color="auto"/>
              <w:right w:val="single" w:sz="12" w:space="0" w:color="000000"/>
            </w:tcBorders>
            <w:shd w:val="clear" w:color="auto" w:fill="auto"/>
            <w:vAlign w:val="center"/>
          </w:tcPr>
          <w:p w14:paraId="044B70B1" w14:textId="77777777" w:rsidR="00335E18" w:rsidRPr="00C827B9" w:rsidRDefault="00335E18" w:rsidP="00B50BAB">
            <w:pPr>
              <w:spacing w:after="0" w:line="240" w:lineRule="auto"/>
              <w:jc w:val="both"/>
              <w:rPr>
                <w:b/>
                <w:sz w:val="22"/>
                <w:szCs w:val="24"/>
                <w:lang w:val="en-US"/>
              </w:rPr>
            </w:pPr>
          </w:p>
        </w:tc>
        <w:tc>
          <w:tcPr>
            <w:tcW w:w="508" w:type="pct"/>
            <w:tcBorders>
              <w:top w:val="single" w:sz="12" w:space="0" w:color="000000"/>
              <w:left w:val="single" w:sz="12" w:space="0" w:color="000000"/>
              <w:bottom w:val="single" w:sz="12" w:space="0" w:color="auto"/>
            </w:tcBorders>
            <w:shd w:val="clear" w:color="auto" w:fill="auto"/>
            <w:vAlign w:val="center"/>
          </w:tcPr>
          <w:p w14:paraId="5D2EE44E"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Pre</w:t>
            </w:r>
          </w:p>
        </w:tc>
        <w:tc>
          <w:tcPr>
            <w:tcW w:w="508" w:type="pct"/>
            <w:tcBorders>
              <w:top w:val="single" w:sz="12" w:space="0" w:color="000000"/>
              <w:bottom w:val="single" w:sz="12" w:space="0" w:color="auto"/>
            </w:tcBorders>
            <w:shd w:val="clear" w:color="auto" w:fill="auto"/>
            <w:vAlign w:val="center"/>
          </w:tcPr>
          <w:p w14:paraId="6AF97267"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Post 14 weeks</w:t>
            </w:r>
          </w:p>
        </w:tc>
        <w:tc>
          <w:tcPr>
            <w:tcW w:w="496" w:type="pct"/>
            <w:tcBorders>
              <w:top w:val="single" w:sz="12" w:space="0" w:color="000000"/>
              <w:bottom w:val="single" w:sz="12" w:space="0" w:color="auto"/>
              <w:right w:val="single" w:sz="12" w:space="0" w:color="000000"/>
            </w:tcBorders>
            <w:shd w:val="clear" w:color="auto" w:fill="auto"/>
            <w:vAlign w:val="center"/>
          </w:tcPr>
          <w:p w14:paraId="7EA6D319"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Post 1.5 years</w:t>
            </w:r>
          </w:p>
        </w:tc>
        <w:tc>
          <w:tcPr>
            <w:tcW w:w="554" w:type="pct"/>
            <w:tcBorders>
              <w:top w:val="single" w:sz="12" w:space="0" w:color="000000"/>
              <w:left w:val="single" w:sz="12" w:space="0" w:color="000000"/>
              <w:bottom w:val="single" w:sz="12" w:space="0" w:color="auto"/>
            </w:tcBorders>
            <w:shd w:val="clear" w:color="auto" w:fill="auto"/>
            <w:vAlign w:val="center"/>
          </w:tcPr>
          <w:p w14:paraId="60FD65AF"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Pre</w:t>
            </w:r>
          </w:p>
        </w:tc>
        <w:tc>
          <w:tcPr>
            <w:tcW w:w="592" w:type="pct"/>
            <w:tcBorders>
              <w:top w:val="single" w:sz="12" w:space="0" w:color="000000"/>
              <w:bottom w:val="single" w:sz="12" w:space="0" w:color="auto"/>
              <w:right w:val="single" w:sz="12" w:space="0" w:color="000000"/>
            </w:tcBorders>
            <w:shd w:val="clear" w:color="auto" w:fill="auto"/>
            <w:vAlign w:val="center"/>
          </w:tcPr>
          <w:p w14:paraId="7432D14C"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Post 14 weeks</w:t>
            </w:r>
          </w:p>
        </w:tc>
        <w:tc>
          <w:tcPr>
            <w:tcW w:w="564" w:type="pct"/>
            <w:tcBorders>
              <w:top w:val="single" w:sz="12" w:space="0" w:color="000000"/>
              <w:left w:val="single" w:sz="12" w:space="0" w:color="000000"/>
              <w:bottom w:val="single" w:sz="12" w:space="0" w:color="auto"/>
            </w:tcBorders>
            <w:shd w:val="clear" w:color="auto" w:fill="auto"/>
            <w:vAlign w:val="center"/>
          </w:tcPr>
          <w:p w14:paraId="5C9451EF"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Pre</w:t>
            </w:r>
          </w:p>
        </w:tc>
        <w:tc>
          <w:tcPr>
            <w:tcW w:w="639" w:type="pct"/>
            <w:tcBorders>
              <w:top w:val="single" w:sz="12" w:space="0" w:color="000000"/>
              <w:bottom w:val="single" w:sz="12" w:space="0" w:color="auto"/>
            </w:tcBorders>
            <w:shd w:val="clear" w:color="auto" w:fill="auto"/>
            <w:vAlign w:val="center"/>
          </w:tcPr>
          <w:p w14:paraId="41182B72"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Post 14 weeks</w:t>
            </w:r>
          </w:p>
        </w:tc>
        <w:tc>
          <w:tcPr>
            <w:tcW w:w="635" w:type="pct"/>
            <w:tcBorders>
              <w:top w:val="single" w:sz="12" w:space="0" w:color="000000"/>
              <w:bottom w:val="single" w:sz="12" w:space="0" w:color="auto"/>
              <w:right w:val="single" w:sz="12" w:space="0" w:color="000000"/>
            </w:tcBorders>
            <w:shd w:val="clear" w:color="auto" w:fill="auto"/>
            <w:vAlign w:val="center"/>
          </w:tcPr>
          <w:p w14:paraId="57478449" w14:textId="77777777" w:rsidR="00335E18" w:rsidRPr="00C827B9" w:rsidRDefault="00335E18" w:rsidP="00B50BAB">
            <w:pPr>
              <w:spacing w:after="0" w:line="240" w:lineRule="auto"/>
              <w:jc w:val="center"/>
              <w:rPr>
                <w:b/>
                <w:sz w:val="22"/>
                <w:szCs w:val="24"/>
                <w:lang w:val="en-US"/>
              </w:rPr>
            </w:pPr>
            <w:r w:rsidRPr="00C827B9">
              <w:rPr>
                <w:b/>
                <w:sz w:val="22"/>
                <w:szCs w:val="24"/>
                <w:lang w:val="en-US"/>
              </w:rPr>
              <w:t>Post 1.5 years</w:t>
            </w:r>
          </w:p>
        </w:tc>
      </w:tr>
      <w:tr w:rsidR="00335E18" w:rsidRPr="00C827B9" w14:paraId="0392A68D" w14:textId="77777777" w:rsidTr="00B50BAB">
        <w:trPr>
          <w:trHeight w:val="403"/>
          <w:jc w:val="center"/>
        </w:trPr>
        <w:tc>
          <w:tcPr>
            <w:tcW w:w="505"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DF33773" w14:textId="77777777" w:rsidR="00335E18" w:rsidRPr="00C827B9" w:rsidRDefault="00335E18" w:rsidP="00B50BAB">
            <w:pPr>
              <w:spacing w:after="0" w:line="240" w:lineRule="auto"/>
              <w:jc w:val="both"/>
              <w:rPr>
                <w:sz w:val="22"/>
                <w:szCs w:val="24"/>
                <w:lang w:val="en-US"/>
              </w:rPr>
            </w:pPr>
            <w:r w:rsidRPr="00C827B9">
              <w:rPr>
                <w:sz w:val="22"/>
                <w:szCs w:val="24"/>
                <w:lang w:val="en-US"/>
              </w:rPr>
              <w:t>Funct</w:t>
            </w:r>
            <w:r w:rsidRPr="00C827B9">
              <w:rPr>
                <w:sz w:val="22"/>
                <w:szCs w:val="24"/>
                <w:vertAlign w:val="subscript"/>
                <w:lang w:val="en-US"/>
              </w:rPr>
              <w:t>CT1</w:t>
            </w:r>
            <w:r w:rsidRPr="00C827B9">
              <w:rPr>
                <w:sz w:val="22"/>
                <w:szCs w:val="24"/>
                <w:lang w:val="en-US"/>
              </w:rPr>
              <w:t xml:space="preserve"> (%)</w:t>
            </w:r>
          </w:p>
        </w:tc>
        <w:tc>
          <w:tcPr>
            <w:tcW w:w="508" w:type="pct"/>
            <w:tcBorders>
              <w:top w:val="single" w:sz="12" w:space="0" w:color="auto"/>
              <w:left w:val="single" w:sz="12" w:space="0" w:color="auto"/>
              <w:right w:val="single" w:sz="4" w:space="0" w:color="auto"/>
            </w:tcBorders>
            <w:shd w:val="clear" w:color="auto" w:fill="auto"/>
            <w:vAlign w:val="center"/>
          </w:tcPr>
          <w:p w14:paraId="06A31FE8" w14:textId="77777777" w:rsidR="00335E18" w:rsidRPr="00C827B9" w:rsidRDefault="00335E18" w:rsidP="00B50BAB">
            <w:pPr>
              <w:spacing w:after="0" w:line="240" w:lineRule="auto"/>
              <w:jc w:val="center"/>
              <w:rPr>
                <w:sz w:val="22"/>
                <w:szCs w:val="24"/>
                <w:lang w:val="en-US"/>
              </w:rPr>
            </w:pPr>
            <w:r w:rsidRPr="00C827B9">
              <w:rPr>
                <w:sz w:val="22"/>
                <w:szCs w:val="24"/>
                <w:lang w:val="en-US"/>
              </w:rPr>
              <w:t>3.5 ± 1.2</w:t>
            </w:r>
          </w:p>
        </w:tc>
        <w:tc>
          <w:tcPr>
            <w:tcW w:w="508" w:type="pct"/>
            <w:tcBorders>
              <w:top w:val="single" w:sz="12" w:space="0" w:color="auto"/>
              <w:left w:val="single" w:sz="4" w:space="0" w:color="auto"/>
              <w:right w:val="single" w:sz="4" w:space="0" w:color="auto"/>
            </w:tcBorders>
            <w:shd w:val="clear" w:color="auto" w:fill="auto"/>
            <w:vAlign w:val="center"/>
          </w:tcPr>
          <w:p w14:paraId="3B0BB4B0" w14:textId="77777777" w:rsidR="00335E18" w:rsidRPr="00C827B9" w:rsidRDefault="00335E18" w:rsidP="00B50BAB">
            <w:pPr>
              <w:spacing w:after="0" w:line="240" w:lineRule="auto"/>
              <w:jc w:val="center"/>
              <w:rPr>
                <w:sz w:val="22"/>
                <w:szCs w:val="24"/>
                <w:lang w:val="ru-RU"/>
              </w:rPr>
            </w:pPr>
            <w:r w:rsidRPr="00C827B9">
              <w:rPr>
                <w:sz w:val="22"/>
                <w:szCs w:val="24"/>
                <w:lang w:val="en-US"/>
              </w:rPr>
              <w:t>2.</w:t>
            </w:r>
            <w:r w:rsidRPr="00C827B9">
              <w:rPr>
                <w:sz w:val="22"/>
                <w:szCs w:val="24"/>
                <w:lang w:val="ru-RU"/>
              </w:rPr>
              <w:t>8</w:t>
            </w:r>
            <w:r w:rsidRPr="00C827B9">
              <w:rPr>
                <w:sz w:val="22"/>
                <w:szCs w:val="24"/>
                <w:lang w:val="en-US"/>
              </w:rPr>
              <w:t xml:space="preserve"> ± 1.</w:t>
            </w:r>
            <w:r w:rsidRPr="00C827B9">
              <w:rPr>
                <w:sz w:val="22"/>
                <w:szCs w:val="24"/>
                <w:lang w:val="ru-RU"/>
              </w:rPr>
              <w:t>3</w:t>
            </w:r>
          </w:p>
        </w:tc>
        <w:tc>
          <w:tcPr>
            <w:tcW w:w="496" w:type="pct"/>
            <w:tcBorders>
              <w:top w:val="single" w:sz="12" w:space="0" w:color="auto"/>
              <w:left w:val="single" w:sz="4" w:space="0" w:color="auto"/>
              <w:right w:val="single" w:sz="12" w:space="0" w:color="auto"/>
            </w:tcBorders>
            <w:shd w:val="clear" w:color="auto" w:fill="auto"/>
            <w:vAlign w:val="center"/>
          </w:tcPr>
          <w:p w14:paraId="4B1FA0A0" w14:textId="77777777" w:rsidR="00335E18" w:rsidRPr="00C827B9" w:rsidRDefault="00335E18" w:rsidP="00B50BAB">
            <w:pPr>
              <w:spacing w:after="0" w:line="240" w:lineRule="auto"/>
              <w:jc w:val="center"/>
              <w:rPr>
                <w:sz w:val="22"/>
                <w:szCs w:val="24"/>
                <w:lang w:val="ru-RU"/>
              </w:rPr>
            </w:pPr>
            <w:r w:rsidRPr="00C827B9">
              <w:rPr>
                <w:sz w:val="22"/>
                <w:szCs w:val="24"/>
                <w:lang w:val="en-US"/>
              </w:rPr>
              <w:t>2.</w:t>
            </w:r>
            <w:r w:rsidRPr="00C827B9">
              <w:rPr>
                <w:sz w:val="22"/>
                <w:szCs w:val="24"/>
                <w:lang w:val="ru-RU"/>
              </w:rPr>
              <w:t>4</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6</w:t>
            </w:r>
          </w:p>
        </w:tc>
        <w:tc>
          <w:tcPr>
            <w:tcW w:w="554" w:type="pct"/>
            <w:tcBorders>
              <w:top w:val="single" w:sz="12" w:space="0" w:color="auto"/>
              <w:left w:val="single" w:sz="12" w:space="0" w:color="auto"/>
              <w:right w:val="single" w:sz="4" w:space="0" w:color="auto"/>
            </w:tcBorders>
            <w:shd w:val="clear" w:color="auto" w:fill="auto"/>
            <w:vAlign w:val="center"/>
          </w:tcPr>
          <w:p w14:paraId="1761E80E" w14:textId="77777777" w:rsidR="00335E18" w:rsidRPr="00C827B9" w:rsidRDefault="00335E18" w:rsidP="00B50BAB">
            <w:pPr>
              <w:spacing w:after="0" w:line="240" w:lineRule="auto"/>
              <w:jc w:val="center"/>
              <w:rPr>
                <w:sz w:val="22"/>
                <w:szCs w:val="24"/>
                <w:lang w:val="en-US"/>
              </w:rPr>
            </w:pPr>
            <w:r w:rsidRPr="00C827B9">
              <w:rPr>
                <w:sz w:val="22"/>
                <w:szCs w:val="24"/>
                <w:lang w:val="en-US"/>
              </w:rPr>
              <w:t>4.0 ± 1.8</w:t>
            </w:r>
          </w:p>
        </w:tc>
        <w:tc>
          <w:tcPr>
            <w:tcW w:w="592" w:type="pct"/>
            <w:tcBorders>
              <w:top w:val="single" w:sz="12" w:space="0" w:color="auto"/>
              <w:left w:val="single" w:sz="4" w:space="0" w:color="auto"/>
              <w:right w:val="single" w:sz="12" w:space="0" w:color="auto"/>
            </w:tcBorders>
            <w:shd w:val="clear" w:color="auto" w:fill="auto"/>
            <w:vAlign w:val="center"/>
          </w:tcPr>
          <w:p w14:paraId="221010F8" w14:textId="77777777" w:rsidR="00335E18" w:rsidRPr="00C827B9" w:rsidRDefault="00335E18" w:rsidP="00B50BAB">
            <w:pPr>
              <w:spacing w:after="0" w:line="240" w:lineRule="auto"/>
              <w:jc w:val="center"/>
              <w:rPr>
                <w:sz w:val="22"/>
                <w:szCs w:val="24"/>
                <w:lang w:val="en-US"/>
              </w:rPr>
            </w:pPr>
            <w:r w:rsidRPr="00C827B9">
              <w:rPr>
                <w:sz w:val="22"/>
                <w:szCs w:val="24"/>
                <w:lang w:val="en-US"/>
              </w:rPr>
              <w:t>1.2 ± 0.4*</w:t>
            </w:r>
            <w:r w:rsidRPr="00C827B9">
              <w:rPr>
                <w:sz w:val="22"/>
                <w:szCs w:val="24"/>
                <w:vertAlign w:val="superscript"/>
                <w:lang w:val="en-US"/>
              </w:rPr>
              <w:t>#</w:t>
            </w:r>
          </w:p>
        </w:tc>
        <w:tc>
          <w:tcPr>
            <w:tcW w:w="564" w:type="pct"/>
            <w:tcBorders>
              <w:top w:val="single" w:sz="12" w:space="0" w:color="auto"/>
              <w:left w:val="single" w:sz="12" w:space="0" w:color="auto"/>
              <w:right w:val="single" w:sz="4" w:space="0" w:color="auto"/>
            </w:tcBorders>
            <w:shd w:val="clear" w:color="auto" w:fill="auto"/>
            <w:vAlign w:val="center"/>
          </w:tcPr>
          <w:p w14:paraId="5D67B031" w14:textId="77777777" w:rsidR="00335E18" w:rsidRPr="00C827B9" w:rsidRDefault="00335E18" w:rsidP="00B50BAB">
            <w:pPr>
              <w:spacing w:after="0" w:line="240" w:lineRule="auto"/>
              <w:jc w:val="center"/>
              <w:rPr>
                <w:sz w:val="22"/>
                <w:szCs w:val="24"/>
                <w:lang w:val="ru-RU"/>
              </w:rPr>
            </w:pPr>
            <w:r w:rsidRPr="00C827B9">
              <w:rPr>
                <w:sz w:val="22"/>
                <w:szCs w:val="24"/>
                <w:lang w:val="en-US"/>
              </w:rPr>
              <w:t>3.</w:t>
            </w:r>
            <w:r w:rsidRPr="00C827B9">
              <w:rPr>
                <w:sz w:val="22"/>
                <w:szCs w:val="24"/>
                <w:lang w:val="ru-RU"/>
              </w:rPr>
              <w:t>8</w:t>
            </w:r>
            <w:r w:rsidRPr="00C827B9">
              <w:rPr>
                <w:sz w:val="22"/>
                <w:szCs w:val="24"/>
                <w:lang w:val="en-US"/>
              </w:rPr>
              <w:t xml:space="preserve"> ± 1.</w:t>
            </w:r>
            <w:r w:rsidRPr="00C827B9">
              <w:rPr>
                <w:sz w:val="22"/>
                <w:szCs w:val="24"/>
                <w:lang w:val="ru-RU"/>
              </w:rPr>
              <w:t>6</w:t>
            </w:r>
          </w:p>
        </w:tc>
        <w:tc>
          <w:tcPr>
            <w:tcW w:w="639" w:type="pct"/>
            <w:tcBorders>
              <w:top w:val="single" w:sz="12" w:space="0" w:color="auto"/>
              <w:left w:val="single" w:sz="4" w:space="0" w:color="auto"/>
              <w:right w:val="single" w:sz="4" w:space="0" w:color="auto"/>
            </w:tcBorders>
            <w:shd w:val="clear" w:color="auto" w:fill="auto"/>
            <w:vAlign w:val="center"/>
          </w:tcPr>
          <w:p w14:paraId="6DDF272F"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1</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3</w:t>
            </w:r>
            <w:r w:rsidRPr="00C827B9">
              <w:rPr>
                <w:sz w:val="22"/>
                <w:szCs w:val="24"/>
                <w:lang w:val="en-US"/>
              </w:rPr>
              <w:t>*</w:t>
            </w:r>
            <w:r w:rsidRPr="00C827B9">
              <w:rPr>
                <w:sz w:val="22"/>
                <w:szCs w:val="24"/>
                <w:vertAlign w:val="superscript"/>
                <w:lang w:val="en-US"/>
              </w:rPr>
              <w:t>#</w:t>
            </w:r>
          </w:p>
        </w:tc>
        <w:tc>
          <w:tcPr>
            <w:tcW w:w="635" w:type="pct"/>
            <w:tcBorders>
              <w:top w:val="single" w:sz="12" w:space="0" w:color="auto"/>
              <w:left w:val="single" w:sz="4" w:space="0" w:color="auto"/>
              <w:right w:val="single" w:sz="12" w:space="0" w:color="auto"/>
            </w:tcBorders>
            <w:shd w:val="clear" w:color="auto" w:fill="auto"/>
            <w:vAlign w:val="center"/>
          </w:tcPr>
          <w:p w14:paraId="24EF18AF"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0</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2</w:t>
            </w:r>
            <w:r w:rsidRPr="00C827B9">
              <w:rPr>
                <w:sz w:val="22"/>
                <w:szCs w:val="24"/>
                <w:lang w:val="en-US"/>
              </w:rPr>
              <w:t>*</w:t>
            </w:r>
            <w:r w:rsidRPr="00C827B9">
              <w:rPr>
                <w:sz w:val="22"/>
                <w:szCs w:val="24"/>
                <w:vertAlign w:val="superscript"/>
                <w:lang w:val="en-US"/>
              </w:rPr>
              <w:t>#</w:t>
            </w:r>
          </w:p>
        </w:tc>
      </w:tr>
      <w:tr w:rsidR="00335E18" w:rsidRPr="00C827B9" w14:paraId="5686404D" w14:textId="77777777" w:rsidTr="00B50BAB">
        <w:trPr>
          <w:trHeight w:val="395"/>
          <w:jc w:val="center"/>
        </w:trPr>
        <w:tc>
          <w:tcPr>
            <w:tcW w:w="505" w:type="pct"/>
            <w:vMerge/>
            <w:tcBorders>
              <w:left w:val="single" w:sz="12" w:space="0" w:color="auto"/>
              <w:bottom w:val="single" w:sz="12" w:space="0" w:color="auto"/>
              <w:right w:val="single" w:sz="12" w:space="0" w:color="auto"/>
            </w:tcBorders>
            <w:shd w:val="clear" w:color="auto" w:fill="auto"/>
            <w:vAlign w:val="center"/>
          </w:tcPr>
          <w:p w14:paraId="2C0C32CF" w14:textId="77777777" w:rsidR="00335E18" w:rsidRPr="00C827B9" w:rsidRDefault="00335E18" w:rsidP="00B50BAB">
            <w:pPr>
              <w:spacing w:after="0" w:line="240" w:lineRule="auto"/>
              <w:jc w:val="both"/>
              <w:rPr>
                <w:sz w:val="22"/>
                <w:szCs w:val="24"/>
                <w:lang w:val="en-US"/>
              </w:rPr>
            </w:pPr>
          </w:p>
        </w:tc>
        <w:tc>
          <w:tcPr>
            <w:tcW w:w="508" w:type="pct"/>
            <w:tcBorders>
              <w:left w:val="single" w:sz="12" w:space="0" w:color="auto"/>
              <w:bottom w:val="single" w:sz="12" w:space="0" w:color="000000"/>
              <w:right w:val="single" w:sz="4" w:space="0" w:color="auto"/>
            </w:tcBorders>
            <w:shd w:val="clear" w:color="auto" w:fill="auto"/>
            <w:vAlign w:val="center"/>
          </w:tcPr>
          <w:p w14:paraId="6B0602E4" w14:textId="77777777" w:rsidR="00335E18" w:rsidRPr="00C827B9" w:rsidRDefault="00335E18" w:rsidP="00B50BAB">
            <w:pPr>
              <w:spacing w:after="0" w:line="240" w:lineRule="auto"/>
              <w:jc w:val="center"/>
              <w:rPr>
                <w:sz w:val="22"/>
                <w:szCs w:val="24"/>
                <w:lang w:val="en-US"/>
              </w:rPr>
            </w:pPr>
            <w:r w:rsidRPr="00C827B9">
              <w:rPr>
                <w:sz w:val="22"/>
                <w:szCs w:val="24"/>
                <w:lang w:val="en-US"/>
              </w:rPr>
              <w:t>3.9 ± 0.9</w:t>
            </w:r>
          </w:p>
        </w:tc>
        <w:tc>
          <w:tcPr>
            <w:tcW w:w="508" w:type="pct"/>
            <w:tcBorders>
              <w:left w:val="single" w:sz="4" w:space="0" w:color="auto"/>
              <w:bottom w:val="single" w:sz="12" w:space="0" w:color="000000"/>
              <w:right w:val="single" w:sz="4" w:space="0" w:color="auto"/>
            </w:tcBorders>
            <w:shd w:val="clear" w:color="auto" w:fill="auto"/>
            <w:vAlign w:val="center"/>
          </w:tcPr>
          <w:p w14:paraId="60A9E0E8" w14:textId="77777777" w:rsidR="00335E18" w:rsidRPr="00C827B9" w:rsidRDefault="00335E18" w:rsidP="00B50BAB">
            <w:pPr>
              <w:spacing w:after="0" w:line="240" w:lineRule="auto"/>
              <w:jc w:val="center"/>
              <w:rPr>
                <w:sz w:val="22"/>
                <w:szCs w:val="24"/>
                <w:lang w:val="en-US"/>
              </w:rPr>
            </w:pPr>
            <w:r w:rsidRPr="00C827B9">
              <w:rPr>
                <w:sz w:val="22"/>
                <w:szCs w:val="24"/>
                <w:lang w:val="en-US"/>
              </w:rPr>
              <w:t>3.</w:t>
            </w:r>
            <w:r w:rsidRPr="00C827B9">
              <w:rPr>
                <w:sz w:val="22"/>
                <w:szCs w:val="24"/>
                <w:lang w:val="ru-RU"/>
              </w:rPr>
              <w:t>4</w:t>
            </w:r>
            <w:r w:rsidRPr="00C827B9">
              <w:rPr>
                <w:sz w:val="22"/>
                <w:szCs w:val="24"/>
                <w:lang w:val="en-US"/>
              </w:rPr>
              <w:t xml:space="preserve"> ± 1.1</w:t>
            </w:r>
          </w:p>
        </w:tc>
        <w:tc>
          <w:tcPr>
            <w:tcW w:w="496" w:type="pct"/>
            <w:tcBorders>
              <w:left w:val="single" w:sz="4" w:space="0" w:color="auto"/>
              <w:bottom w:val="single" w:sz="12" w:space="0" w:color="000000"/>
              <w:right w:val="single" w:sz="12" w:space="0" w:color="auto"/>
            </w:tcBorders>
            <w:shd w:val="clear" w:color="auto" w:fill="auto"/>
            <w:vAlign w:val="center"/>
          </w:tcPr>
          <w:p w14:paraId="70261CB0" w14:textId="77777777" w:rsidR="00335E18" w:rsidRPr="00C827B9" w:rsidRDefault="00335E18" w:rsidP="00B50BAB">
            <w:pPr>
              <w:spacing w:after="0" w:line="240" w:lineRule="auto"/>
              <w:jc w:val="center"/>
              <w:rPr>
                <w:sz w:val="22"/>
                <w:szCs w:val="24"/>
                <w:lang w:val="en-US"/>
              </w:rPr>
            </w:pPr>
            <w:r w:rsidRPr="00C827B9">
              <w:rPr>
                <w:sz w:val="22"/>
                <w:szCs w:val="24"/>
                <w:lang w:val="en-US"/>
              </w:rPr>
              <w:t xml:space="preserve">3.5 ± </w:t>
            </w:r>
            <w:r w:rsidRPr="00C827B9">
              <w:rPr>
                <w:sz w:val="22"/>
                <w:szCs w:val="24"/>
                <w:lang w:val="ru-RU"/>
              </w:rPr>
              <w:t>0</w:t>
            </w:r>
            <w:r w:rsidRPr="00C827B9">
              <w:rPr>
                <w:sz w:val="22"/>
                <w:szCs w:val="24"/>
                <w:lang w:val="en-US"/>
              </w:rPr>
              <w:t>.</w:t>
            </w:r>
            <w:r w:rsidRPr="00C827B9">
              <w:rPr>
                <w:sz w:val="22"/>
                <w:szCs w:val="24"/>
                <w:lang w:val="ru-RU"/>
              </w:rPr>
              <w:t>7</w:t>
            </w:r>
          </w:p>
        </w:tc>
        <w:tc>
          <w:tcPr>
            <w:tcW w:w="554" w:type="pct"/>
            <w:tcBorders>
              <w:left w:val="single" w:sz="12" w:space="0" w:color="auto"/>
              <w:bottom w:val="single" w:sz="12" w:space="0" w:color="000000"/>
              <w:right w:val="single" w:sz="4" w:space="0" w:color="auto"/>
            </w:tcBorders>
            <w:shd w:val="clear" w:color="auto" w:fill="auto"/>
            <w:vAlign w:val="center"/>
          </w:tcPr>
          <w:p w14:paraId="0127882C" w14:textId="77777777" w:rsidR="00335E18" w:rsidRPr="00C827B9" w:rsidRDefault="00335E18" w:rsidP="00B50BAB">
            <w:pPr>
              <w:spacing w:after="0" w:line="240" w:lineRule="auto"/>
              <w:jc w:val="center"/>
              <w:rPr>
                <w:sz w:val="22"/>
                <w:szCs w:val="24"/>
                <w:lang w:val="en-US"/>
              </w:rPr>
            </w:pPr>
            <w:r w:rsidRPr="00C827B9">
              <w:rPr>
                <w:sz w:val="22"/>
                <w:szCs w:val="24"/>
                <w:lang w:val="en-US"/>
              </w:rPr>
              <w:t>4.</w:t>
            </w:r>
            <w:r w:rsidRPr="00C827B9">
              <w:rPr>
                <w:sz w:val="22"/>
                <w:szCs w:val="24"/>
                <w:lang w:val="ru-RU"/>
              </w:rPr>
              <w:t>4</w:t>
            </w:r>
            <w:r w:rsidRPr="00C827B9">
              <w:rPr>
                <w:sz w:val="22"/>
                <w:szCs w:val="24"/>
                <w:lang w:val="en-US"/>
              </w:rPr>
              <w:t xml:space="preserve"> ± 1.7</w:t>
            </w:r>
          </w:p>
        </w:tc>
        <w:tc>
          <w:tcPr>
            <w:tcW w:w="592" w:type="pct"/>
            <w:tcBorders>
              <w:left w:val="single" w:sz="4" w:space="0" w:color="auto"/>
              <w:bottom w:val="single" w:sz="12" w:space="0" w:color="000000"/>
              <w:right w:val="single" w:sz="12" w:space="0" w:color="auto"/>
            </w:tcBorders>
            <w:shd w:val="clear" w:color="auto" w:fill="auto"/>
            <w:vAlign w:val="center"/>
          </w:tcPr>
          <w:p w14:paraId="649FB9C1" w14:textId="77777777" w:rsidR="00335E18" w:rsidRPr="00C827B9" w:rsidRDefault="00335E18" w:rsidP="00B50BAB">
            <w:pPr>
              <w:spacing w:after="0" w:line="240" w:lineRule="auto"/>
              <w:jc w:val="center"/>
              <w:rPr>
                <w:sz w:val="22"/>
                <w:szCs w:val="24"/>
                <w:lang w:val="en-US"/>
              </w:rPr>
            </w:pPr>
            <w:r w:rsidRPr="00C827B9">
              <w:rPr>
                <w:sz w:val="22"/>
                <w:szCs w:val="24"/>
                <w:lang w:val="en-US"/>
              </w:rPr>
              <w:t>1.</w:t>
            </w:r>
            <w:r w:rsidRPr="00C827B9">
              <w:rPr>
                <w:sz w:val="22"/>
                <w:szCs w:val="24"/>
                <w:lang w:val="ru-RU"/>
              </w:rPr>
              <w:t>7</w:t>
            </w:r>
            <w:r w:rsidRPr="00C827B9">
              <w:rPr>
                <w:sz w:val="22"/>
                <w:szCs w:val="24"/>
                <w:lang w:val="en-US"/>
              </w:rPr>
              <w:t xml:space="preserve"> ± 0.4*</w:t>
            </w:r>
            <w:r w:rsidRPr="00C827B9">
              <w:rPr>
                <w:sz w:val="22"/>
                <w:szCs w:val="24"/>
                <w:vertAlign w:val="superscript"/>
                <w:lang w:val="en-US"/>
              </w:rPr>
              <w:t>#</w:t>
            </w:r>
          </w:p>
        </w:tc>
        <w:tc>
          <w:tcPr>
            <w:tcW w:w="564" w:type="pct"/>
            <w:tcBorders>
              <w:left w:val="single" w:sz="12" w:space="0" w:color="auto"/>
              <w:bottom w:val="single" w:sz="12" w:space="0" w:color="000000"/>
              <w:right w:val="single" w:sz="4" w:space="0" w:color="auto"/>
            </w:tcBorders>
            <w:shd w:val="clear" w:color="auto" w:fill="auto"/>
            <w:vAlign w:val="center"/>
          </w:tcPr>
          <w:p w14:paraId="5EA5FCAD" w14:textId="77777777" w:rsidR="00335E18" w:rsidRPr="00C827B9" w:rsidRDefault="00335E18" w:rsidP="00B50BAB">
            <w:pPr>
              <w:spacing w:after="0" w:line="240" w:lineRule="auto"/>
              <w:jc w:val="center"/>
              <w:rPr>
                <w:sz w:val="22"/>
                <w:szCs w:val="24"/>
                <w:lang w:val="ru-RU"/>
              </w:rPr>
            </w:pPr>
            <w:r w:rsidRPr="00C827B9">
              <w:rPr>
                <w:sz w:val="22"/>
                <w:szCs w:val="24"/>
                <w:lang w:val="ru-RU"/>
              </w:rPr>
              <w:t>4</w:t>
            </w:r>
            <w:r w:rsidRPr="00C827B9">
              <w:rPr>
                <w:sz w:val="22"/>
                <w:szCs w:val="24"/>
                <w:lang w:val="en-US"/>
              </w:rPr>
              <w:t>.</w:t>
            </w:r>
            <w:r w:rsidRPr="00C827B9">
              <w:rPr>
                <w:sz w:val="22"/>
                <w:szCs w:val="24"/>
                <w:lang w:val="ru-RU"/>
              </w:rPr>
              <w:t>3</w:t>
            </w:r>
            <w:r w:rsidRPr="00C827B9">
              <w:rPr>
                <w:sz w:val="22"/>
                <w:szCs w:val="24"/>
                <w:lang w:val="en-US"/>
              </w:rPr>
              <w:t xml:space="preserve"> ± </w:t>
            </w:r>
            <w:r w:rsidRPr="00C827B9">
              <w:rPr>
                <w:sz w:val="22"/>
                <w:szCs w:val="24"/>
                <w:lang w:val="ru-RU"/>
              </w:rPr>
              <w:t>1</w:t>
            </w:r>
            <w:r w:rsidRPr="00C827B9">
              <w:rPr>
                <w:sz w:val="22"/>
                <w:szCs w:val="24"/>
                <w:lang w:val="en-US"/>
              </w:rPr>
              <w:t>.</w:t>
            </w:r>
            <w:r w:rsidRPr="00C827B9">
              <w:rPr>
                <w:sz w:val="22"/>
                <w:szCs w:val="24"/>
                <w:lang w:val="ru-RU"/>
              </w:rPr>
              <w:t>6</w:t>
            </w:r>
          </w:p>
        </w:tc>
        <w:tc>
          <w:tcPr>
            <w:tcW w:w="639" w:type="pct"/>
            <w:tcBorders>
              <w:left w:val="single" w:sz="4" w:space="0" w:color="auto"/>
              <w:bottom w:val="single" w:sz="12" w:space="0" w:color="000000"/>
              <w:right w:val="single" w:sz="4" w:space="0" w:color="auto"/>
            </w:tcBorders>
            <w:shd w:val="clear" w:color="auto" w:fill="auto"/>
            <w:vAlign w:val="center"/>
          </w:tcPr>
          <w:p w14:paraId="20DB5CCE"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7</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4</w:t>
            </w:r>
            <w:r w:rsidRPr="00C827B9">
              <w:rPr>
                <w:sz w:val="22"/>
                <w:szCs w:val="24"/>
                <w:lang w:val="en-US"/>
              </w:rPr>
              <w:t>*</w:t>
            </w:r>
            <w:r w:rsidRPr="00C827B9">
              <w:rPr>
                <w:sz w:val="22"/>
                <w:szCs w:val="24"/>
                <w:vertAlign w:val="superscript"/>
                <w:lang w:val="en-US"/>
              </w:rPr>
              <w:t>#</w:t>
            </w:r>
          </w:p>
        </w:tc>
        <w:tc>
          <w:tcPr>
            <w:tcW w:w="635" w:type="pct"/>
            <w:tcBorders>
              <w:left w:val="single" w:sz="4" w:space="0" w:color="auto"/>
              <w:bottom w:val="single" w:sz="12" w:space="0" w:color="000000"/>
              <w:right w:val="single" w:sz="12" w:space="0" w:color="auto"/>
            </w:tcBorders>
            <w:shd w:val="clear" w:color="auto" w:fill="auto"/>
            <w:vAlign w:val="center"/>
          </w:tcPr>
          <w:p w14:paraId="1A840A27"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6</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5</w:t>
            </w:r>
            <w:r w:rsidRPr="00C827B9">
              <w:rPr>
                <w:sz w:val="22"/>
                <w:szCs w:val="24"/>
                <w:lang w:val="en-US"/>
              </w:rPr>
              <w:t>*</w:t>
            </w:r>
            <w:r w:rsidRPr="00C827B9">
              <w:rPr>
                <w:sz w:val="22"/>
                <w:szCs w:val="24"/>
                <w:vertAlign w:val="superscript"/>
                <w:lang w:val="en-US"/>
              </w:rPr>
              <w:t>#</w:t>
            </w:r>
          </w:p>
        </w:tc>
      </w:tr>
      <w:tr w:rsidR="00335E18" w:rsidRPr="00C827B9" w14:paraId="7B088EE2" w14:textId="77777777" w:rsidTr="00B50BAB">
        <w:trPr>
          <w:trHeight w:val="400"/>
          <w:jc w:val="center"/>
        </w:trPr>
        <w:tc>
          <w:tcPr>
            <w:tcW w:w="505" w:type="pct"/>
            <w:vMerge w:val="restart"/>
            <w:tcBorders>
              <w:left w:val="single" w:sz="12" w:space="0" w:color="auto"/>
              <w:bottom w:val="single" w:sz="12" w:space="0" w:color="auto"/>
              <w:right w:val="single" w:sz="12" w:space="0" w:color="auto"/>
            </w:tcBorders>
            <w:shd w:val="clear" w:color="auto" w:fill="auto"/>
            <w:vAlign w:val="center"/>
          </w:tcPr>
          <w:p w14:paraId="775DA468" w14:textId="77777777" w:rsidR="00335E18" w:rsidRPr="00C827B9" w:rsidRDefault="00335E18" w:rsidP="00B50BAB">
            <w:pPr>
              <w:spacing w:after="0" w:line="240" w:lineRule="auto"/>
              <w:jc w:val="both"/>
              <w:rPr>
                <w:sz w:val="22"/>
                <w:szCs w:val="24"/>
                <w:vertAlign w:val="superscript"/>
                <w:lang w:val="en-US"/>
              </w:rPr>
            </w:pPr>
            <w:r w:rsidRPr="00C827B9">
              <w:rPr>
                <w:sz w:val="22"/>
                <w:szCs w:val="24"/>
                <w:lang w:val="en-US"/>
              </w:rPr>
              <w:t>Funct</w:t>
            </w:r>
            <w:r w:rsidRPr="00C827B9">
              <w:rPr>
                <w:sz w:val="22"/>
                <w:szCs w:val="24"/>
                <w:vertAlign w:val="subscript"/>
                <w:lang w:val="en-US"/>
              </w:rPr>
              <w:t>CT2</w:t>
            </w:r>
            <w:r w:rsidRPr="00C827B9">
              <w:rPr>
                <w:sz w:val="22"/>
                <w:szCs w:val="24"/>
                <w:lang w:val="en-US"/>
              </w:rPr>
              <w:t xml:space="preserve"> (%)</w:t>
            </w:r>
          </w:p>
        </w:tc>
        <w:tc>
          <w:tcPr>
            <w:tcW w:w="508" w:type="pct"/>
            <w:tcBorders>
              <w:top w:val="single" w:sz="12" w:space="0" w:color="000000"/>
              <w:left w:val="single" w:sz="12" w:space="0" w:color="auto"/>
              <w:right w:val="single" w:sz="4" w:space="0" w:color="auto"/>
            </w:tcBorders>
            <w:shd w:val="clear" w:color="auto" w:fill="auto"/>
            <w:vAlign w:val="center"/>
          </w:tcPr>
          <w:p w14:paraId="5E793333" w14:textId="77777777" w:rsidR="00335E18" w:rsidRPr="00C827B9" w:rsidRDefault="00335E18" w:rsidP="00B50BAB">
            <w:pPr>
              <w:spacing w:after="0" w:line="240" w:lineRule="auto"/>
              <w:jc w:val="center"/>
              <w:rPr>
                <w:sz w:val="22"/>
                <w:szCs w:val="24"/>
                <w:lang w:val="en-US"/>
              </w:rPr>
            </w:pPr>
            <w:r w:rsidRPr="00C827B9">
              <w:rPr>
                <w:sz w:val="22"/>
                <w:szCs w:val="24"/>
                <w:lang w:val="en-US"/>
              </w:rPr>
              <w:t>2.8 ± 0.6</w:t>
            </w:r>
          </w:p>
        </w:tc>
        <w:tc>
          <w:tcPr>
            <w:tcW w:w="508" w:type="pct"/>
            <w:tcBorders>
              <w:top w:val="single" w:sz="12" w:space="0" w:color="000000"/>
              <w:left w:val="single" w:sz="4" w:space="0" w:color="auto"/>
              <w:right w:val="single" w:sz="4" w:space="0" w:color="auto"/>
            </w:tcBorders>
            <w:shd w:val="clear" w:color="auto" w:fill="auto"/>
            <w:vAlign w:val="center"/>
          </w:tcPr>
          <w:p w14:paraId="6AAE0A76" w14:textId="77777777" w:rsidR="00335E18" w:rsidRPr="00C827B9" w:rsidRDefault="00335E18" w:rsidP="00B50BAB">
            <w:pPr>
              <w:spacing w:after="0" w:line="240" w:lineRule="auto"/>
              <w:jc w:val="center"/>
              <w:rPr>
                <w:sz w:val="22"/>
                <w:szCs w:val="24"/>
                <w:lang w:val="ru-RU"/>
              </w:rPr>
            </w:pPr>
            <w:r w:rsidRPr="00C827B9">
              <w:rPr>
                <w:sz w:val="22"/>
                <w:szCs w:val="24"/>
                <w:lang w:val="en-US"/>
              </w:rPr>
              <w:t>2.5 ± 0.</w:t>
            </w:r>
            <w:r w:rsidRPr="00C827B9">
              <w:rPr>
                <w:sz w:val="22"/>
                <w:szCs w:val="24"/>
                <w:lang w:val="ru-RU"/>
              </w:rPr>
              <w:t>7</w:t>
            </w:r>
          </w:p>
        </w:tc>
        <w:tc>
          <w:tcPr>
            <w:tcW w:w="496" w:type="pct"/>
            <w:tcBorders>
              <w:top w:val="single" w:sz="12" w:space="0" w:color="000000"/>
              <w:left w:val="single" w:sz="4" w:space="0" w:color="auto"/>
              <w:right w:val="single" w:sz="12" w:space="0" w:color="auto"/>
            </w:tcBorders>
            <w:shd w:val="clear" w:color="auto" w:fill="auto"/>
            <w:vAlign w:val="center"/>
          </w:tcPr>
          <w:p w14:paraId="31D43007" w14:textId="77777777" w:rsidR="00335E18" w:rsidRPr="00C827B9" w:rsidRDefault="00335E18" w:rsidP="00B50BAB">
            <w:pPr>
              <w:spacing w:after="0" w:line="240" w:lineRule="auto"/>
              <w:jc w:val="center"/>
              <w:rPr>
                <w:sz w:val="22"/>
                <w:szCs w:val="24"/>
                <w:lang w:val="ru-RU"/>
              </w:rPr>
            </w:pPr>
            <w:r w:rsidRPr="00C827B9">
              <w:rPr>
                <w:sz w:val="22"/>
                <w:szCs w:val="24"/>
                <w:lang w:val="en-US"/>
              </w:rPr>
              <w:t>2.5 ± 0.</w:t>
            </w:r>
            <w:r w:rsidRPr="00C827B9">
              <w:rPr>
                <w:sz w:val="22"/>
                <w:szCs w:val="24"/>
                <w:lang w:val="ru-RU"/>
              </w:rPr>
              <w:t>6</w:t>
            </w:r>
          </w:p>
        </w:tc>
        <w:tc>
          <w:tcPr>
            <w:tcW w:w="554" w:type="pct"/>
            <w:tcBorders>
              <w:top w:val="single" w:sz="12" w:space="0" w:color="000000"/>
              <w:left w:val="single" w:sz="12" w:space="0" w:color="auto"/>
              <w:right w:val="single" w:sz="4" w:space="0" w:color="auto"/>
            </w:tcBorders>
            <w:shd w:val="clear" w:color="auto" w:fill="auto"/>
            <w:vAlign w:val="center"/>
          </w:tcPr>
          <w:p w14:paraId="34434A3F" w14:textId="77777777" w:rsidR="00335E18" w:rsidRPr="00C827B9" w:rsidRDefault="00335E18" w:rsidP="00B50BAB">
            <w:pPr>
              <w:spacing w:after="0" w:line="240" w:lineRule="auto"/>
              <w:jc w:val="center"/>
              <w:rPr>
                <w:sz w:val="22"/>
                <w:szCs w:val="24"/>
                <w:lang w:val="en-US"/>
              </w:rPr>
            </w:pPr>
            <w:r w:rsidRPr="00C827B9">
              <w:rPr>
                <w:sz w:val="22"/>
                <w:szCs w:val="24"/>
                <w:lang w:val="en-US"/>
              </w:rPr>
              <w:t>4.0 ± 1.9</w:t>
            </w:r>
          </w:p>
        </w:tc>
        <w:tc>
          <w:tcPr>
            <w:tcW w:w="592" w:type="pct"/>
            <w:tcBorders>
              <w:top w:val="single" w:sz="12" w:space="0" w:color="000000"/>
              <w:left w:val="single" w:sz="4" w:space="0" w:color="auto"/>
              <w:right w:val="single" w:sz="12" w:space="0" w:color="auto"/>
            </w:tcBorders>
            <w:shd w:val="clear" w:color="auto" w:fill="auto"/>
            <w:vAlign w:val="center"/>
          </w:tcPr>
          <w:p w14:paraId="1484143A" w14:textId="77777777" w:rsidR="00335E18" w:rsidRPr="00C827B9" w:rsidRDefault="00335E18" w:rsidP="00B50BAB">
            <w:pPr>
              <w:spacing w:after="0" w:line="240" w:lineRule="auto"/>
              <w:jc w:val="center"/>
              <w:rPr>
                <w:sz w:val="22"/>
                <w:szCs w:val="24"/>
                <w:lang w:val="en-US"/>
              </w:rPr>
            </w:pPr>
            <w:r w:rsidRPr="00C827B9">
              <w:rPr>
                <w:sz w:val="22"/>
                <w:szCs w:val="24"/>
                <w:lang w:val="en-US"/>
              </w:rPr>
              <w:t>1.2 ± 0.5*</w:t>
            </w:r>
            <w:r w:rsidRPr="00C827B9">
              <w:rPr>
                <w:sz w:val="22"/>
                <w:szCs w:val="24"/>
                <w:vertAlign w:val="superscript"/>
                <w:lang w:val="en-US"/>
              </w:rPr>
              <w:t>#</w:t>
            </w:r>
          </w:p>
        </w:tc>
        <w:tc>
          <w:tcPr>
            <w:tcW w:w="564" w:type="pct"/>
            <w:tcBorders>
              <w:top w:val="single" w:sz="12" w:space="0" w:color="000000"/>
              <w:left w:val="single" w:sz="12" w:space="0" w:color="auto"/>
              <w:right w:val="single" w:sz="4" w:space="0" w:color="auto"/>
            </w:tcBorders>
            <w:shd w:val="clear" w:color="auto" w:fill="auto"/>
            <w:vAlign w:val="center"/>
          </w:tcPr>
          <w:p w14:paraId="2A08B789" w14:textId="77777777" w:rsidR="00335E18" w:rsidRPr="00C827B9" w:rsidRDefault="00335E18" w:rsidP="00B50BAB">
            <w:pPr>
              <w:spacing w:after="0" w:line="240" w:lineRule="auto"/>
              <w:jc w:val="center"/>
              <w:rPr>
                <w:sz w:val="22"/>
                <w:szCs w:val="24"/>
                <w:lang w:val="ru-RU"/>
              </w:rPr>
            </w:pPr>
            <w:r w:rsidRPr="00C827B9">
              <w:rPr>
                <w:sz w:val="22"/>
                <w:szCs w:val="24"/>
                <w:lang w:val="ru-RU"/>
              </w:rPr>
              <w:t>3</w:t>
            </w:r>
            <w:r w:rsidRPr="00C827B9">
              <w:rPr>
                <w:sz w:val="22"/>
                <w:szCs w:val="24"/>
                <w:lang w:val="en-US"/>
              </w:rPr>
              <w:t xml:space="preserve">.8 ± </w:t>
            </w:r>
            <w:r w:rsidRPr="00C827B9">
              <w:rPr>
                <w:sz w:val="22"/>
                <w:szCs w:val="24"/>
                <w:lang w:val="ru-RU"/>
              </w:rPr>
              <w:t>1</w:t>
            </w:r>
            <w:r w:rsidRPr="00C827B9">
              <w:rPr>
                <w:sz w:val="22"/>
                <w:szCs w:val="24"/>
                <w:lang w:val="en-US"/>
              </w:rPr>
              <w:t>.</w:t>
            </w:r>
            <w:r w:rsidRPr="00C827B9">
              <w:rPr>
                <w:sz w:val="22"/>
                <w:szCs w:val="24"/>
                <w:lang w:val="ru-RU"/>
              </w:rPr>
              <w:t>7</w:t>
            </w:r>
          </w:p>
        </w:tc>
        <w:tc>
          <w:tcPr>
            <w:tcW w:w="639" w:type="pct"/>
            <w:tcBorders>
              <w:top w:val="single" w:sz="12" w:space="0" w:color="000000"/>
              <w:left w:val="single" w:sz="4" w:space="0" w:color="auto"/>
              <w:right w:val="single" w:sz="4" w:space="0" w:color="auto"/>
            </w:tcBorders>
            <w:shd w:val="clear" w:color="auto" w:fill="auto"/>
            <w:vAlign w:val="center"/>
          </w:tcPr>
          <w:p w14:paraId="2B75BAAB"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 xml:space="preserve">1 </w:t>
            </w:r>
            <w:r w:rsidRPr="00C827B9">
              <w:rPr>
                <w:sz w:val="22"/>
                <w:szCs w:val="24"/>
                <w:lang w:val="en-US"/>
              </w:rPr>
              <w:t>± 0.</w:t>
            </w:r>
            <w:r w:rsidRPr="00C827B9">
              <w:rPr>
                <w:sz w:val="22"/>
                <w:szCs w:val="24"/>
                <w:lang w:val="ru-RU"/>
              </w:rPr>
              <w:t>3</w:t>
            </w:r>
            <w:r w:rsidRPr="00C827B9">
              <w:rPr>
                <w:sz w:val="22"/>
                <w:szCs w:val="24"/>
                <w:lang w:val="en-US"/>
              </w:rPr>
              <w:t>*</w:t>
            </w:r>
            <w:r w:rsidRPr="00C827B9">
              <w:rPr>
                <w:sz w:val="22"/>
                <w:szCs w:val="24"/>
                <w:vertAlign w:val="superscript"/>
                <w:lang w:val="en-US"/>
              </w:rPr>
              <w:t>#</w:t>
            </w:r>
          </w:p>
        </w:tc>
        <w:tc>
          <w:tcPr>
            <w:tcW w:w="635" w:type="pct"/>
            <w:tcBorders>
              <w:top w:val="single" w:sz="12" w:space="0" w:color="000000"/>
              <w:left w:val="single" w:sz="4" w:space="0" w:color="auto"/>
              <w:right w:val="single" w:sz="12" w:space="0" w:color="auto"/>
            </w:tcBorders>
            <w:shd w:val="clear" w:color="auto" w:fill="auto"/>
            <w:vAlign w:val="center"/>
          </w:tcPr>
          <w:p w14:paraId="5E86F8ED"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0</w:t>
            </w:r>
            <w:r w:rsidRPr="00C827B9">
              <w:rPr>
                <w:sz w:val="22"/>
                <w:szCs w:val="24"/>
                <w:lang w:val="en-US"/>
              </w:rPr>
              <w:t xml:space="preserve"> ± 0.</w:t>
            </w:r>
            <w:r w:rsidRPr="00C827B9">
              <w:rPr>
                <w:sz w:val="22"/>
                <w:szCs w:val="24"/>
                <w:lang w:val="ru-RU"/>
              </w:rPr>
              <w:t>4</w:t>
            </w:r>
            <w:r w:rsidRPr="00C827B9">
              <w:rPr>
                <w:sz w:val="22"/>
                <w:szCs w:val="24"/>
                <w:lang w:val="en-US"/>
              </w:rPr>
              <w:t>*</w:t>
            </w:r>
            <w:r w:rsidRPr="00C827B9">
              <w:rPr>
                <w:sz w:val="22"/>
                <w:szCs w:val="24"/>
                <w:vertAlign w:val="superscript"/>
                <w:lang w:val="en-US"/>
              </w:rPr>
              <w:t>#</w:t>
            </w:r>
          </w:p>
        </w:tc>
      </w:tr>
      <w:tr w:rsidR="00335E18" w:rsidRPr="00C827B9" w14:paraId="07B6271F" w14:textId="77777777" w:rsidTr="00B50BAB">
        <w:trPr>
          <w:trHeight w:val="392"/>
          <w:jc w:val="center"/>
        </w:trPr>
        <w:tc>
          <w:tcPr>
            <w:tcW w:w="505" w:type="pct"/>
            <w:vMerge/>
            <w:tcBorders>
              <w:left w:val="single" w:sz="12" w:space="0" w:color="auto"/>
              <w:bottom w:val="single" w:sz="12" w:space="0" w:color="auto"/>
              <w:right w:val="single" w:sz="12" w:space="0" w:color="auto"/>
            </w:tcBorders>
            <w:shd w:val="clear" w:color="auto" w:fill="auto"/>
            <w:vAlign w:val="center"/>
          </w:tcPr>
          <w:p w14:paraId="125E7ECC" w14:textId="77777777" w:rsidR="00335E18" w:rsidRPr="00C827B9" w:rsidRDefault="00335E18" w:rsidP="00B50BAB">
            <w:pPr>
              <w:spacing w:after="0" w:line="240" w:lineRule="auto"/>
              <w:jc w:val="both"/>
              <w:rPr>
                <w:sz w:val="22"/>
                <w:szCs w:val="24"/>
                <w:lang w:val="en-US"/>
              </w:rPr>
            </w:pPr>
          </w:p>
        </w:tc>
        <w:tc>
          <w:tcPr>
            <w:tcW w:w="508" w:type="pct"/>
            <w:tcBorders>
              <w:left w:val="single" w:sz="12" w:space="0" w:color="auto"/>
              <w:bottom w:val="single" w:sz="12" w:space="0" w:color="000000"/>
              <w:right w:val="single" w:sz="4" w:space="0" w:color="auto"/>
            </w:tcBorders>
            <w:shd w:val="clear" w:color="auto" w:fill="auto"/>
            <w:vAlign w:val="center"/>
          </w:tcPr>
          <w:p w14:paraId="4E3313FA" w14:textId="77777777" w:rsidR="00335E18" w:rsidRPr="00C827B9" w:rsidRDefault="00335E18" w:rsidP="00B50BAB">
            <w:pPr>
              <w:spacing w:after="0" w:line="240" w:lineRule="auto"/>
              <w:jc w:val="center"/>
              <w:rPr>
                <w:sz w:val="22"/>
                <w:szCs w:val="24"/>
                <w:lang w:val="en-US"/>
              </w:rPr>
            </w:pPr>
            <w:r w:rsidRPr="00C827B9">
              <w:rPr>
                <w:sz w:val="22"/>
                <w:szCs w:val="24"/>
                <w:lang w:val="en-US"/>
              </w:rPr>
              <w:t>3.4 ± 0.9</w:t>
            </w:r>
          </w:p>
        </w:tc>
        <w:tc>
          <w:tcPr>
            <w:tcW w:w="508" w:type="pct"/>
            <w:tcBorders>
              <w:left w:val="single" w:sz="4" w:space="0" w:color="auto"/>
              <w:bottom w:val="single" w:sz="12" w:space="0" w:color="000000"/>
              <w:right w:val="single" w:sz="4" w:space="0" w:color="auto"/>
            </w:tcBorders>
            <w:shd w:val="clear" w:color="auto" w:fill="auto"/>
            <w:vAlign w:val="center"/>
          </w:tcPr>
          <w:p w14:paraId="18923CAF" w14:textId="77777777" w:rsidR="00335E18" w:rsidRPr="00C827B9" w:rsidRDefault="00335E18" w:rsidP="00B50BAB">
            <w:pPr>
              <w:spacing w:after="0" w:line="240" w:lineRule="auto"/>
              <w:jc w:val="center"/>
              <w:rPr>
                <w:sz w:val="22"/>
                <w:szCs w:val="24"/>
                <w:lang w:val="ru-RU"/>
              </w:rPr>
            </w:pPr>
            <w:r w:rsidRPr="00C827B9">
              <w:rPr>
                <w:sz w:val="22"/>
                <w:szCs w:val="24"/>
                <w:lang w:val="ru-RU"/>
              </w:rPr>
              <w:t>3</w:t>
            </w:r>
            <w:r w:rsidRPr="00C827B9">
              <w:rPr>
                <w:sz w:val="22"/>
                <w:szCs w:val="24"/>
                <w:lang w:val="en-US"/>
              </w:rPr>
              <w:t>.</w:t>
            </w:r>
            <w:r w:rsidRPr="00C827B9">
              <w:rPr>
                <w:sz w:val="22"/>
                <w:szCs w:val="24"/>
                <w:lang w:val="ru-RU"/>
              </w:rPr>
              <w:t>0</w:t>
            </w:r>
            <w:r w:rsidRPr="00C827B9">
              <w:rPr>
                <w:sz w:val="22"/>
                <w:szCs w:val="24"/>
                <w:lang w:val="en-US"/>
              </w:rPr>
              <w:t xml:space="preserve"> ± 0.</w:t>
            </w:r>
            <w:r w:rsidRPr="00C827B9">
              <w:rPr>
                <w:sz w:val="22"/>
                <w:szCs w:val="24"/>
                <w:lang w:val="ru-RU"/>
              </w:rPr>
              <w:t>7</w:t>
            </w:r>
          </w:p>
        </w:tc>
        <w:tc>
          <w:tcPr>
            <w:tcW w:w="496" w:type="pct"/>
            <w:tcBorders>
              <w:left w:val="single" w:sz="4" w:space="0" w:color="auto"/>
              <w:bottom w:val="single" w:sz="12" w:space="0" w:color="000000"/>
              <w:right w:val="single" w:sz="12" w:space="0" w:color="auto"/>
            </w:tcBorders>
            <w:shd w:val="clear" w:color="auto" w:fill="auto"/>
            <w:vAlign w:val="center"/>
          </w:tcPr>
          <w:p w14:paraId="3D2EB767" w14:textId="77777777" w:rsidR="00335E18" w:rsidRPr="00C827B9" w:rsidRDefault="00335E18" w:rsidP="00B50BAB">
            <w:pPr>
              <w:spacing w:after="0" w:line="240" w:lineRule="auto"/>
              <w:jc w:val="center"/>
              <w:rPr>
                <w:sz w:val="22"/>
                <w:szCs w:val="24"/>
                <w:lang w:val="ru-RU"/>
              </w:rPr>
            </w:pPr>
            <w:r w:rsidRPr="00C827B9">
              <w:rPr>
                <w:sz w:val="22"/>
                <w:szCs w:val="24"/>
                <w:lang w:val="ru-RU"/>
              </w:rPr>
              <w:t>3</w:t>
            </w:r>
            <w:r w:rsidRPr="00C827B9">
              <w:rPr>
                <w:sz w:val="22"/>
                <w:szCs w:val="24"/>
                <w:lang w:val="en-US"/>
              </w:rPr>
              <w:t>.0 ± 0.6</w:t>
            </w:r>
          </w:p>
        </w:tc>
        <w:tc>
          <w:tcPr>
            <w:tcW w:w="554" w:type="pct"/>
            <w:tcBorders>
              <w:left w:val="single" w:sz="12" w:space="0" w:color="auto"/>
              <w:bottom w:val="single" w:sz="12" w:space="0" w:color="000000"/>
              <w:right w:val="single" w:sz="4" w:space="0" w:color="auto"/>
            </w:tcBorders>
            <w:shd w:val="clear" w:color="auto" w:fill="auto"/>
            <w:vAlign w:val="center"/>
          </w:tcPr>
          <w:p w14:paraId="443EBC3D" w14:textId="77777777" w:rsidR="00335E18" w:rsidRPr="00C827B9" w:rsidRDefault="00335E18" w:rsidP="00B50BAB">
            <w:pPr>
              <w:spacing w:after="0" w:line="240" w:lineRule="auto"/>
              <w:jc w:val="center"/>
              <w:rPr>
                <w:sz w:val="22"/>
                <w:szCs w:val="24"/>
                <w:lang w:val="en-US"/>
              </w:rPr>
            </w:pPr>
            <w:r w:rsidRPr="00C827B9">
              <w:rPr>
                <w:sz w:val="22"/>
                <w:szCs w:val="24"/>
                <w:lang w:val="en-US"/>
              </w:rPr>
              <w:t>4.2 ± 1.</w:t>
            </w:r>
            <w:r w:rsidRPr="00C827B9">
              <w:rPr>
                <w:sz w:val="22"/>
                <w:szCs w:val="24"/>
                <w:lang w:val="ru-RU"/>
              </w:rPr>
              <w:t>8</w:t>
            </w:r>
          </w:p>
        </w:tc>
        <w:tc>
          <w:tcPr>
            <w:tcW w:w="592" w:type="pct"/>
            <w:tcBorders>
              <w:left w:val="single" w:sz="4" w:space="0" w:color="auto"/>
              <w:bottom w:val="single" w:sz="12" w:space="0" w:color="000000"/>
              <w:right w:val="single" w:sz="12" w:space="0" w:color="auto"/>
            </w:tcBorders>
            <w:shd w:val="clear" w:color="auto" w:fill="auto"/>
            <w:vAlign w:val="center"/>
          </w:tcPr>
          <w:p w14:paraId="35C8577D" w14:textId="77777777" w:rsidR="00335E18" w:rsidRPr="00C827B9" w:rsidRDefault="00335E18" w:rsidP="00B50BAB">
            <w:pPr>
              <w:spacing w:after="0" w:line="240" w:lineRule="auto"/>
              <w:jc w:val="center"/>
              <w:rPr>
                <w:sz w:val="22"/>
                <w:szCs w:val="24"/>
                <w:lang w:val="en-US"/>
              </w:rPr>
            </w:pPr>
            <w:r w:rsidRPr="00C827B9">
              <w:rPr>
                <w:sz w:val="22"/>
                <w:szCs w:val="24"/>
                <w:lang w:val="en-US"/>
              </w:rPr>
              <w:t>1.8 ± 0.6*</w:t>
            </w:r>
            <w:r w:rsidRPr="00C827B9">
              <w:rPr>
                <w:sz w:val="22"/>
                <w:szCs w:val="24"/>
                <w:vertAlign w:val="superscript"/>
                <w:lang w:val="en-US"/>
              </w:rPr>
              <w:t>#</w:t>
            </w:r>
          </w:p>
        </w:tc>
        <w:tc>
          <w:tcPr>
            <w:tcW w:w="564" w:type="pct"/>
            <w:tcBorders>
              <w:left w:val="single" w:sz="12" w:space="0" w:color="auto"/>
              <w:bottom w:val="single" w:sz="12" w:space="0" w:color="000000"/>
              <w:right w:val="single" w:sz="4" w:space="0" w:color="auto"/>
            </w:tcBorders>
            <w:shd w:val="clear" w:color="auto" w:fill="auto"/>
            <w:vAlign w:val="center"/>
          </w:tcPr>
          <w:p w14:paraId="61D11C64" w14:textId="77777777" w:rsidR="00335E18" w:rsidRPr="00C827B9" w:rsidRDefault="00335E18" w:rsidP="00B50BAB">
            <w:pPr>
              <w:spacing w:after="0" w:line="240" w:lineRule="auto"/>
              <w:jc w:val="center"/>
              <w:rPr>
                <w:sz w:val="22"/>
                <w:szCs w:val="24"/>
                <w:lang w:val="ru-RU"/>
              </w:rPr>
            </w:pPr>
            <w:r w:rsidRPr="00C827B9">
              <w:rPr>
                <w:sz w:val="22"/>
                <w:szCs w:val="24"/>
                <w:lang w:val="ru-RU"/>
              </w:rPr>
              <w:t>4</w:t>
            </w:r>
            <w:r w:rsidRPr="00C827B9">
              <w:rPr>
                <w:sz w:val="22"/>
                <w:szCs w:val="24"/>
                <w:lang w:val="en-US"/>
              </w:rPr>
              <w:t>.</w:t>
            </w:r>
            <w:r w:rsidRPr="00C827B9">
              <w:rPr>
                <w:sz w:val="22"/>
                <w:szCs w:val="24"/>
                <w:lang w:val="ru-RU"/>
              </w:rPr>
              <w:t>2</w:t>
            </w:r>
            <w:r w:rsidRPr="00C827B9">
              <w:rPr>
                <w:sz w:val="22"/>
                <w:szCs w:val="24"/>
                <w:lang w:val="en-US"/>
              </w:rPr>
              <w:t xml:space="preserve"> ± </w:t>
            </w:r>
            <w:r w:rsidRPr="00C827B9">
              <w:rPr>
                <w:sz w:val="22"/>
                <w:szCs w:val="24"/>
                <w:lang w:val="ru-RU"/>
              </w:rPr>
              <w:t>1</w:t>
            </w:r>
            <w:r w:rsidRPr="00C827B9">
              <w:rPr>
                <w:sz w:val="22"/>
                <w:szCs w:val="24"/>
                <w:lang w:val="en-US"/>
              </w:rPr>
              <w:t>.</w:t>
            </w:r>
            <w:r w:rsidRPr="00C827B9">
              <w:rPr>
                <w:sz w:val="22"/>
                <w:szCs w:val="24"/>
                <w:lang w:val="ru-RU"/>
              </w:rPr>
              <w:t>7</w:t>
            </w:r>
          </w:p>
        </w:tc>
        <w:tc>
          <w:tcPr>
            <w:tcW w:w="639" w:type="pct"/>
            <w:tcBorders>
              <w:left w:val="single" w:sz="4" w:space="0" w:color="auto"/>
              <w:bottom w:val="single" w:sz="12" w:space="0" w:color="000000"/>
              <w:right w:val="single" w:sz="4" w:space="0" w:color="auto"/>
            </w:tcBorders>
            <w:shd w:val="clear" w:color="auto" w:fill="auto"/>
            <w:vAlign w:val="center"/>
          </w:tcPr>
          <w:p w14:paraId="2E3B1B32"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6</w:t>
            </w:r>
            <w:r w:rsidRPr="00C827B9">
              <w:rPr>
                <w:sz w:val="22"/>
                <w:szCs w:val="24"/>
                <w:lang w:val="en-US"/>
              </w:rPr>
              <w:t xml:space="preserve"> ± 0.</w:t>
            </w:r>
            <w:r w:rsidRPr="00C827B9">
              <w:rPr>
                <w:sz w:val="22"/>
                <w:szCs w:val="24"/>
                <w:lang w:val="ru-RU"/>
              </w:rPr>
              <w:t>4</w:t>
            </w:r>
            <w:r w:rsidRPr="00C827B9">
              <w:rPr>
                <w:sz w:val="22"/>
                <w:szCs w:val="24"/>
                <w:lang w:val="en-US"/>
              </w:rPr>
              <w:t>*</w:t>
            </w:r>
            <w:r w:rsidRPr="00C827B9">
              <w:rPr>
                <w:sz w:val="22"/>
                <w:szCs w:val="24"/>
                <w:vertAlign w:val="superscript"/>
                <w:lang w:val="en-US"/>
              </w:rPr>
              <w:t>#</w:t>
            </w:r>
          </w:p>
        </w:tc>
        <w:tc>
          <w:tcPr>
            <w:tcW w:w="635" w:type="pct"/>
            <w:tcBorders>
              <w:left w:val="single" w:sz="4" w:space="0" w:color="auto"/>
              <w:bottom w:val="single" w:sz="12" w:space="0" w:color="000000"/>
              <w:right w:val="single" w:sz="12" w:space="0" w:color="auto"/>
            </w:tcBorders>
            <w:shd w:val="clear" w:color="auto" w:fill="auto"/>
            <w:vAlign w:val="center"/>
          </w:tcPr>
          <w:p w14:paraId="2C8F1219"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5</w:t>
            </w:r>
            <w:r w:rsidRPr="00C827B9">
              <w:rPr>
                <w:sz w:val="22"/>
                <w:szCs w:val="24"/>
                <w:lang w:val="en-US"/>
              </w:rPr>
              <w:t xml:space="preserve"> ± 0.</w:t>
            </w:r>
            <w:r w:rsidRPr="00C827B9">
              <w:rPr>
                <w:sz w:val="22"/>
                <w:szCs w:val="24"/>
                <w:lang w:val="ru-RU"/>
              </w:rPr>
              <w:t>3</w:t>
            </w:r>
            <w:r w:rsidRPr="00C827B9">
              <w:rPr>
                <w:sz w:val="22"/>
                <w:szCs w:val="24"/>
                <w:lang w:val="en-US"/>
              </w:rPr>
              <w:t>*</w:t>
            </w:r>
            <w:r w:rsidRPr="00C827B9">
              <w:rPr>
                <w:sz w:val="22"/>
                <w:szCs w:val="24"/>
                <w:vertAlign w:val="superscript"/>
                <w:lang w:val="en-US"/>
              </w:rPr>
              <w:t>#</w:t>
            </w:r>
          </w:p>
        </w:tc>
      </w:tr>
      <w:tr w:rsidR="00335E18" w:rsidRPr="00C827B9" w14:paraId="37E8C6E7" w14:textId="77777777" w:rsidTr="00B50BAB">
        <w:trPr>
          <w:trHeight w:val="399"/>
          <w:jc w:val="center"/>
        </w:trPr>
        <w:tc>
          <w:tcPr>
            <w:tcW w:w="505" w:type="pct"/>
            <w:vMerge w:val="restart"/>
            <w:tcBorders>
              <w:left w:val="single" w:sz="12" w:space="0" w:color="auto"/>
              <w:bottom w:val="single" w:sz="12" w:space="0" w:color="auto"/>
              <w:right w:val="single" w:sz="12" w:space="0" w:color="auto"/>
            </w:tcBorders>
            <w:shd w:val="clear" w:color="auto" w:fill="auto"/>
            <w:vAlign w:val="center"/>
          </w:tcPr>
          <w:p w14:paraId="72078229" w14:textId="77777777" w:rsidR="00335E18" w:rsidRPr="00C827B9" w:rsidRDefault="00335E18" w:rsidP="00B50BAB">
            <w:pPr>
              <w:spacing w:after="0" w:line="240" w:lineRule="auto"/>
              <w:jc w:val="both"/>
              <w:rPr>
                <w:sz w:val="22"/>
                <w:szCs w:val="24"/>
                <w:lang w:val="en-US"/>
              </w:rPr>
            </w:pPr>
            <w:r w:rsidRPr="00C827B9">
              <w:rPr>
                <w:sz w:val="22"/>
                <w:szCs w:val="24"/>
                <w:lang w:val="en-US"/>
              </w:rPr>
              <w:t>Funct</w:t>
            </w:r>
            <w:r w:rsidRPr="00C827B9">
              <w:rPr>
                <w:sz w:val="22"/>
                <w:szCs w:val="24"/>
                <w:vertAlign w:val="subscript"/>
                <w:lang w:val="en-US"/>
              </w:rPr>
              <w:t>TR1</w:t>
            </w:r>
            <w:r w:rsidRPr="00C827B9">
              <w:rPr>
                <w:sz w:val="22"/>
                <w:szCs w:val="24"/>
                <w:lang w:val="en-US"/>
              </w:rPr>
              <w:t xml:space="preserve"> (%)</w:t>
            </w:r>
          </w:p>
        </w:tc>
        <w:tc>
          <w:tcPr>
            <w:tcW w:w="508" w:type="pct"/>
            <w:tcBorders>
              <w:top w:val="single" w:sz="12" w:space="0" w:color="000000"/>
              <w:left w:val="single" w:sz="12" w:space="0" w:color="auto"/>
              <w:right w:val="single" w:sz="4" w:space="0" w:color="auto"/>
            </w:tcBorders>
            <w:shd w:val="clear" w:color="auto" w:fill="auto"/>
            <w:vAlign w:val="center"/>
          </w:tcPr>
          <w:p w14:paraId="25195E0D" w14:textId="77777777" w:rsidR="00335E18" w:rsidRPr="00C827B9" w:rsidRDefault="00335E18" w:rsidP="00B50BAB">
            <w:pPr>
              <w:spacing w:after="0" w:line="240" w:lineRule="auto"/>
              <w:jc w:val="center"/>
              <w:rPr>
                <w:sz w:val="22"/>
                <w:szCs w:val="24"/>
                <w:lang w:val="en-US"/>
              </w:rPr>
            </w:pPr>
            <w:r w:rsidRPr="00C827B9">
              <w:rPr>
                <w:sz w:val="22"/>
                <w:szCs w:val="24"/>
                <w:lang w:val="en-US"/>
              </w:rPr>
              <w:t>2.</w:t>
            </w:r>
            <w:r w:rsidRPr="00C827B9">
              <w:rPr>
                <w:sz w:val="22"/>
                <w:szCs w:val="24"/>
                <w:lang w:val="ru-RU"/>
              </w:rPr>
              <w:t>3</w:t>
            </w:r>
            <w:r w:rsidRPr="00C827B9">
              <w:rPr>
                <w:sz w:val="22"/>
                <w:szCs w:val="24"/>
                <w:lang w:val="en-US"/>
              </w:rPr>
              <w:t xml:space="preserve"> ± 0.9</w:t>
            </w:r>
          </w:p>
        </w:tc>
        <w:tc>
          <w:tcPr>
            <w:tcW w:w="508" w:type="pct"/>
            <w:tcBorders>
              <w:top w:val="single" w:sz="12" w:space="0" w:color="000000"/>
              <w:left w:val="single" w:sz="4" w:space="0" w:color="auto"/>
              <w:right w:val="single" w:sz="4" w:space="0" w:color="auto"/>
            </w:tcBorders>
            <w:shd w:val="clear" w:color="auto" w:fill="auto"/>
            <w:vAlign w:val="center"/>
          </w:tcPr>
          <w:p w14:paraId="5939D5A3"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9</w:t>
            </w:r>
            <w:r w:rsidRPr="00C827B9">
              <w:rPr>
                <w:sz w:val="22"/>
                <w:szCs w:val="24"/>
                <w:lang w:val="en-US"/>
              </w:rPr>
              <w:t xml:space="preserve"> ± 0.</w:t>
            </w:r>
            <w:r w:rsidRPr="00C827B9">
              <w:rPr>
                <w:sz w:val="22"/>
                <w:szCs w:val="24"/>
                <w:lang w:val="ru-RU"/>
              </w:rPr>
              <w:t>7</w:t>
            </w:r>
          </w:p>
        </w:tc>
        <w:tc>
          <w:tcPr>
            <w:tcW w:w="496" w:type="pct"/>
            <w:tcBorders>
              <w:top w:val="single" w:sz="12" w:space="0" w:color="000000"/>
              <w:left w:val="single" w:sz="4" w:space="0" w:color="auto"/>
              <w:right w:val="single" w:sz="12" w:space="0" w:color="auto"/>
            </w:tcBorders>
            <w:shd w:val="clear" w:color="auto" w:fill="auto"/>
            <w:vAlign w:val="center"/>
          </w:tcPr>
          <w:p w14:paraId="1AC5C1E8"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w:t>
            </w:r>
            <w:r w:rsidRPr="00C827B9">
              <w:rPr>
                <w:sz w:val="22"/>
                <w:szCs w:val="24"/>
                <w:lang w:val="ru-RU"/>
              </w:rPr>
              <w:t>9</w:t>
            </w:r>
            <w:r w:rsidRPr="00C827B9">
              <w:rPr>
                <w:sz w:val="22"/>
                <w:szCs w:val="24"/>
                <w:lang w:val="en-US"/>
              </w:rPr>
              <w:t xml:space="preserve"> ± 0.</w:t>
            </w:r>
            <w:r w:rsidRPr="00C827B9">
              <w:rPr>
                <w:sz w:val="22"/>
                <w:szCs w:val="24"/>
                <w:lang w:val="ru-RU"/>
              </w:rPr>
              <w:t>6</w:t>
            </w:r>
          </w:p>
        </w:tc>
        <w:tc>
          <w:tcPr>
            <w:tcW w:w="554" w:type="pct"/>
            <w:tcBorders>
              <w:top w:val="single" w:sz="12" w:space="0" w:color="000000"/>
              <w:left w:val="single" w:sz="12" w:space="0" w:color="auto"/>
              <w:right w:val="single" w:sz="4" w:space="0" w:color="auto"/>
            </w:tcBorders>
            <w:shd w:val="clear" w:color="auto" w:fill="auto"/>
            <w:vAlign w:val="center"/>
          </w:tcPr>
          <w:p w14:paraId="2FACA624" w14:textId="77777777" w:rsidR="00335E18" w:rsidRPr="00C827B9" w:rsidRDefault="00335E18" w:rsidP="00B50BAB">
            <w:pPr>
              <w:spacing w:after="0" w:line="240" w:lineRule="auto"/>
              <w:jc w:val="center"/>
              <w:rPr>
                <w:sz w:val="22"/>
                <w:szCs w:val="24"/>
                <w:lang w:val="en-US"/>
              </w:rPr>
            </w:pPr>
            <w:r w:rsidRPr="00C827B9">
              <w:rPr>
                <w:sz w:val="22"/>
                <w:szCs w:val="24"/>
                <w:lang w:val="en-US"/>
              </w:rPr>
              <w:t>3.1 ± 1.8</w:t>
            </w:r>
          </w:p>
        </w:tc>
        <w:tc>
          <w:tcPr>
            <w:tcW w:w="592" w:type="pct"/>
            <w:tcBorders>
              <w:top w:val="single" w:sz="12" w:space="0" w:color="000000"/>
              <w:left w:val="single" w:sz="4" w:space="0" w:color="auto"/>
              <w:right w:val="single" w:sz="12" w:space="0" w:color="auto"/>
            </w:tcBorders>
            <w:shd w:val="clear" w:color="auto" w:fill="auto"/>
            <w:vAlign w:val="center"/>
          </w:tcPr>
          <w:p w14:paraId="0D6E8A26" w14:textId="77777777" w:rsidR="00335E18" w:rsidRPr="00C827B9" w:rsidRDefault="00335E18" w:rsidP="00B50BAB">
            <w:pPr>
              <w:spacing w:after="0" w:line="240" w:lineRule="auto"/>
              <w:jc w:val="center"/>
              <w:rPr>
                <w:sz w:val="22"/>
                <w:szCs w:val="24"/>
                <w:lang w:val="en-US"/>
              </w:rPr>
            </w:pPr>
            <w:r w:rsidRPr="00C827B9">
              <w:rPr>
                <w:sz w:val="22"/>
                <w:szCs w:val="24"/>
                <w:lang w:val="en-US"/>
              </w:rPr>
              <w:t>0.9 ± 0.3*</w:t>
            </w:r>
            <w:r w:rsidRPr="00C827B9">
              <w:rPr>
                <w:sz w:val="22"/>
                <w:szCs w:val="24"/>
                <w:vertAlign w:val="superscript"/>
                <w:lang w:val="en-US"/>
              </w:rPr>
              <w:t>#</w:t>
            </w:r>
          </w:p>
        </w:tc>
        <w:tc>
          <w:tcPr>
            <w:tcW w:w="564" w:type="pct"/>
            <w:tcBorders>
              <w:top w:val="single" w:sz="12" w:space="0" w:color="000000"/>
              <w:left w:val="single" w:sz="12" w:space="0" w:color="auto"/>
              <w:right w:val="single" w:sz="4" w:space="0" w:color="auto"/>
            </w:tcBorders>
            <w:shd w:val="clear" w:color="auto" w:fill="auto"/>
            <w:vAlign w:val="center"/>
          </w:tcPr>
          <w:p w14:paraId="64B689D3" w14:textId="77777777" w:rsidR="00335E18" w:rsidRPr="00C827B9" w:rsidRDefault="00335E18" w:rsidP="00B50BAB">
            <w:pPr>
              <w:spacing w:after="0" w:line="240" w:lineRule="auto"/>
              <w:jc w:val="center"/>
              <w:rPr>
                <w:sz w:val="22"/>
                <w:szCs w:val="24"/>
                <w:lang w:val="ru-RU"/>
              </w:rPr>
            </w:pPr>
            <w:r w:rsidRPr="00C827B9">
              <w:rPr>
                <w:sz w:val="22"/>
                <w:szCs w:val="24"/>
                <w:lang w:val="ru-RU"/>
              </w:rPr>
              <w:t>3</w:t>
            </w:r>
            <w:r w:rsidRPr="00C827B9">
              <w:rPr>
                <w:sz w:val="22"/>
                <w:szCs w:val="24"/>
                <w:lang w:val="en-US"/>
              </w:rPr>
              <w:t>.</w:t>
            </w:r>
            <w:r w:rsidRPr="00C827B9">
              <w:rPr>
                <w:sz w:val="22"/>
                <w:szCs w:val="24"/>
                <w:lang w:val="ru-RU"/>
              </w:rPr>
              <w:t>1</w:t>
            </w:r>
            <w:r w:rsidRPr="00C827B9">
              <w:rPr>
                <w:sz w:val="22"/>
                <w:szCs w:val="24"/>
                <w:lang w:val="en-US"/>
              </w:rPr>
              <w:t xml:space="preserve"> ± </w:t>
            </w:r>
            <w:r w:rsidRPr="00C827B9">
              <w:rPr>
                <w:sz w:val="22"/>
                <w:szCs w:val="24"/>
                <w:lang w:val="ru-RU"/>
              </w:rPr>
              <w:t>1</w:t>
            </w:r>
            <w:r w:rsidRPr="00C827B9">
              <w:rPr>
                <w:sz w:val="22"/>
                <w:szCs w:val="24"/>
                <w:lang w:val="en-US"/>
              </w:rPr>
              <w:t>.</w:t>
            </w:r>
            <w:r w:rsidRPr="00C827B9">
              <w:rPr>
                <w:sz w:val="22"/>
                <w:szCs w:val="24"/>
                <w:lang w:val="ru-RU"/>
              </w:rPr>
              <w:t>6</w:t>
            </w:r>
          </w:p>
        </w:tc>
        <w:tc>
          <w:tcPr>
            <w:tcW w:w="639" w:type="pct"/>
            <w:tcBorders>
              <w:top w:val="single" w:sz="12" w:space="0" w:color="000000"/>
              <w:left w:val="single" w:sz="4" w:space="0" w:color="auto"/>
              <w:right w:val="single" w:sz="4" w:space="0" w:color="auto"/>
            </w:tcBorders>
            <w:shd w:val="clear" w:color="auto" w:fill="auto"/>
            <w:vAlign w:val="center"/>
          </w:tcPr>
          <w:p w14:paraId="49D2626E" w14:textId="77777777" w:rsidR="00335E18" w:rsidRPr="00C827B9" w:rsidRDefault="00335E18" w:rsidP="00B50BAB">
            <w:pPr>
              <w:spacing w:after="0" w:line="240" w:lineRule="auto"/>
              <w:jc w:val="center"/>
              <w:rPr>
                <w:sz w:val="22"/>
                <w:szCs w:val="24"/>
                <w:lang w:val="ru-RU"/>
              </w:rPr>
            </w:pPr>
            <w:r w:rsidRPr="00C827B9">
              <w:rPr>
                <w:sz w:val="22"/>
                <w:szCs w:val="24"/>
                <w:lang w:val="ru-RU"/>
              </w:rPr>
              <w:t>0</w:t>
            </w:r>
            <w:r w:rsidRPr="00C827B9">
              <w:rPr>
                <w:sz w:val="22"/>
                <w:szCs w:val="24"/>
                <w:lang w:val="en-US"/>
              </w:rPr>
              <w:t>.</w:t>
            </w:r>
            <w:r w:rsidRPr="00C827B9">
              <w:rPr>
                <w:sz w:val="22"/>
                <w:szCs w:val="24"/>
                <w:lang w:val="ru-RU"/>
              </w:rPr>
              <w:t>8</w:t>
            </w:r>
            <w:r w:rsidRPr="00C827B9">
              <w:rPr>
                <w:sz w:val="22"/>
                <w:szCs w:val="24"/>
                <w:lang w:val="en-US"/>
              </w:rPr>
              <w:t xml:space="preserve"> ± 0.</w:t>
            </w:r>
            <w:r w:rsidRPr="00C827B9">
              <w:rPr>
                <w:sz w:val="22"/>
                <w:szCs w:val="24"/>
                <w:lang w:val="ru-RU"/>
              </w:rPr>
              <w:t>2</w:t>
            </w:r>
            <w:r w:rsidRPr="00C827B9">
              <w:rPr>
                <w:sz w:val="22"/>
                <w:szCs w:val="24"/>
                <w:lang w:val="en-US"/>
              </w:rPr>
              <w:t>*</w:t>
            </w:r>
            <w:r w:rsidRPr="00C827B9">
              <w:rPr>
                <w:sz w:val="22"/>
                <w:szCs w:val="24"/>
                <w:vertAlign w:val="superscript"/>
                <w:lang w:val="en-US"/>
              </w:rPr>
              <w:t>#</w:t>
            </w:r>
          </w:p>
        </w:tc>
        <w:tc>
          <w:tcPr>
            <w:tcW w:w="635" w:type="pct"/>
            <w:tcBorders>
              <w:top w:val="single" w:sz="12" w:space="0" w:color="000000"/>
              <w:left w:val="single" w:sz="4" w:space="0" w:color="auto"/>
              <w:right w:val="single" w:sz="12" w:space="0" w:color="auto"/>
            </w:tcBorders>
            <w:shd w:val="clear" w:color="auto" w:fill="auto"/>
            <w:vAlign w:val="center"/>
          </w:tcPr>
          <w:p w14:paraId="2716FCB1" w14:textId="77777777" w:rsidR="00335E18" w:rsidRPr="00C827B9" w:rsidRDefault="00335E18" w:rsidP="00B50BAB">
            <w:pPr>
              <w:spacing w:after="0" w:line="240" w:lineRule="auto"/>
              <w:jc w:val="center"/>
              <w:rPr>
                <w:sz w:val="22"/>
                <w:szCs w:val="24"/>
                <w:lang w:val="ru-RU"/>
              </w:rPr>
            </w:pPr>
            <w:r w:rsidRPr="00C827B9">
              <w:rPr>
                <w:sz w:val="22"/>
                <w:szCs w:val="24"/>
                <w:lang w:val="ru-RU"/>
              </w:rPr>
              <w:t>0</w:t>
            </w:r>
            <w:r w:rsidRPr="00C827B9">
              <w:rPr>
                <w:sz w:val="22"/>
                <w:szCs w:val="24"/>
                <w:lang w:val="en-US"/>
              </w:rPr>
              <w:t>.</w:t>
            </w:r>
            <w:r w:rsidRPr="00C827B9">
              <w:rPr>
                <w:sz w:val="22"/>
                <w:szCs w:val="24"/>
                <w:lang w:val="ru-RU"/>
              </w:rPr>
              <w:t>8</w:t>
            </w:r>
            <w:r w:rsidRPr="00C827B9">
              <w:rPr>
                <w:sz w:val="22"/>
                <w:szCs w:val="24"/>
                <w:lang w:val="en-US"/>
              </w:rPr>
              <w:t xml:space="preserve"> ± 0.</w:t>
            </w:r>
            <w:r w:rsidRPr="00C827B9">
              <w:rPr>
                <w:sz w:val="22"/>
                <w:szCs w:val="24"/>
                <w:lang w:val="ru-RU"/>
              </w:rPr>
              <w:t>2</w:t>
            </w:r>
            <w:r w:rsidRPr="00C827B9">
              <w:rPr>
                <w:sz w:val="22"/>
                <w:szCs w:val="24"/>
                <w:lang w:val="en-US"/>
              </w:rPr>
              <w:t>*</w:t>
            </w:r>
            <w:r w:rsidRPr="00C827B9">
              <w:rPr>
                <w:sz w:val="22"/>
                <w:szCs w:val="24"/>
                <w:vertAlign w:val="superscript"/>
                <w:lang w:val="en-US"/>
              </w:rPr>
              <w:t>#</w:t>
            </w:r>
          </w:p>
        </w:tc>
      </w:tr>
      <w:tr w:rsidR="00335E18" w:rsidRPr="00C827B9" w14:paraId="351A2593" w14:textId="77777777" w:rsidTr="00B50BAB">
        <w:trPr>
          <w:trHeight w:val="391"/>
          <w:jc w:val="center"/>
        </w:trPr>
        <w:tc>
          <w:tcPr>
            <w:tcW w:w="505" w:type="pct"/>
            <w:vMerge/>
            <w:tcBorders>
              <w:left w:val="single" w:sz="12" w:space="0" w:color="auto"/>
              <w:bottom w:val="single" w:sz="12" w:space="0" w:color="auto"/>
              <w:right w:val="single" w:sz="12" w:space="0" w:color="auto"/>
            </w:tcBorders>
            <w:shd w:val="clear" w:color="auto" w:fill="auto"/>
            <w:vAlign w:val="center"/>
          </w:tcPr>
          <w:p w14:paraId="78235306" w14:textId="77777777" w:rsidR="00335E18" w:rsidRPr="00C827B9" w:rsidRDefault="00335E18" w:rsidP="00B50BAB">
            <w:pPr>
              <w:spacing w:after="0" w:line="240" w:lineRule="auto"/>
              <w:jc w:val="both"/>
              <w:rPr>
                <w:sz w:val="22"/>
                <w:szCs w:val="24"/>
                <w:lang w:val="en-US"/>
              </w:rPr>
            </w:pPr>
          </w:p>
        </w:tc>
        <w:tc>
          <w:tcPr>
            <w:tcW w:w="508" w:type="pct"/>
            <w:tcBorders>
              <w:left w:val="single" w:sz="12" w:space="0" w:color="auto"/>
              <w:bottom w:val="single" w:sz="12" w:space="0" w:color="000000"/>
              <w:right w:val="single" w:sz="4" w:space="0" w:color="auto"/>
            </w:tcBorders>
            <w:shd w:val="clear" w:color="auto" w:fill="auto"/>
            <w:vAlign w:val="center"/>
          </w:tcPr>
          <w:p w14:paraId="7E34F57A" w14:textId="77777777" w:rsidR="00335E18" w:rsidRPr="00C827B9" w:rsidRDefault="00335E18" w:rsidP="00B50BAB">
            <w:pPr>
              <w:spacing w:after="0" w:line="240" w:lineRule="auto"/>
              <w:jc w:val="center"/>
              <w:rPr>
                <w:sz w:val="22"/>
                <w:szCs w:val="24"/>
                <w:lang w:val="en-US"/>
              </w:rPr>
            </w:pPr>
            <w:r w:rsidRPr="00C827B9">
              <w:rPr>
                <w:sz w:val="22"/>
                <w:szCs w:val="24"/>
                <w:lang w:val="en-US"/>
              </w:rPr>
              <w:t>3.0 ± 0.8</w:t>
            </w:r>
          </w:p>
        </w:tc>
        <w:tc>
          <w:tcPr>
            <w:tcW w:w="508" w:type="pct"/>
            <w:tcBorders>
              <w:left w:val="single" w:sz="4" w:space="0" w:color="auto"/>
              <w:bottom w:val="single" w:sz="12" w:space="0" w:color="000000"/>
              <w:right w:val="single" w:sz="4" w:space="0" w:color="auto"/>
            </w:tcBorders>
            <w:shd w:val="clear" w:color="auto" w:fill="auto"/>
            <w:vAlign w:val="center"/>
          </w:tcPr>
          <w:p w14:paraId="50BA4387" w14:textId="77777777" w:rsidR="00335E18" w:rsidRPr="00C827B9" w:rsidRDefault="00335E18" w:rsidP="00B50BAB">
            <w:pPr>
              <w:spacing w:after="0" w:line="240" w:lineRule="auto"/>
              <w:jc w:val="center"/>
              <w:rPr>
                <w:sz w:val="22"/>
                <w:szCs w:val="24"/>
                <w:lang w:val="en-US"/>
              </w:rPr>
            </w:pPr>
            <w:r w:rsidRPr="00C827B9">
              <w:rPr>
                <w:sz w:val="22"/>
                <w:szCs w:val="24"/>
                <w:lang w:val="en-US"/>
              </w:rPr>
              <w:t>2.</w:t>
            </w:r>
            <w:r w:rsidRPr="00C827B9">
              <w:rPr>
                <w:sz w:val="22"/>
                <w:szCs w:val="24"/>
                <w:lang w:val="ru-RU"/>
              </w:rPr>
              <w:t>7</w:t>
            </w:r>
            <w:r w:rsidRPr="00C827B9">
              <w:rPr>
                <w:sz w:val="22"/>
                <w:szCs w:val="24"/>
                <w:lang w:val="en-US"/>
              </w:rPr>
              <w:t xml:space="preserve"> ± 0.</w:t>
            </w:r>
            <w:r w:rsidRPr="00C827B9">
              <w:rPr>
                <w:sz w:val="22"/>
                <w:szCs w:val="24"/>
                <w:lang w:val="ru-RU"/>
              </w:rPr>
              <w:t>7</w:t>
            </w:r>
          </w:p>
        </w:tc>
        <w:tc>
          <w:tcPr>
            <w:tcW w:w="496" w:type="pct"/>
            <w:tcBorders>
              <w:left w:val="single" w:sz="4" w:space="0" w:color="auto"/>
              <w:bottom w:val="single" w:sz="12" w:space="0" w:color="000000"/>
              <w:right w:val="single" w:sz="12" w:space="0" w:color="auto"/>
            </w:tcBorders>
            <w:shd w:val="clear" w:color="auto" w:fill="auto"/>
            <w:vAlign w:val="center"/>
          </w:tcPr>
          <w:p w14:paraId="14BD75C7" w14:textId="77777777" w:rsidR="00335E18" w:rsidRPr="00C827B9" w:rsidRDefault="00335E18" w:rsidP="00B50BAB">
            <w:pPr>
              <w:spacing w:after="0" w:line="240" w:lineRule="auto"/>
              <w:jc w:val="center"/>
              <w:rPr>
                <w:sz w:val="22"/>
                <w:szCs w:val="24"/>
                <w:lang w:val="en-US"/>
              </w:rPr>
            </w:pPr>
            <w:r w:rsidRPr="00C827B9">
              <w:rPr>
                <w:sz w:val="22"/>
                <w:szCs w:val="24"/>
                <w:lang w:val="en-US"/>
              </w:rPr>
              <w:t>2.</w:t>
            </w:r>
            <w:r w:rsidRPr="00C827B9">
              <w:rPr>
                <w:sz w:val="22"/>
                <w:szCs w:val="24"/>
                <w:lang w:val="ru-RU"/>
              </w:rPr>
              <w:t>7</w:t>
            </w:r>
            <w:r w:rsidRPr="00C827B9">
              <w:rPr>
                <w:sz w:val="22"/>
                <w:szCs w:val="24"/>
                <w:lang w:val="en-US"/>
              </w:rPr>
              <w:t xml:space="preserve"> ± 0.</w:t>
            </w:r>
            <w:r w:rsidRPr="00C827B9">
              <w:rPr>
                <w:sz w:val="22"/>
                <w:szCs w:val="24"/>
                <w:lang w:val="ru-RU"/>
              </w:rPr>
              <w:t>6</w:t>
            </w:r>
          </w:p>
        </w:tc>
        <w:tc>
          <w:tcPr>
            <w:tcW w:w="554" w:type="pct"/>
            <w:tcBorders>
              <w:left w:val="single" w:sz="12" w:space="0" w:color="auto"/>
              <w:bottom w:val="single" w:sz="12" w:space="0" w:color="000000"/>
              <w:right w:val="single" w:sz="4" w:space="0" w:color="auto"/>
            </w:tcBorders>
            <w:shd w:val="clear" w:color="auto" w:fill="auto"/>
            <w:vAlign w:val="center"/>
          </w:tcPr>
          <w:p w14:paraId="435BFDB4" w14:textId="77777777" w:rsidR="00335E18" w:rsidRPr="00C827B9" w:rsidRDefault="00335E18" w:rsidP="00B50BAB">
            <w:pPr>
              <w:spacing w:after="0" w:line="240" w:lineRule="auto"/>
              <w:jc w:val="center"/>
              <w:rPr>
                <w:sz w:val="22"/>
                <w:szCs w:val="24"/>
                <w:lang w:val="en-US"/>
              </w:rPr>
            </w:pPr>
            <w:r w:rsidRPr="00C827B9">
              <w:rPr>
                <w:sz w:val="22"/>
                <w:szCs w:val="24"/>
                <w:lang w:val="en-US"/>
              </w:rPr>
              <w:t>3.9 ± 1.6</w:t>
            </w:r>
          </w:p>
        </w:tc>
        <w:tc>
          <w:tcPr>
            <w:tcW w:w="592" w:type="pct"/>
            <w:tcBorders>
              <w:left w:val="single" w:sz="4" w:space="0" w:color="auto"/>
              <w:bottom w:val="single" w:sz="12" w:space="0" w:color="000000"/>
              <w:right w:val="single" w:sz="12" w:space="0" w:color="auto"/>
            </w:tcBorders>
            <w:shd w:val="clear" w:color="auto" w:fill="auto"/>
            <w:vAlign w:val="center"/>
          </w:tcPr>
          <w:p w14:paraId="3B20B4E3" w14:textId="77777777" w:rsidR="00335E18" w:rsidRPr="00C827B9" w:rsidRDefault="00335E18" w:rsidP="00B50BAB">
            <w:pPr>
              <w:spacing w:after="0" w:line="240" w:lineRule="auto"/>
              <w:jc w:val="center"/>
              <w:rPr>
                <w:sz w:val="22"/>
                <w:szCs w:val="24"/>
                <w:lang w:val="en-US"/>
              </w:rPr>
            </w:pPr>
            <w:r w:rsidRPr="00C827B9">
              <w:rPr>
                <w:sz w:val="22"/>
                <w:szCs w:val="24"/>
                <w:lang w:val="en-US"/>
              </w:rPr>
              <w:t>1.6 ± 0.4*</w:t>
            </w:r>
            <w:r w:rsidRPr="00C827B9">
              <w:rPr>
                <w:sz w:val="22"/>
                <w:szCs w:val="24"/>
                <w:vertAlign w:val="superscript"/>
                <w:lang w:val="en-US"/>
              </w:rPr>
              <w:t>#</w:t>
            </w:r>
          </w:p>
        </w:tc>
        <w:tc>
          <w:tcPr>
            <w:tcW w:w="564" w:type="pct"/>
            <w:tcBorders>
              <w:left w:val="single" w:sz="12" w:space="0" w:color="auto"/>
              <w:bottom w:val="single" w:sz="12" w:space="0" w:color="000000"/>
              <w:right w:val="single" w:sz="4" w:space="0" w:color="auto"/>
            </w:tcBorders>
            <w:shd w:val="clear" w:color="auto" w:fill="auto"/>
            <w:vAlign w:val="center"/>
          </w:tcPr>
          <w:p w14:paraId="70C841C7" w14:textId="77777777" w:rsidR="00335E18" w:rsidRPr="00C827B9" w:rsidRDefault="00335E18" w:rsidP="00B50BAB">
            <w:pPr>
              <w:spacing w:after="0" w:line="240" w:lineRule="auto"/>
              <w:jc w:val="center"/>
              <w:rPr>
                <w:sz w:val="22"/>
                <w:szCs w:val="24"/>
                <w:lang w:val="en-US"/>
              </w:rPr>
            </w:pPr>
            <w:r w:rsidRPr="00C827B9">
              <w:rPr>
                <w:sz w:val="22"/>
                <w:szCs w:val="24"/>
                <w:lang w:val="en-US"/>
              </w:rPr>
              <w:t>3.</w:t>
            </w:r>
            <w:r w:rsidRPr="00C827B9">
              <w:rPr>
                <w:sz w:val="22"/>
                <w:szCs w:val="24"/>
                <w:lang w:val="ru-RU"/>
              </w:rPr>
              <w:t>9</w:t>
            </w:r>
            <w:r w:rsidRPr="00C827B9">
              <w:rPr>
                <w:sz w:val="22"/>
                <w:szCs w:val="24"/>
                <w:lang w:val="en-US"/>
              </w:rPr>
              <w:t xml:space="preserve"> ± 1.</w:t>
            </w:r>
            <w:r w:rsidRPr="00C827B9">
              <w:rPr>
                <w:sz w:val="22"/>
                <w:szCs w:val="24"/>
                <w:lang w:val="ru-RU"/>
              </w:rPr>
              <w:t>6</w:t>
            </w:r>
          </w:p>
        </w:tc>
        <w:tc>
          <w:tcPr>
            <w:tcW w:w="639" w:type="pct"/>
            <w:tcBorders>
              <w:left w:val="single" w:sz="4" w:space="0" w:color="auto"/>
              <w:bottom w:val="single" w:sz="12" w:space="0" w:color="000000"/>
              <w:right w:val="single" w:sz="4" w:space="0" w:color="auto"/>
            </w:tcBorders>
            <w:shd w:val="clear" w:color="auto" w:fill="auto"/>
            <w:vAlign w:val="center"/>
          </w:tcPr>
          <w:p w14:paraId="4D905CEA" w14:textId="77777777" w:rsidR="00335E18" w:rsidRPr="00C827B9" w:rsidRDefault="00335E18" w:rsidP="00B50BAB">
            <w:pPr>
              <w:spacing w:after="0" w:line="240" w:lineRule="auto"/>
              <w:jc w:val="center"/>
              <w:rPr>
                <w:sz w:val="22"/>
                <w:szCs w:val="24"/>
                <w:lang w:val="ru-RU"/>
              </w:rPr>
            </w:pPr>
            <w:r w:rsidRPr="00C827B9">
              <w:rPr>
                <w:sz w:val="22"/>
                <w:szCs w:val="24"/>
                <w:lang w:val="en-US"/>
              </w:rPr>
              <w:t>1.</w:t>
            </w:r>
            <w:r w:rsidRPr="00C827B9">
              <w:rPr>
                <w:sz w:val="22"/>
                <w:szCs w:val="24"/>
                <w:lang w:val="ru-RU"/>
              </w:rPr>
              <w:t>6</w:t>
            </w:r>
            <w:r w:rsidRPr="00C827B9">
              <w:rPr>
                <w:sz w:val="22"/>
                <w:szCs w:val="24"/>
                <w:lang w:val="en-US"/>
              </w:rPr>
              <w:t xml:space="preserve"> ± 0.</w:t>
            </w:r>
            <w:r w:rsidRPr="00C827B9">
              <w:rPr>
                <w:sz w:val="22"/>
                <w:szCs w:val="24"/>
                <w:lang w:val="ru-RU"/>
              </w:rPr>
              <w:t>4</w:t>
            </w:r>
            <w:r w:rsidRPr="00C827B9">
              <w:rPr>
                <w:sz w:val="22"/>
                <w:szCs w:val="24"/>
                <w:lang w:val="en-US"/>
              </w:rPr>
              <w:t>*</w:t>
            </w:r>
            <w:r w:rsidRPr="00C827B9">
              <w:rPr>
                <w:sz w:val="22"/>
                <w:szCs w:val="24"/>
                <w:vertAlign w:val="superscript"/>
                <w:lang w:val="en-US"/>
              </w:rPr>
              <w:t>#</w:t>
            </w:r>
          </w:p>
        </w:tc>
        <w:tc>
          <w:tcPr>
            <w:tcW w:w="635" w:type="pct"/>
            <w:tcBorders>
              <w:left w:val="single" w:sz="4" w:space="0" w:color="auto"/>
              <w:bottom w:val="single" w:sz="12" w:space="0" w:color="000000"/>
              <w:right w:val="single" w:sz="12" w:space="0" w:color="auto"/>
            </w:tcBorders>
            <w:shd w:val="clear" w:color="auto" w:fill="auto"/>
            <w:vAlign w:val="center"/>
          </w:tcPr>
          <w:p w14:paraId="36494CF5" w14:textId="77777777" w:rsidR="00335E18" w:rsidRPr="00C827B9" w:rsidRDefault="00335E18" w:rsidP="00B50BAB">
            <w:pPr>
              <w:spacing w:after="0" w:line="240" w:lineRule="auto"/>
              <w:jc w:val="center"/>
              <w:rPr>
                <w:sz w:val="22"/>
                <w:szCs w:val="24"/>
                <w:lang w:val="ru-RU"/>
              </w:rPr>
            </w:pPr>
            <w:r w:rsidRPr="00C827B9">
              <w:rPr>
                <w:sz w:val="22"/>
                <w:szCs w:val="24"/>
                <w:lang w:val="en-US"/>
              </w:rPr>
              <w:t>1.</w:t>
            </w:r>
            <w:r w:rsidRPr="00C827B9">
              <w:rPr>
                <w:sz w:val="22"/>
                <w:szCs w:val="24"/>
                <w:lang w:val="ru-RU"/>
              </w:rPr>
              <w:t>5</w:t>
            </w:r>
            <w:r w:rsidRPr="00C827B9">
              <w:rPr>
                <w:sz w:val="22"/>
                <w:szCs w:val="24"/>
                <w:lang w:val="en-US"/>
              </w:rPr>
              <w:t xml:space="preserve"> ± 0.</w:t>
            </w:r>
            <w:r w:rsidRPr="00C827B9">
              <w:rPr>
                <w:sz w:val="22"/>
                <w:szCs w:val="24"/>
                <w:lang w:val="ru-RU"/>
              </w:rPr>
              <w:t>3</w:t>
            </w:r>
            <w:r w:rsidRPr="00C827B9">
              <w:rPr>
                <w:sz w:val="22"/>
                <w:szCs w:val="24"/>
                <w:lang w:val="en-US"/>
              </w:rPr>
              <w:t>*</w:t>
            </w:r>
            <w:r w:rsidRPr="00C827B9">
              <w:rPr>
                <w:sz w:val="22"/>
                <w:szCs w:val="24"/>
                <w:vertAlign w:val="superscript"/>
                <w:lang w:val="en-US"/>
              </w:rPr>
              <w:t>#</w:t>
            </w:r>
          </w:p>
        </w:tc>
      </w:tr>
      <w:tr w:rsidR="00335E18" w:rsidRPr="00C827B9" w14:paraId="2ABBFDE9" w14:textId="77777777" w:rsidTr="00B50BAB">
        <w:trPr>
          <w:trHeight w:val="396"/>
          <w:jc w:val="center"/>
        </w:trPr>
        <w:tc>
          <w:tcPr>
            <w:tcW w:w="505" w:type="pct"/>
            <w:vMerge w:val="restart"/>
            <w:tcBorders>
              <w:top w:val="single" w:sz="12" w:space="0" w:color="auto"/>
              <w:left w:val="single" w:sz="12" w:space="0" w:color="auto"/>
              <w:right w:val="single" w:sz="12" w:space="0" w:color="auto"/>
            </w:tcBorders>
            <w:shd w:val="clear" w:color="auto" w:fill="auto"/>
            <w:vAlign w:val="center"/>
          </w:tcPr>
          <w:p w14:paraId="472058AF" w14:textId="77777777" w:rsidR="00335E18" w:rsidRPr="00C827B9" w:rsidRDefault="00335E18" w:rsidP="00B50BAB">
            <w:pPr>
              <w:spacing w:after="0" w:line="240" w:lineRule="auto"/>
              <w:jc w:val="both"/>
              <w:rPr>
                <w:sz w:val="22"/>
                <w:szCs w:val="24"/>
                <w:lang w:val="en-US"/>
              </w:rPr>
            </w:pPr>
            <w:r w:rsidRPr="00C827B9">
              <w:rPr>
                <w:sz w:val="22"/>
                <w:szCs w:val="24"/>
                <w:lang w:val="en-US"/>
              </w:rPr>
              <w:t>Funct</w:t>
            </w:r>
            <w:r w:rsidRPr="00C827B9">
              <w:rPr>
                <w:sz w:val="22"/>
                <w:szCs w:val="24"/>
                <w:vertAlign w:val="subscript"/>
                <w:lang w:val="en-US"/>
              </w:rPr>
              <w:t>TR2</w:t>
            </w:r>
            <w:r w:rsidRPr="00C827B9">
              <w:rPr>
                <w:sz w:val="22"/>
                <w:szCs w:val="24"/>
                <w:lang w:val="en-US"/>
              </w:rPr>
              <w:t xml:space="preserve"> (%)</w:t>
            </w:r>
          </w:p>
        </w:tc>
        <w:tc>
          <w:tcPr>
            <w:tcW w:w="508" w:type="pct"/>
            <w:tcBorders>
              <w:top w:val="single" w:sz="12" w:space="0" w:color="000000"/>
              <w:left w:val="single" w:sz="12" w:space="0" w:color="auto"/>
              <w:bottom w:val="single" w:sz="4" w:space="0" w:color="auto"/>
              <w:right w:val="single" w:sz="4" w:space="0" w:color="auto"/>
            </w:tcBorders>
            <w:shd w:val="clear" w:color="auto" w:fill="auto"/>
            <w:vAlign w:val="center"/>
          </w:tcPr>
          <w:p w14:paraId="3EF71B13" w14:textId="77777777" w:rsidR="00335E18" w:rsidRPr="00C827B9" w:rsidRDefault="00335E18" w:rsidP="00B50BAB">
            <w:pPr>
              <w:spacing w:after="0" w:line="240" w:lineRule="auto"/>
              <w:jc w:val="center"/>
              <w:rPr>
                <w:sz w:val="22"/>
                <w:szCs w:val="24"/>
                <w:lang w:val="en-US"/>
              </w:rPr>
            </w:pPr>
            <w:r w:rsidRPr="00C827B9">
              <w:rPr>
                <w:sz w:val="22"/>
                <w:szCs w:val="24"/>
                <w:lang w:val="en-US"/>
              </w:rPr>
              <w:t>3.5 ± 0.9</w:t>
            </w:r>
          </w:p>
        </w:tc>
        <w:tc>
          <w:tcPr>
            <w:tcW w:w="508" w:type="pct"/>
            <w:tcBorders>
              <w:top w:val="single" w:sz="12" w:space="0" w:color="000000"/>
              <w:left w:val="single" w:sz="4" w:space="0" w:color="auto"/>
              <w:bottom w:val="single" w:sz="4" w:space="0" w:color="auto"/>
              <w:right w:val="single" w:sz="4" w:space="0" w:color="auto"/>
            </w:tcBorders>
            <w:shd w:val="clear" w:color="auto" w:fill="auto"/>
            <w:vAlign w:val="center"/>
          </w:tcPr>
          <w:p w14:paraId="28D67827" w14:textId="77777777" w:rsidR="00335E18" w:rsidRPr="00C827B9" w:rsidRDefault="00335E18" w:rsidP="00B50BAB">
            <w:pPr>
              <w:spacing w:after="0" w:line="240" w:lineRule="auto"/>
              <w:jc w:val="center"/>
              <w:rPr>
                <w:sz w:val="22"/>
                <w:szCs w:val="24"/>
                <w:lang w:val="en-US"/>
              </w:rPr>
            </w:pPr>
            <w:r w:rsidRPr="00C827B9">
              <w:rPr>
                <w:sz w:val="22"/>
                <w:szCs w:val="24"/>
                <w:lang w:val="en-US"/>
              </w:rPr>
              <w:t>3.</w:t>
            </w:r>
            <w:r w:rsidRPr="00C827B9">
              <w:rPr>
                <w:sz w:val="22"/>
                <w:szCs w:val="24"/>
                <w:lang w:val="ru-RU"/>
              </w:rPr>
              <w:t>1</w:t>
            </w:r>
            <w:r w:rsidRPr="00C827B9">
              <w:rPr>
                <w:sz w:val="22"/>
                <w:szCs w:val="24"/>
                <w:lang w:val="en-US"/>
              </w:rPr>
              <w:t xml:space="preserve"> ± 1.0</w:t>
            </w:r>
          </w:p>
        </w:tc>
        <w:tc>
          <w:tcPr>
            <w:tcW w:w="496" w:type="pct"/>
            <w:tcBorders>
              <w:top w:val="single" w:sz="12" w:space="0" w:color="000000"/>
              <w:left w:val="single" w:sz="4" w:space="0" w:color="auto"/>
              <w:bottom w:val="single" w:sz="4" w:space="0" w:color="auto"/>
              <w:right w:val="single" w:sz="12" w:space="0" w:color="auto"/>
            </w:tcBorders>
            <w:shd w:val="clear" w:color="auto" w:fill="auto"/>
            <w:vAlign w:val="center"/>
          </w:tcPr>
          <w:p w14:paraId="46CC3840" w14:textId="77777777" w:rsidR="00335E18" w:rsidRPr="00C827B9" w:rsidRDefault="00335E18" w:rsidP="00B50BAB">
            <w:pPr>
              <w:spacing w:after="0" w:line="240" w:lineRule="auto"/>
              <w:jc w:val="center"/>
              <w:rPr>
                <w:sz w:val="22"/>
                <w:szCs w:val="24"/>
                <w:lang w:val="ru-RU"/>
              </w:rPr>
            </w:pPr>
            <w:r w:rsidRPr="00C827B9">
              <w:rPr>
                <w:sz w:val="22"/>
                <w:szCs w:val="24"/>
                <w:lang w:val="en-US"/>
              </w:rPr>
              <w:t xml:space="preserve">3.2 ± </w:t>
            </w:r>
            <w:r w:rsidRPr="00C827B9">
              <w:rPr>
                <w:sz w:val="22"/>
                <w:szCs w:val="24"/>
                <w:lang w:val="ru-RU"/>
              </w:rPr>
              <w:t>0</w:t>
            </w:r>
            <w:r w:rsidRPr="00C827B9">
              <w:rPr>
                <w:sz w:val="22"/>
                <w:szCs w:val="24"/>
                <w:lang w:val="en-US"/>
              </w:rPr>
              <w:t>.</w:t>
            </w:r>
            <w:r w:rsidRPr="00C827B9">
              <w:rPr>
                <w:sz w:val="22"/>
                <w:szCs w:val="24"/>
                <w:lang w:val="ru-RU"/>
              </w:rPr>
              <w:t>9</w:t>
            </w:r>
          </w:p>
        </w:tc>
        <w:tc>
          <w:tcPr>
            <w:tcW w:w="554" w:type="pct"/>
            <w:tcBorders>
              <w:top w:val="single" w:sz="12" w:space="0" w:color="000000"/>
              <w:left w:val="single" w:sz="12" w:space="0" w:color="auto"/>
              <w:bottom w:val="single" w:sz="4" w:space="0" w:color="auto"/>
              <w:right w:val="single" w:sz="4" w:space="0" w:color="auto"/>
            </w:tcBorders>
            <w:shd w:val="clear" w:color="auto" w:fill="auto"/>
            <w:vAlign w:val="center"/>
          </w:tcPr>
          <w:p w14:paraId="2396BF0D" w14:textId="77777777" w:rsidR="00335E18" w:rsidRPr="00C827B9" w:rsidRDefault="00335E18" w:rsidP="00B50BAB">
            <w:pPr>
              <w:spacing w:after="0" w:line="240" w:lineRule="auto"/>
              <w:jc w:val="center"/>
              <w:rPr>
                <w:sz w:val="22"/>
                <w:szCs w:val="24"/>
                <w:lang w:val="en-US"/>
              </w:rPr>
            </w:pPr>
            <w:r w:rsidRPr="00C827B9">
              <w:rPr>
                <w:sz w:val="22"/>
                <w:szCs w:val="24"/>
                <w:lang w:val="en-US"/>
              </w:rPr>
              <w:t>5.5 ± 2.5</w:t>
            </w:r>
            <w:r w:rsidRPr="00C827B9">
              <w:rPr>
                <w:sz w:val="22"/>
                <w:szCs w:val="24"/>
                <w:vertAlign w:val="superscript"/>
                <w:lang w:val="en-US"/>
              </w:rPr>
              <w:t>#</w:t>
            </w:r>
          </w:p>
        </w:tc>
        <w:tc>
          <w:tcPr>
            <w:tcW w:w="592" w:type="pct"/>
            <w:tcBorders>
              <w:top w:val="single" w:sz="12" w:space="0" w:color="000000"/>
              <w:left w:val="single" w:sz="4" w:space="0" w:color="auto"/>
              <w:bottom w:val="single" w:sz="4" w:space="0" w:color="auto"/>
              <w:right w:val="single" w:sz="12" w:space="0" w:color="auto"/>
            </w:tcBorders>
            <w:shd w:val="clear" w:color="auto" w:fill="auto"/>
            <w:vAlign w:val="center"/>
          </w:tcPr>
          <w:p w14:paraId="692C1A5B" w14:textId="77777777" w:rsidR="00335E18" w:rsidRPr="00C827B9" w:rsidRDefault="00335E18" w:rsidP="00B50BAB">
            <w:pPr>
              <w:spacing w:after="0" w:line="240" w:lineRule="auto"/>
              <w:jc w:val="center"/>
              <w:rPr>
                <w:sz w:val="22"/>
                <w:szCs w:val="24"/>
                <w:lang w:val="en-US"/>
              </w:rPr>
            </w:pPr>
            <w:r w:rsidRPr="00C827B9">
              <w:rPr>
                <w:sz w:val="22"/>
                <w:szCs w:val="24"/>
                <w:lang w:val="en-US"/>
              </w:rPr>
              <w:t>1.4 ± 0.4*</w:t>
            </w:r>
            <w:r w:rsidRPr="00C827B9">
              <w:rPr>
                <w:sz w:val="22"/>
                <w:szCs w:val="24"/>
                <w:vertAlign w:val="superscript"/>
                <w:lang w:val="en-US"/>
              </w:rPr>
              <w:t>#</w:t>
            </w:r>
          </w:p>
        </w:tc>
        <w:tc>
          <w:tcPr>
            <w:tcW w:w="564" w:type="pct"/>
            <w:tcBorders>
              <w:top w:val="single" w:sz="12" w:space="0" w:color="000000"/>
              <w:left w:val="single" w:sz="12" w:space="0" w:color="auto"/>
              <w:bottom w:val="single" w:sz="4" w:space="0" w:color="auto"/>
              <w:right w:val="single" w:sz="4" w:space="0" w:color="auto"/>
            </w:tcBorders>
            <w:shd w:val="clear" w:color="auto" w:fill="auto"/>
            <w:vAlign w:val="center"/>
          </w:tcPr>
          <w:p w14:paraId="5BFBFD95" w14:textId="77777777" w:rsidR="00335E18" w:rsidRPr="00C827B9" w:rsidRDefault="00335E18" w:rsidP="00B50BAB">
            <w:pPr>
              <w:spacing w:after="0" w:line="240" w:lineRule="auto"/>
              <w:jc w:val="center"/>
              <w:rPr>
                <w:sz w:val="22"/>
                <w:szCs w:val="24"/>
                <w:lang w:val="ru-RU"/>
              </w:rPr>
            </w:pPr>
            <w:r w:rsidRPr="00C827B9">
              <w:rPr>
                <w:sz w:val="22"/>
                <w:szCs w:val="24"/>
                <w:lang w:val="en-US"/>
              </w:rPr>
              <w:t>5.</w:t>
            </w:r>
            <w:r w:rsidRPr="00C827B9">
              <w:rPr>
                <w:sz w:val="22"/>
                <w:szCs w:val="24"/>
                <w:lang w:val="ru-RU"/>
              </w:rPr>
              <w:t>6</w:t>
            </w:r>
            <w:r w:rsidRPr="00C827B9">
              <w:rPr>
                <w:sz w:val="22"/>
                <w:szCs w:val="24"/>
                <w:lang w:val="en-US"/>
              </w:rPr>
              <w:t xml:space="preserve"> ± </w:t>
            </w:r>
            <w:r w:rsidRPr="00C827B9">
              <w:rPr>
                <w:sz w:val="22"/>
                <w:szCs w:val="24"/>
                <w:lang w:val="ru-RU"/>
              </w:rPr>
              <w:t>2</w:t>
            </w:r>
            <w:r w:rsidRPr="00C827B9">
              <w:rPr>
                <w:sz w:val="22"/>
                <w:szCs w:val="24"/>
                <w:lang w:val="en-US"/>
              </w:rPr>
              <w:t>.</w:t>
            </w:r>
            <w:r w:rsidRPr="00C827B9">
              <w:rPr>
                <w:sz w:val="22"/>
                <w:szCs w:val="24"/>
                <w:lang w:val="ru-RU"/>
              </w:rPr>
              <w:t>3</w:t>
            </w:r>
            <w:r w:rsidRPr="00C827B9">
              <w:rPr>
                <w:sz w:val="22"/>
                <w:szCs w:val="24"/>
                <w:vertAlign w:val="superscript"/>
                <w:lang w:val="en-US"/>
              </w:rPr>
              <w:t>#</w:t>
            </w:r>
          </w:p>
        </w:tc>
        <w:tc>
          <w:tcPr>
            <w:tcW w:w="639" w:type="pct"/>
            <w:tcBorders>
              <w:top w:val="single" w:sz="12" w:space="0" w:color="000000"/>
              <w:left w:val="single" w:sz="4" w:space="0" w:color="auto"/>
              <w:bottom w:val="single" w:sz="4" w:space="0" w:color="auto"/>
              <w:right w:val="single" w:sz="4" w:space="0" w:color="auto"/>
            </w:tcBorders>
            <w:shd w:val="clear" w:color="auto" w:fill="auto"/>
            <w:vAlign w:val="center"/>
          </w:tcPr>
          <w:p w14:paraId="6D3C25E0" w14:textId="77777777" w:rsidR="00335E18" w:rsidRPr="00C827B9" w:rsidRDefault="00335E18" w:rsidP="00B50BAB">
            <w:pPr>
              <w:spacing w:after="0" w:line="240" w:lineRule="auto"/>
              <w:jc w:val="center"/>
              <w:rPr>
                <w:sz w:val="22"/>
                <w:szCs w:val="24"/>
                <w:lang w:val="en-US"/>
              </w:rPr>
            </w:pPr>
            <w:r w:rsidRPr="00C827B9">
              <w:rPr>
                <w:sz w:val="22"/>
                <w:szCs w:val="24"/>
                <w:lang w:val="ru-RU"/>
              </w:rPr>
              <w:t>1</w:t>
            </w:r>
            <w:r w:rsidRPr="00C827B9">
              <w:rPr>
                <w:sz w:val="22"/>
                <w:szCs w:val="24"/>
                <w:lang w:val="en-US"/>
              </w:rPr>
              <w:t>.</w:t>
            </w:r>
            <w:r w:rsidRPr="00C827B9">
              <w:rPr>
                <w:sz w:val="22"/>
                <w:szCs w:val="24"/>
                <w:lang w:val="ru-RU"/>
              </w:rPr>
              <w:t>4</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4</w:t>
            </w:r>
            <w:r w:rsidRPr="00C827B9">
              <w:rPr>
                <w:sz w:val="22"/>
                <w:szCs w:val="24"/>
                <w:lang w:val="en-US"/>
              </w:rPr>
              <w:t>*</w:t>
            </w:r>
            <w:r w:rsidRPr="00C827B9">
              <w:rPr>
                <w:sz w:val="22"/>
                <w:szCs w:val="24"/>
                <w:vertAlign w:val="superscript"/>
                <w:lang w:val="en-US"/>
              </w:rPr>
              <w:t>#</w:t>
            </w:r>
          </w:p>
        </w:tc>
        <w:tc>
          <w:tcPr>
            <w:tcW w:w="635" w:type="pct"/>
            <w:tcBorders>
              <w:top w:val="single" w:sz="12" w:space="0" w:color="000000"/>
              <w:left w:val="single" w:sz="4" w:space="0" w:color="auto"/>
              <w:bottom w:val="single" w:sz="4" w:space="0" w:color="auto"/>
              <w:right w:val="single" w:sz="12" w:space="0" w:color="auto"/>
            </w:tcBorders>
            <w:shd w:val="clear" w:color="auto" w:fill="auto"/>
            <w:vAlign w:val="center"/>
          </w:tcPr>
          <w:p w14:paraId="37860008" w14:textId="77777777" w:rsidR="00335E18" w:rsidRPr="00C827B9" w:rsidRDefault="00335E18" w:rsidP="00B50BAB">
            <w:pPr>
              <w:spacing w:after="0" w:line="240" w:lineRule="auto"/>
              <w:jc w:val="center"/>
              <w:rPr>
                <w:sz w:val="22"/>
                <w:szCs w:val="24"/>
                <w:lang w:val="ru-RU"/>
              </w:rPr>
            </w:pPr>
            <w:r w:rsidRPr="00C827B9">
              <w:rPr>
                <w:sz w:val="22"/>
                <w:szCs w:val="24"/>
                <w:lang w:val="ru-RU"/>
              </w:rPr>
              <w:t>1</w:t>
            </w:r>
            <w:r w:rsidRPr="00C827B9">
              <w:rPr>
                <w:sz w:val="22"/>
                <w:szCs w:val="24"/>
                <w:lang w:val="en-US"/>
              </w:rPr>
              <w:t>.2 ± 0.</w:t>
            </w:r>
            <w:r w:rsidRPr="00C827B9">
              <w:rPr>
                <w:sz w:val="22"/>
                <w:szCs w:val="24"/>
                <w:lang w:val="ru-RU"/>
              </w:rPr>
              <w:t>3</w:t>
            </w:r>
            <w:r w:rsidRPr="00C827B9">
              <w:rPr>
                <w:sz w:val="22"/>
                <w:szCs w:val="24"/>
                <w:lang w:val="en-US"/>
              </w:rPr>
              <w:t>*</w:t>
            </w:r>
            <w:r w:rsidRPr="00C827B9">
              <w:rPr>
                <w:sz w:val="22"/>
                <w:szCs w:val="24"/>
                <w:vertAlign w:val="superscript"/>
                <w:lang w:val="en-US"/>
              </w:rPr>
              <w:t>#</w:t>
            </w:r>
          </w:p>
        </w:tc>
      </w:tr>
      <w:tr w:rsidR="00335E18" w:rsidRPr="00C827B9" w14:paraId="7B96153C" w14:textId="77777777" w:rsidTr="00B50BAB">
        <w:trPr>
          <w:trHeight w:val="422"/>
          <w:jc w:val="center"/>
        </w:trPr>
        <w:tc>
          <w:tcPr>
            <w:tcW w:w="505" w:type="pct"/>
            <w:vMerge/>
            <w:tcBorders>
              <w:left w:val="single" w:sz="12" w:space="0" w:color="auto"/>
              <w:bottom w:val="single" w:sz="12" w:space="0" w:color="auto"/>
              <w:right w:val="single" w:sz="12" w:space="0" w:color="auto"/>
            </w:tcBorders>
            <w:shd w:val="clear" w:color="auto" w:fill="auto"/>
            <w:vAlign w:val="center"/>
          </w:tcPr>
          <w:p w14:paraId="0908A6AB" w14:textId="77777777" w:rsidR="00335E18" w:rsidRPr="00C827B9" w:rsidRDefault="00335E18" w:rsidP="00B50BAB">
            <w:pPr>
              <w:spacing w:after="0" w:line="240" w:lineRule="auto"/>
              <w:jc w:val="both"/>
              <w:rPr>
                <w:sz w:val="22"/>
                <w:szCs w:val="24"/>
                <w:lang w:val="en-US"/>
              </w:rPr>
            </w:pPr>
          </w:p>
        </w:tc>
        <w:tc>
          <w:tcPr>
            <w:tcW w:w="508" w:type="pct"/>
            <w:tcBorders>
              <w:left w:val="single" w:sz="12" w:space="0" w:color="auto"/>
              <w:bottom w:val="single" w:sz="12" w:space="0" w:color="auto"/>
              <w:right w:val="single" w:sz="4" w:space="0" w:color="auto"/>
            </w:tcBorders>
            <w:shd w:val="clear" w:color="auto" w:fill="auto"/>
            <w:vAlign w:val="center"/>
          </w:tcPr>
          <w:p w14:paraId="2BEEAB7D" w14:textId="77777777" w:rsidR="00335E18" w:rsidRPr="00C827B9" w:rsidRDefault="00335E18" w:rsidP="00B50BAB">
            <w:pPr>
              <w:spacing w:after="0" w:line="240" w:lineRule="auto"/>
              <w:jc w:val="center"/>
              <w:rPr>
                <w:sz w:val="22"/>
                <w:szCs w:val="24"/>
                <w:lang w:val="en-US"/>
              </w:rPr>
            </w:pPr>
            <w:r w:rsidRPr="00C827B9">
              <w:rPr>
                <w:sz w:val="22"/>
                <w:szCs w:val="24"/>
                <w:lang w:val="en-US"/>
              </w:rPr>
              <w:t>3.8 ± 0.8</w:t>
            </w:r>
          </w:p>
        </w:tc>
        <w:tc>
          <w:tcPr>
            <w:tcW w:w="508" w:type="pct"/>
            <w:tcBorders>
              <w:left w:val="single" w:sz="4" w:space="0" w:color="auto"/>
              <w:bottom w:val="single" w:sz="12" w:space="0" w:color="auto"/>
              <w:right w:val="single" w:sz="4" w:space="0" w:color="auto"/>
            </w:tcBorders>
            <w:shd w:val="clear" w:color="auto" w:fill="auto"/>
            <w:vAlign w:val="center"/>
          </w:tcPr>
          <w:p w14:paraId="7E35AB2E" w14:textId="77777777" w:rsidR="00335E18" w:rsidRPr="00C827B9" w:rsidRDefault="00335E18" w:rsidP="00B50BAB">
            <w:pPr>
              <w:spacing w:after="0" w:line="240" w:lineRule="auto"/>
              <w:jc w:val="center"/>
              <w:rPr>
                <w:sz w:val="22"/>
                <w:szCs w:val="24"/>
                <w:lang w:val="en-US"/>
              </w:rPr>
            </w:pPr>
            <w:r w:rsidRPr="00C827B9">
              <w:rPr>
                <w:sz w:val="22"/>
                <w:szCs w:val="24"/>
                <w:lang w:val="en-US"/>
              </w:rPr>
              <w:t>3.6 ± 1.1</w:t>
            </w:r>
          </w:p>
        </w:tc>
        <w:tc>
          <w:tcPr>
            <w:tcW w:w="496" w:type="pct"/>
            <w:tcBorders>
              <w:left w:val="single" w:sz="4" w:space="0" w:color="auto"/>
              <w:bottom w:val="single" w:sz="12" w:space="0" w:color="auto"/>
              <w:right w:val="single" w:sz="12" w:space="0" w:color="auto"/>
            </w:tcBorders>
            <w:shd w:val="clear" w:color="auto" w:fill="auto"/>
            <w:vAlign w:val="center"/>
          </w:tcPr>
          <w:p w14:paraId="6BF4FC91" w14:textId="77777777" w:rsidR="00335E18" w:rsidRPr="00C827B9" w:rsidRDefault="00335E18" w:rsidP="00B50BAB">
            <w:pPr>
              <w:spacing w:after="0" w:line="240" w:lineRule="auto"/>
              <w:jc w:val="center"/>
              <w:rPr>
                <w:sz w:val="22"/>
                <w:szCs w:val="24"/>
                <w:lang w:val="en-US"/>
              </w:rPr>
            </w:pPr>
            <w:r w:rsidRPr="00C827B9">
              <w:rPr>
                <w:sz w:val="22"/>
                <w:szCs w:val="24"/>
                <w:lang w:val="en-US"/>
              </w:rPr>
              <w:t>3.</w:t>
            </w:r>
            <w:r w:rsidRPr="00C827B9">
              <w:rPr>
                <w:sz w:val="22"/>
                <w:szCs w:val="24"/>
                <w:lang w:val="ru-RU"/>
              </w:rPr>
              <w:t>4</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8</w:t>
            </w:r>
          </w:p>
        </w:tc>
        <w:tc>
          <w:tcPr>
            <w:tcW w:w="554" w:type="pct"/>
            <w:tcBorders>
              <w:left w:val="single" w:sz="12" w:space="0" w:color="auto"/>
              <w:bottom w:val="single" w:sz="12" w:space="0" w:color="auto"/>
              <w:right w:val="single" w:sz="4" w:space="0" w:color="auto"/>
            </w:tcBorders>
            <w:shd w:val="clear" w:color="auto" w:fill="auto"/>
            <w:vAlign w:val="center"/>
          </w:tcPr>
          <w:p w14:paraId="308A466E" w14:textId="77777777" w:rsidR="00335E18" w:rsidRPr="00C827B9" w:rsidRDefault="00335E18" w:rsidP="00B50BAB">
            <w:pPr>
              <w:spacing w:after="0" w:line="240" w:lineRule="auto"/>
              <w:jc w:val="center"/>
              <w:rPr>
                <w:sz w:val="22"/>
                <w:szCs w:val="24"/>
                <w:lang w:val="en-US"/>
              </w:rPr>
            </w:pPr>
            <w:r w:rsidRPr="00C827B9">
              <w:rPr>
                <w:sz w:val="22"/>
                <w:szCs w:val="24"/>
                <w:lang w:val="en-US"/>
              </w:rPr>
              <w:t>5.3 ± 1.9</w:t>
            </w:r>
            <w:r w:rsidRPr="00C827B9">
              <w:rPr>
                <w:sz w:val="22"/>
                <w:szCs w:val="24"/>
                <w:vertAlign w:val="superscript"/>
                <w:lang w:val="en-US"/>
              </w:rPr>
              <w:t>#</w:t>
            </w:r>
          </w:p>
        </w:tc>
        <w:tc>
          <w:tcPr>
            <w:tcW w:w="592" w:type="pct"/>
            <w:tcBorders>
              <w:left w:val="single" w:sz="4" w:space="0" w:color="auto"/>
              <w:bottom w:val="single" w:sz="12" w:space="0" w:color="auto"/>
              <w:right w:val="single" w:sz="12" w:space="0" w:color="auto"/>
            </w:tcBorders>
            <w:shd w:val="clear" w:color="auto" w:fill="auto"/>
            <w:vAlign w:val="center"/>
          </w:tcPr>
          <w:p w14:paraId="43BCB843" w14:textId="77777777" w:rsidR="00335E18" w:rsidRPr="00C827B9" w:rsidRDefault="00335E18" w:rsidP="00B50BAB">
            <w:pPr>
              <w:spacing w:after="0" w:line="240" w:lineRule="auto"/>
              <w:jc w:val="center"/>
              <w:rPr>
                <w:sz w:val="22"/>
                <w:szCs w:val="24"/>
                <w:lang w:val="en-US"/>
              </w:rPr>
            </w:pPr>
            <w:r w:rsidRPr="00C827B9">
              <w:rPr>
                <w:sz w:val="22"/>
                <w:szCs w:val="24"/>
                <w:lang w:val="en-US"/>
              </w:rPr>
              <w:t>2.0 ± 0.5*</w:t>
            </w:r>
            <w:r w:rsidRPr="00C827B9">
              <w:rPr>
                <w:sz w:val="22"/>
                <w:szCs w:val="24"/>
                <w:vertAlign w:val="superscript"/>
                <w:lang w:val="en-US"/>
              </w:rPr>
              <w:t>#</w:t>
            </w:r>
          </w:p>
        </w:tc>
        <w:tc>
          <w:tcPr>
            <w:tcW w:w="564" w:type="pct"/>
            <w:tcBorders>
              <w:left w:val="single" w:sz="12" w:space="0" w:color="auto"/>
              <w:bottom w:val="single" w:sz="12" w:space="0" w:color="auto"/>
              <w:right w:val="single" w:sz="4" w:space="0" w:color="auto"/>
            </w:tcBorders>
            <w:shd w:val="clear" w:color="auto" w:fill="auto"/>
            <w:vAlign w:val="center"/>
          </w:tcPr>
          <w:p w14:paraId="39F5B510" w14:textId="77777777" w:rsidR="00335E18" w:rsidRPr="00C827B9" w:rsidRDefault="00335E18" w:rsidP="00B50BAB">
            <w:pPr>
              <w:spacing w:after="0" w:line="240" w:lineRule="auto"/>
              <w:jc w:val="center"/>
              <w:rPr>
                <w:sz w:val="22"/>
                <w:szCs w:val="24"/>
                <w:lang w:val="en-US"/>
              </w:rPr>
            </w:pPr>
            <w:r w:rsidRPr="00C827B9">
              <w:rPr>
                <w:sz w:val="22"/>
                <w:szCs w:val="24"/>
                <w:lang w:val="ru-RU"/>
              </w:rPr>
              <w:t>5</w:t>
            </w:r>
            <w:r w:rsidRPr="00C827B9">
              <w:rPr>
                <w:sz w:val="22"/>
                <w:szCs w:val="24"/>
                <w:lang w:val="en-US"/>
              </w:rPr>
              <w:t>.7 ± 1.8</w:t>
            </w:r>
            <w:r w:rsidRPr="00C827B9">
              <w:rPr>
                <w:sz w:val="22"/>
                <w:szCs w:val="24"/>
                <w:vertAlign w:val="superscript"/>
                <w:lang w:val="en-US"/>
              </w:rPr>
              <w:t>#</w:t>
            </w:r>
          </w:p>
        </w:tc>
        <w:tc>
          <w:tcPr>
            <w:tcW w:w="639" w:type="pct"/>
            <w:tcBorders>
              <w:left w:val="single" w:sz="4" w:space="0" w:color="auto"/>
              <w:bottom w:val="single" w:sz="12" w:space="0" w:color="auto"/>
              <w:right w:val="single" w:sz="4" w:space="0" w:color="auto"/>
            </w:tcBorders>
            <w:shd w:val="clear" w:color="auto" w:fill="auto"/>
            <w:vAlign w:val="center"/>
          </w:tcPr>
          <w:p w14:paraId="222FEEAC" w14:textId="77777777" w:rsidR="00335E18" w:rsidRPr="00C827B9" w:rsidRDefault="00335E18" w:rsidP="00B50BAB">
            <w:pPr>
              <w:spacing w:after="0" w:line="240" w:lineRule="auto"/>
              <w:jc w:val="center"/>
              <w:rPr>
                <w:sz w:val="22"/>
                <w:szCs w:val="24"/>
                <w:lang w:val="ru-RU"/>
              </w:rPr>
            </w:pPr>
            <w:r w:rsidRPr="00C827B9">
              <w:rPr>
                <w:sz w:val="22"/>
                <w:szCs w:val="24"/>
                <w:lang w:val="en-US"/>
              </w:rPr>
              <w:t>1.9 ± 0.4*</w:t>
            </w:r>
            <w:r w:rsidRPr="00C827B9">
              <w:rPr>
                <w:sz w:val="22"/>
                <w:szCs w:val="24"/>
                <w:vertAlign w:val="superscript"/>
                <w:lang w:val="en-US"/>
              </w:rPr>
              <w:t>#</w:t>
            </w:r>
          </w:p>
        </w:tc>
        <w:tc>
          <w:tcPr>
            <w:tcW w:w="635" w:type="pct"/>
            <w:tcBorders>
              <w:left w:val="single" w:sz="4" w:space="0" w:color="auto"/>
              <w:bottom w:val="single" w:sz="12" w:space="0" w:color="auto"/>
              <w:right w:val="single" w:sz="12" w:space="0" w:color="auto"/>
            </w:tcBorders>
            <w:shd w:val="clear" w:color="auto" w:fill="auto"/>
            <w:vAlign w:val="center"/>
          </w:tcPr>
          <w:p w14:paraId="23E3F761" w14:textId="77777777" w:rsidR="00335E18" w:rsidRPr="00C827B9" w:rsidRDefault="00335E18" w:rsidP="00B50BAB">
            <w:pPr>
              <w:spacing w:after="0" w:line="240" w:lineRule="auto"/>
              <w:jc w:val="center"/>
              <w:rPr>
                <w:sz w:val="22"/>
                <w:szCs w:val="24"/>
                <w:lang w:val="ru-RU"/>
              </w:rPr>
            </w:pPr>
            <w:r w:rsidRPr="00C827B9">
              <w:rPr>
                <w:sz w:val="22"/>
                <w:szCs w:val="24"/>
                <w:lang w:val="en-US"/>
              </w:rPr>
              <w:t>2.</w:t>
            </w:r>
            <w:r w:rsidRPr="00C827B9">
              <w:rPr>
                <w:sz w:val="22"/>
                <w:szCs w:val="24"/>
                <w:lang w:val="ru-RU"/>
              </w:rPr>
              <w:t>0</w:t>
            </w:r>
            <w:r w:rsidRPr="00C827B9">
              <w:rPr>
                <w:sz w:val="22"/>
                <w:szCs w:val="24"/>
                <w:lang w:val="en-US"/>
              </w:rPr>
              <w:t xml:space="preserve"> ± </w:t>
            </w:r>
            <w:r w:rsidRPr="00C827B9">
              <w:rPr>
                <w:sz w:val="22"/>
                <w:szCs w:val="24"/>
                <w:lang w:val="ru-RU"/>
              </w:rPr>
              <w:t>0</w:t>
            </w:r>
            <w:r w:rsidRPr="00C827B9">
              <w:rPr>
                <w:sz w:val="22"/>
                <w:szCs w:val="24"/>
                <w:lang w:val="en-US"/>
              </w:rPr>
              <w:t>.</w:t>
            </w:r>
            <w:r w:rsidRPr="00C827B9">
              <w:rPr>
                <w:sz w:val="22"/>
                <w:szCs w:val="24"/>
                <w:lang w:val="ru-RU"/>
              </w:rPr>
              <w:t>4</w:t>
            </w:r>
            <w:r w:rsidRPr="00C827B9">
              <w:rPr>
                <w:sz w:val="22"/>
                <w:szCs w:val="24"/>
                <w:lang w:val="en-US"/>
              </w:rPr>
              <w:t>*</w:t>
            </w:r>
            <w:r w:rsidRPr="00C827B9">
              <w:rPr>
                <w:sz w:val="22"/>
                <w:szCs w:val="24"/>
                <w:vertAlign w:val="superscript"/>
                <w:lang w:val="en-US"/>
              </w:rPr>
              <w:t>#</w:t>
            </w:r>
          </w:p>
        </w:tc>
      </w:tr>
    </w:tbl>
    <w:p w14:paraId="47B98633" w14:textId="77777777" w:rsidR="00335E18" w:rsidRPr="00C827B9" w:rsidRDefault="00335E18" w:rsidP="00335E18">
      <w:pPr>
        <w:jc w:val="both"/>
        <w:rPr>
          <w:lang w:val="en-US"/>
        </w:rPr>
      </w:pPr>
    </w:p>
    <w:p w14:paraId="335E1F7B" w14:textId="77777777" w:rsidR="00EB1C5D" w:rsidRPr="00C827B9" w:rsidRDefault="00EB1C5D" w:rsidP="00335E18">
      <w:pPr>
        <w:jc w:val="both"/>
        <w:rPr>
          <w:lang w:val="en-US"/>
        </w:rPr>
      </w:pPr>
      <w:r w:rsidRPr="00C827B9">
        <w:rPr>
          <w:lang w:val="en-US"/>
        </w:rPr>
        <w:t xml:space="preserve">*p &lt; 0.05 compared with Pre. </w:t>
      </w:r>
    </w:p>
    <w:p w14:paraId="3CEA7A11" w14:textId="3155DD5F" w:rsidR="00EB1C5D" w:rsidRPr="00C827B9" w:rsidRDefault="00EB1C5D" w:rsidP="00335E18">
      <w:pPr>
        <w:jc w:val="both"/>
        <w:rPr>
          <w:lang w:val="en-US"/>
        </w:rPr>
      </w:pPr>
      <w:r w:rsidRPr="00C827B9">
        <w:rPr>
          <w:vertAlign w:val="superscript"/>
          <w:lang w:val="en-US"/>
        </w:rPr>
        <w:t>#</w:t>
      </w:r>
      <w:r w:rsidRPr="00C827B9">
        <w:rPr>
          <w:lang w:val="en-US"/>
        </w:rPr>
        <w:t xml:space="preserve">p &lt; 0.05 compared with respective function of </w:t>
      </w:r>
      <w:r w:rsidRPr="000E6A7F">
        <w:rPr>
          <w:color w:val="000000" w:themeColor="text1"/>
          <w:lang w:val="en-US"/>
        </w:rPr>
        <w:t xml:space="preserve">the </w:t>
      </w:r>
      <w:r w:rsidR="00861E05" w:rsidRPr="000E6A7F">
        <w:rPr>
          <w:color w:val="000000" w:themeColor="text1"/>
          <w:lang w:val="en-US"/>
        </w:rPr>
        <w:t>GAIT</w:t>
      </w:r>
      <w:r w:rsidRPr="000E6A7F">
        <w:rPr>
          <w:color w:val="000000" w:themeColor="text1"/>
          <w:lang w:val="en-US"/>
        </w:rPr>
        <w:t xml:space="preserve"> grou</w:t>
      </w:r>
      <w:r w:rsidRPr="00C827B9">
        <w:rPr>
          <w:lang w:val="en-US"/>
        </w:rPr>
        <w:t>p.</w:t>
      </w:r>
    </w:p>
    <w:p w14:paraId="0A59A37D" w14:textId="77777777" w:rsidR="00536006" w:rsidRPr="00C827B9" w:rsidRDefault="00335E18" w:rsidP="00AA40E7">
      <w:pPr>
        <w:pStyle w:val="Heading1"/>
        <w:rPr>
          <w:szCs w:val="24"/>
          <w:lang w:val="en-US"/>
        </w:rPr>
      </w:pPr>
      <w:r w:rsidRPr="00C827B9">
        <w:rPr>
          <w:lang w:val="en-US"/>
        </w:rPr>
        <w:br w:type="page"/>
      </w:r>
      <w:r w:rsidR="00536006" w:rsidRPr="00C827B9">
        <w:rPr>
          <w:lang w:val="en-US"/>
        </w:rPr>
        <w:lastRenderedPageBreak/>
        <w:t>Figure legends</w:t>
      </w:r>
    </w:p>
    <w:p w14:paraId="2BE1A690" w14:textId="77777777" w:rsidR="00CC7831" w:rsidRPr="00FF3861" w:rsidRDefault="00CC7831" w:rsidP="00E66FF1">
      <w:pPr>
        <w:jc w:val="both"/>
        <w:rPr>
          <w:rFonts w:eastAsia="Times New Roman"/>
          <w:color w:val="000000" w:themeColor="text1"/>
          <w:szCs w:val="24"/>
        </w:rPr>
      </w:pPr>
      <w:r w:rsidRPr="00FF3861">
        <w:rPr>
          <w:rFonts w:eastAsia="Times New Roman"/>
          <w:b/>
          <w:color w:val="000000" w:themeColor="text1"/>
          <w:szCs w:val="24"/>
        </w:rPr>
        <w:t>Figure 1</w:t>
      </w:r>
      <w:r w:rsidRPr="00FF3861">
        <w:rPr>
          <w:color w:val="000000" w:themeColor="text1"/>
          <w:lang w:val="en-US"/>
        </w:rPr>
        <w:t>:</w:t>
      </w:r>
      <w:r w:rsidRPr="00FF3861">
        <w:rPr>
          <w:rFonts w:eastAsia="Times New Roman"/>
          <w:b/>
          <w:color w:val="000000" w:themeColor="text1"/>
          <w:szCs w:val="24"/>
        </w:rPr>
        <w:t xml:space="preserve"> </w:t>
      </w:r>
      <w:r w:rsidRPr="00FF3861">
        <w:rPr>
          <w:rFonts w:eastAsia="Times New Roman"/>
          <w:color w:val="000000" w:themeColor="text1"/>
          <w:szCs w:val="24"/>
        </w:rPr>
        <w:t>Custom-made pneumatic perturbation device, which allows to apply and remove external resistance (generating approximately 55 N, within about 20 ms) to the lower limb during walking via an ankle strap and a Teflon cable. The system’s control board is synchronized with the</w:t>
      </w:r>
      <w:r w:rsidR="00600972" w:rsidRPr="00FF3861">
        <w:rPr>
          <w:rFonts w:eastAsia="Times New Roman"/>
          <w:color w:val="000000" w:themeColor="text1"/>
          <w:szCs w:val="24"/>
        </w:rPr>
        <w:t xml:space="preserve"> PC and</w:t>
      </w:r>
      <w:r w:rsidRPr="00FF3861">
        <w:rPr>
          <w:rFonts w:eastAsia="Times New Roman"/>
          <w:color w:val="000000" w:themeColor="text1"/>
          <w:szCs w:val="24"/>
        </w:rPr>
        <w:t xml:space="preserve"> motion capturing system via a TTL signal, which changes when the perturbation in turned on/off.</w:t>
      </w:r>
    </w:p>
    <w:p w14:paraId="0ABFA5FA" w14:textId="4B3B6C76" w:rsidR="00536006" w:rsidRPr="00FF3861" w:rsidRDefault="00536006" w:rsidP="00355648">
      <w:pPr>
        <w:spacing w:after="240"/>
        <w:jc w:val="both"/>
        <w:rPr>
          <w:color w:val="000000" w:themeColor="text1"/>
          <w:lang w:val="en-US"/>
        </w:rPr>
      </w:pPr>
      <w:r w:rsidRPr="00FF3861">
        <w:rPr>
          <w:rStyle w:val="Heading2Char"/>
          <w:rFonts w:eastAsia="Calibri"/>
          <w:color w:val="000000" w:themeColor="text1"/>
          <w:lang w:val="en-US"/>
        </w:rPr>
        <w:t xml:space="preserve">Figure </w:t>
      </w:r>
      <w:r w:rsidR="0062648E" w:rsidRPr="00FF3861">
        <w:rPr>
          <w:rStyle w:val="Heading2Char"/>
          <w:rFonts w:eastAsia="Calibri"/>
          <w:color w:val="000000" w:themeColor="text1"/>
          <w:lang w:val="en-US"/>
        </w:rPr>
        <w:t>2</w:t>
      </w:r>
      <w:r w:rsidRPr="00FF3861">
        <w:rPr>
          <w:color w:val="000000" w:themeColor="text1"/>
          <w:lang w:val="en-US"/>
        </w:rPr>
        <w:t>:</w:t>
      </w:r>
      <w:r w:rsidR="00BA0EC9" w:rsidRPr="00FF3861">
        <w:rPr>
          <w:color w:val="000000" w:themeColor="text1"/>
          <w:lang w:val="en-US"/>
        </w:rPr>
        <w:t xml:space="preserve"> </w:t>
      </w:r>
      <w:r w:rsidR="00C4749E" w:rsidRPr="00FF3861">
        <w:rPr>
          <w:color w:val="000000" w:themeColor="text1"/>
          <w:lang w:val="en-US"/>
        </w:rPr>
        <w:t>A typical recovery behavio</w:t>
      </w:r>
      <w:r w:rsidRPr="00FF3861">
        <w:rPr>
          <w:color w:val="000000" w:themeColor="text1"/>
          <w:lang w:val="en-US"/>
        </w:rPr>
        <w:t xml:space="preserve">r </w:t>
      </w:r>
      <w:r w:rsidR="00B12759" w:rsidRPr="00FF3861">
        <w:rPr>
          <w:color w:val="000000" w:themeColor="text1"/>
          <w:lang w:val="en-US"/>
        </w:rPr>
        <w:t xml:space="preserve">following </w:t>
      </w:r>
      <w:r w:rsidRPr="00FF3861">
        <w:rPr>
          <w:color w:val="000000" w:themeColor="text1"/>
          <w:lang w:val="en-US"/>
        </w:rPr>
        <w:t xml:space="preserve">the unexpected trip perturbation in one of the participants </w:t>
      </w:r>
      <w:r w:rsidR="00036C93" w:rsidRPr="00FF3861">
        <w:rPr>
          <w:color w:val="000000" w:themeColor="text1"/>
          <w:lang w:val="en-GB"/>
        </w:rPr>
        <w:t xml:space="preserve">The pull from the pneumatic brake-and-release system is activated </w:t>
      </w:r>
      <w:r w:rsidR="00036C93" w:rsidRPr="00FF3861">
        <w:rPr>
          <w:color w:val="000000" w:themeColor="text1"/>
          <w:lang w:val="en-US"/>
        </w:rPr>
        <w:t xml:space="preserve">(ONSET Pert) </w:t>
      </w:r>
      <w:r w:rsidR="00036C93" w:rsidRPr="00FF3861">
        <w:rPr>
          <w:color w:val="000000" w:themeColor="text1"/>
          <w:lang w:val="en-GB"/>
        </w:rPr>
        <w:t xml:space="preserve">during the support phase of the right </w:t>
      </w:r>
      <w:r w:rsidR="00787CE7" w:rsidRPr="00FF3861">
        <w:rPr>
          <w:color w:val="000000" w:themeColor="text1"/>
          <w:lang w:val="en-GB"/>
        </w:rPr>
        <w:t>leg</w:t>
      </w:r>
      <w:r w:rsidR="005C3D48" w:rsidRPr="00FF3861">
        <w:rPr>
          <w:color w:val="000000" w:themeColor="text1"/>
          <w:lang w:val="en-GB"/>
        </w:rPr>
        <w:t xml:space="preserve"> and deactivated (</w:t>
      </w:r>
      <w:r w:rsidR="005C3D48" w:rsidRPr="00FF3861">
        <w:rPr>
          <w:color w:val="000000" w:themeColor="text1"/>
          <w:lang w:val="en-US"/>
        </w:rPr>
        <w:t>OFFSET Pert</w:t>
      </w:r>
      <w:r w:rsidR="005C3D48" w:rsidRPr="00FF3861">
        <w:rPr>
          <w:color w:val="000000" w:themeColor="text1"/>
          <w:lang w:val="en-GB"/>
        </w:rPr>
        <w:t>)</w:t>
      </w:r>
      <w:r w:rsidR="00787CE7" w:rsidRPr="00FF3861">
        <w:rPr>
          <w:color w:val="000000" w:themeColor="text1"/>
          <w:lang w:val="en-GB"/>
        </w:rPr>
        <w:t xml:space="preserve"> in the following support phase of the same leg, thereby causing the subject to experience the pull only during the swing phase.</w:t>
      </w:r>
      <w:r w:rsidR="00E266CF" w:rsidRPr="00FF3861">
        <w:rPr>
          <w:color w:val="000000" w:themeColor="text1"/>
          <w:lang w:val="en-US"/>
        </w:rPr>
        <w:t xml:space="preserve"> This causes a reduction in the base of support at foot touchdown of the perturbed right leg (TD Pert), a higher velocity and more anterior position of the center of mass in comparison to the step before the perturbation (TD PRE </w:t>
      </w:r>
      <w:r w:rsidR="008E3D83" w:rsidRPr="00FF3861">
        <w:rPr>
          <w:color w:val="000000" w:themeColor="text1"/>
          <w:lang w:val="en-US"/>
        </w:rPr>
        <w:t>Pert</w:t>
      </w:r>
      <w:r w:rsidR="00E266CF" w:rsidRPr="00FF3861">
        <w:rPr>
          <w:color w:val="000000" w:themeColor="text1"/>
          <w:lang w:val="en-US"/>
        </w:rPr>
        <w:t>), which leads to a decreased margin of stability. In order to maintain dynamic stability, the subject has to increase the base of support in the following recovery step (TD Reco1L).</w:t>
      </w:r>
    </w:p>
    <w:p w14:paraId="754F1C1E" w14:textId="5E31D83F" w:rsidR="00536006" w:rsidRPr="00FF3861" w:rsidRDefault="00536006" w:rsidP="00BA0EC9">
      <w:pPr>
        <w:jc w:val="both"/>
        <w:rPr>
          <w:color w:val="000000" w:themeColor="text1"/>
          <w:lang w:val="en-US"/>
        </w:rPr>
      </w:pPr>
      <w:r w:rsidRPr="00FF3861">
        <w:rPr>
          <w:b/>
          <w:color w:val="000000" w:themeColor="text1"/>
          <w:lang w:val="en-US"/>
        </w:rPr>
        <w:t xml:space="preserve">Figure </w:t>
      </w:r>
      <w:r w:rsidR="0062648E" w:rsidRPr="00FF3861">
        <w:rPr>
          <w:b/>
          <w:color w:val="000000" w:themeColor="text1"/>
          <w:lang w:val="en-US"/>
        </w:rPr>
        <w:t>3</w:t>
      </w:r>
      <w:r w:rsidRPr="00FF3861">
        <w:rPr>
          <w:b/>
          <w:color w:val="000000" w:themeColor="text1"/>
          <w:lang w:val="en-US"/>
        </w:rPr>
        <w:t>:</w:t>
      </w:r>
      <w:r w:rsidR="00BA0EC9" w:rsidRPr="00FF3861">
        <w:rPr>
          <w:b/>
          <w:color w:val="000000" w:themeColor="text1"/>
          <w:lang w:val="en-US"/>
        </w:rPr>
        <w:t xml:space="preserve"> </w:t>
      </w:r>
      <w:r w:rsidRPr="00FF3861">
        <w:rPr>
          <w:color w:val="000000" w:themeColor="text1"/>
          <w:lang w:val="en-US"/>
        </w:rPr>
        <w:t xml:space="preserve">Schematic diagram of the resistance and motor skill training. A: </w:t>
      </w:r>
      <w:r w:rsidRPr="00FF3861">
        <w:rPr>
          <w:color w:val="000000" w:themeColor="text1"/>
          <w:szCs w:val="24"/>
          <w:lang w:val="en-US"/>
        </w:rPr>
        <w:t xml:space="preserve">Subjects were seated on the </w:t>
      </w:r>
      <w:r w:rsidRPr="00FF3861">
        <w:rPr>
          <w:color w:val="000000" w:themeColor="text1"/>
          <w:lang w:val="en-US"/>
        </w:rPr>
        <w:t xml:space="preserve">training device </w:t>
      </w:r>
      <w:r w:rsidRPr="00FF3861">
        <w:rPr>
          <w:color w:val="000000" w:themeColor="text1"/>
          <w:szCs w:val="24"/>
          <w:lang w:val="en-US"/>
        </w:rPr>
        <w:t>with their lower leg secured, with knee and ankle joints fixed at 90° (shank perpendicular to thigh). B: Ankle plantarflexion MVC moment was measured with 2 custom-made strain gauge-type dynamometers. The foot was positioned on the dynamometer by aligning the axis of rotation of the ankle joint with the plate’s centre of rotation (ankle plantarflexion MVC moment equivalent to the moment measured by the dynamometer). Therefore, the resultant moment was calculated as the product of F</w:t>
      </w:r>
      <w:r w:rsidRPr="00FF3861">
        <w:rPr>
          <w:color w:val="000000" w:themeColor="text1"/>
          <w:szCs w:val="24"/>
          <w:vertAlign w:val="subscript"/>
          <w:lang w:val="en-US"/>
        </w:rPr>
        <w:t xml:space="preserve"> </w:t>
      </w:r>
      <w:r w:rsidRPr="00FF3861">
        <w:rPr>
          <w:color w:val="000000" w:themeColor="text1"/>
          <w:szCs w:val="24"/>
          <w:lang w:val="en-US"/>
        </w:rPr>
        <w:t>(resultant force) and r (distance between the plate’s centre of rotation and the strain gauge).</w:t>
      </w:r>
      <w:r w:rsidRPr="00FF3861">
        <w:rPr>
          <w:color w:val="000000" w:themeColor="text1"/>
          <w:lang w:val="en-US"/>
        </w:rPr>
        <w:t xml:space="preserve"> C: feedback for the resistance training (5 times of 4 </w:t>
      </w:r>
      <w:r w:rsidRPr="00FF3861">
        <w:rPr>
          <w:color w:val="000000" w:themeColor="text1"/>
          <w:lang w:val="en-US"/>
        </w:rPr>
        <w:lastRenderedPageBreak/>
        <w:t>plantarflexion contractions with 90% of MVC). D: motor skill training paradigm. Each training session consisted of four separate functions: two pre-defined functions (constant functions) and two regularly varied functions. E: transfer functions: in the measurement sessions the varied functions were replaced with two pre-defined transfer functions only occurring in the measurement sessions. The relative mean deviation (mean deviation normalized to maximal plantarflexion moment) was calculated for the exercised (each training session) and transfer (pre and post measurem</w:t>
      </w:r>
      <w:r w:rsidR="00B36BCD" w:rsidRPr="00FF3861">
        <w:rPr>
          <w:color w:val="000000" w:themeColor="text1"/>
          <w:lang w:val="en-US"/>
        </w:rPr>
        <w:t>ent) functions.</w:t>
      </w:r>
    </w:p>
    <w:p w14:paraId="76F6A2DB" w14:textId="01C30C1B" w:rsidR="008C7DA6" w:rsidRPr="00FF3861" w:rsidRDefault="00536006" w:rsidP="00BA0EC9">
      <w:pPr>
        <w:jc w:val="both"/>
        <w:rPr>
          <w:color w:val="000000" w:themeColor="text1"/>
          <w:lang w:val="en-US"/>
        </w:rPr>
      </w:pPr>
      <w:r w:rsidRPr="00FF3861">
        <w:rPr>
          <w:b/>
          <w:color w:val="000000" w:themeColor="text1"/>
          <w:lang w:val="en-US"/>
        </w:rPr>
        <w:t xml:space="preserve">Figure </w:t>
      </w:r>
      <w:r w:rsidR="0062648E" w:rsidRPr="00FF3861">
        <w:rPr>
          <w:b/>
          <w:color w:val="000000" w:themeColor="text1"/>
          <w:lang w:val="en-US"/>
        </w:rPr>
        <w:t>4</w:t>
      </w:r>
      <w:r w:rsidRPr="00FF3861">
        <w:rPr>
          <w:b/>
          <w:color w:val="000000" w:themeColor="text1"/>
          <w:lang w:val="en-US"/>
        </w:rPr>
        <w:t>:</w:t>
      </w:r>
      <w:r w:rsidR="00BA0EC9" w:rsidRPr="00FF3861">
        <w:rPr>
          <w:b/>
          <w:color w:val="000000" w:themeColor="text1"/>
          <w:lang w:val="en-US"/>
        </w:rPr>
        <w:t xml:space="preserve"> </w:t>
      </w:r>
      <w:r w:rsidRPr="00FF3861">
        <w:rPr>
          <w:color w:val="000000" w:themeColor="text1"/>
          <w:szCs w:val="24"/>
          <w:lang w:val="en-US"/>
        </w:rPr>
        <w:t xml:space="preserve">Average </w:t>
      </w:r>
      <w:r w:rsidRPr="00FF3861">
        <w:rPr>
          <w:color w:val="000000" w:themeColor="text1"/>
          <w:lang w:val="en-US"/>
        </w:rPr>
        <w:t xml:space="preserve">trajectory </w:t>
      </w:r>
      <w:r w:rsidR="007C74A8" w:rsidRPr="00FF3861">
        <w:rPr>
          <w:color w:val="000000" w:themeColor="text1"/>
          <w:lang w:val="en-US"/>
        </w:rPr>
        <w:t xml:space="preserve">of the </w:t>
      </w:r>
      <w:r w:rsidRPr="00FF3861">
        <w:rPr>
          <w:color w:val="000000" w:themeColor="text1"/>
          <w:szCs w:val="24"/>
          <w:lang w:val="en-US"/>
        </w:rPr>
        <w:t xml:space="preserve">plantarflexion moment </w:t>
      </w:r>
      <w:r w:rsidR="007C74A8" w:rsidRPr="00FF3861">
        <w:rPr>
          <w:color w:val="000000" w:themeColor="text1"/>
          <w:lang w:val="en-US"/>
        </w:rPr>
        <w:t xml:space="preserve">and </w:t>
      </w:r>
      <w:r w:rsidR="00DA09C2" w:rsidRPr="00FF3861">
        <w:rPr>
          <w:color w:val="000000" w:themeColor="text1"/>
          <w:lang w:val="en-US"/>
        </w:rPr>
        <w:t xml:space="preserve">respective </w:t>
      </w:r>
      <w:r w:rsidR="007C74A8" w:rsidRPr="00FF3861">
        <w:rPr>
          <w:color w:val="000000" w:themeColor="text1"/>
          <w:lang w:val="en-US"/>
        </w:rPr>
        <w:t xml:space="preserve">mean </w:t>
      </w:r>
      <w:r w:rsidR="007C74A8" w:rsidRPr="00FF3861">
        <w:rPr>
          <w:color w:val="000000" w:themeColor="text1"/>
          <w:szCs w:val="24"/>
          <w:lang w:val="en-US"/>
        </w:rPr>
        <w:t>relative deviation</w:t>
      </w:r>
      <w:r w:rsidR="00DA09C2" w:rsidRPr="00FF3861">
        <w:rPr>
          <w:color w:val="000000" w:themeColor="text1"/>
          <w:szCs w:val="24"/>
          <w:lang w:val="en-US"/>
        </w:rPr>
        <w:t>s</w:t>
      </w:r>
      <w:r w:rsidR="007C74A8" w:rsidRPr="00FF3861">
        <w:rPr>
          <w:color w:val="000000" w:themeColor="text1"/>
          <w:szCs w:val="24"/>
          <w:lang w:val="en-US"/>
        </w:rPr>
        <w:t xml:space="preserve"> </w:t>
      </w:r>
      <w:r w:rsidRPr="00FF3861">
        <w:rPr>
          <w:color w:val="000000" w:themeColor="text1"/>
          <w:szCs w:val="24"/>
          <w:lang w:val="en-US"/>
        </w:rPr>
        <w:t>in one of the constant functions (Funct</w:t>
      </w:r>
      <w:r w:rsidRPr="00FF3861">
        <w:rPr>
          <w:color w:val="000000" w:themeColor="text1"/>
          <w:szCs w:val="24"/>
          <w:vertAlign w:val="subscript"/>
          <w:lang w:val="en-US"/>
        </w:rPr>
        <w:t>CT1</w:t>
      </w:r>
      <w:r w:rsidRPr="00FF3861">
        <w:rPr>
          <w:color w:val="000000" w:themeColor="text1"/>
          <w:lang w:val="en-US"/>
        </w:rPr>
        <w:t xml:space="preserve">) with fast </w:t>
      </w:r>
      <w:r w:rsidR="001A6098" w:rsidRPr="00FF3861">
        <w:rPr>
          <w:color w:val="000000" w:themeColor="text1"/>
          <w:lang w:val="en-US"/>
        </w:rPr>
        <w:t xml:space="preserve">cursor </w:t>
      </w:r>
      <w:r w:rsidR="001E508F" w:rsidRPr="00FF3861">
        <w:rPr>
          <w:color w:val="000000" w:themeColor="text1"/>
          <w:lang w:val="en-US"/>
        </w:rPr>
        <w:t>movement</w:t>
      </w:r>
      <w:r w:rsidR="0073142B" w:rsidRPr="00FF3861">
        <w:rPr>
          <w:color w:val="000000" w:themeColor="text1"/>
          <w:lang w:val="en-US"/>
        </w:rPr>
        <w:t xml:space="preserve"> </w:t>
      </w:r>
      <w:r w:rsidRPr="00FF3861">
        <w:rPr>
          <w:color w:val="000000" w:themeColor="text1"/>
          <w:lang w:val="en-US"/>
        </w:rPr>
        <w:t>(</w:t>
      </w:r>
      <w:r w:rsidR="00F91808" w:rsidRPr="00FF3861">
        <w:rPr>
          <w:color w:val="000000" w:themeColor="text1"/>
          <w:lang w:val="en-US"/>
        </w:rPr>
        <w:t>2</w:t>
      </w:r>
      <w:r w:rsidR="001A6098" w:rsidRPr="00FF3861">
        <w:rPr>
          <w:color w:val="000000" w:themeColor="text1"/>
          <w:lang w:val="en-US"/>
        </w:rPr>
        <w:t>0</w:t>
      </w:r>
      <w:r w:rsidR="00F91808" w:rsidRPr="00FF3861">
        <w:rPr>
          <w:color w:val="000000" w:themeColor="text1"/>
          <w:lang w:val="en-US"/>
        </w:rPr>
        <w:t>s continuous tracing</w:t>
      </w:r>
      <w:r w:rsidRPr="00FF3861">
        <w:rPr>
          <w:color w:val="000000" w:themeColor="text1"/>
          <w:lang w:val="en-US"/>
        </w:rPr>
        <w:t xml:space="preserve">) at baseline (Pre), after 14 weeks (Post 14 weeks) and after 1.5 years of motor skill training in the </w:t>
      </w:r>
      <w:r w:rsidR="000D37A4" w:rsidRPr="00FF3861">
        <w:rPr>
          <w:color w:val="000000" w:themeColor="text1"/>
          <w:lang w:val="en-US"/>
        </w:rPr>
        <w:t xml:space="preserve">perturbation training </w:t>
      </w:r>
      <w:r w:rsidR="004614A7" w:rsidRPr="00FF3861">
        <w:rPr>
          <w:color w:val="000000" w:themeColor="text1"/>
          <w:lang w:val="en-US"/>
        </w:rPr>
        <w:t xml:space="preserve">group </w:t>
      </w:r>
      <w:r w:rsidR="000D37A4" w:rsidRPr="00FF3861">
        <w:rPr>
          <w:color w:val="000000" w:themeColor="text1"/>
          <w:lang w:val="en-US"/>
        </w:rPr>
        <w:t>(</w:t>
      </w:r>
      <w:r w:rsidR="00861E05" w:rsidRPr="00FF3861">
        <w:rPr>
          <w:color w:val="000000" w:themeColor="text1"/>
          <w:lang w:val="en-US"/>
        </w:rPr>
        <w:t>GAIT</w:t>
      </w:r>
      <w:r w:rsidR="000D37A4" w:rsidRPr="00FF3861">
        <w:rPr>
          <w:color w:val="000000" w:themeColor="text1"/>
          <w:lang w:val="en-US"/>
        </w:rPr>
        <w:t>)</w:t>
      </w:r>
      <w:r w:rsidRPr="00FF3861">
        <w:rPr>
          <w:color w:val="000000" w:themeColor="text1"/>
          <w:lang w:val="en-US"/>
        </w:rPr>
        <w:t xml:space="preserve"> and </w:t>
      </w:r>
      <w:r w:rsidR="009F4829" w:rsidRPr="00FF3861">
        <w:rPr>
          <w:color w:val="000000" w:themeColor="text1"/>
          <w:lang w:val="en-US"/>
        </w:rPr>
        <w:t xml:space="preserve">the </w:t>
      </w:r>
      <w:r w:rsidR="00094EDB" w:rsidRPr="00FF3861">
        <w:rPr>
          <w:color w:val="000000" w:themeColor="text1"/>
          <w:lang w:val="en-US"/>
        </w:rPr>
        <w:t xml:space="preserve">combined </w:t>
      </w:r>
      <w:r w:rsidR="000D37A4" w:rsidRPr="00FF3861">
        <w:rPr>
          <w:color w:val="000000" w:themeColor="text1"/>
          <w:lang w:val="en-US"/>
        </w:rPr>
        <w:t xml:space="preserve">perturbation </w:t>
      </w:r>
      <w:r w:rsidR="009F4829" w:rsidRPr="00FF3861">
        <w:rPr>
          <w:color w:val="000000" w:themeColor="text1"/>
          <w:lang w:val="en-US"/>
        </w:rPr>
        <w:t xml:space="preserve">and </w:t>
      </w:r>
      <w:r w:rsidR="000D37A4" w:rsidRPr="00FF3861">
        <w:rPr>
          <w:color w:val="000000" w:themeColor="text1"/>
          <w:lang w:val="en-US"/>
        </w:rPr>
        <w:t xml:space="preserve">TS neuromuscular exercise </w:t>
      </w:r>
      <w:r w:rsidR="004614A7" w:rsidRPr="00FF3861">
        <w:rPr>
          <w:color w:val="000000" w:themeColor="text1"/>
          <w:lang w:val="en-US"/>
        </w:rPr>
        <w:t xml:space="preserve">intervention group </w:t>
      </w:r>
      <w:r w:rsidR="000D37A4" w:rsidRPr="00FF3861">
        <w:rPr>
          <w:color w:val="000000" w:themeColor="text1"/>
          <w:lang w:val="en-US"/>
        </w:rPr>
        <w:t>(</w:t>
      </w:r>
      <w:r w:rsidR="00BA0EC9" w:rsidRPr="00FF3861">
        <w:rPr>
          <w:color w:val="000000" w:themeColor="text1"/>
          <w:lang w:val="en-US"/>
        </w:rPr>
        <w:t>GAIT+NM</w:t>
      </w:r>
      <w:r w:rsidR="00BA0EC9" w:rsidRPr="00FF3861">
        <w:rPr>
          <w:color w:val="000000" w:themeColor="text1"/>
          <w:vertAlign w:val="subscript"/>
          <w:lang w:val="en-US"/>
        </w:rPr>
        <w:t>1.5y</w:t>
      </w:r>
      <w:r w:rsidR="000D37A4" w:rsidRPr="00FF3861">
        <w:rPr>
          <w:color w:val="000000" w:themeColor="text1"/>
          <w:lang w:val="en-US"/>
        </w:rPr>
        <w:t>)</w:t>
      </w:r>
      <w:r w:rsidRPr="00FF3861">
        <w:rPr>
          <w:color w:val="000000" w:themeColor="text1"/>
          <w:lang w:val="en-US"/>
        </w:rPr>
        <w:t>. The black line represents the optimal trac</w:t>
      </w:r>
      <w:r w:rsidR="001F59C3" w:rsidRPr="00FF3861">
        <w:rPr>
          <w:color w:val="000000" w:themeColor="text1"/>
          <w:lang w:val="en-US"/>
        </w:rPr>
        <w:t>e</w:t>
      </w:r>
      <w:r w:rsidRPr="00FF3861">
        <w:rPr>
          <w:color w:val="000000" w:themeColor="text1"/>
          <w:lang w:val="en-US"/>
        </w:rPr>
        <w:t xml:space="preserve"> (target function), the red and green lines represent the average actual traced relative plantarflexion moment performed by the subjects in this measurement time point for the </w:t>
      </w:r>
      <w:r w:rsidR="00861E05" w:rsidRPr="00FF3861">
        <w:rPr>
          <w:color w:val="000000" w:themeColor="text1"/>
          <w:lang w:val="en-US"/>
        </w:rPr>
        <w:t>GAIT</w:t>
      </w:r>
      <w:r w:rsidRPr="00FF3861">
        <w:rPr>
          <w:color w:val="000000" w:themeColor="text1"/>
          <w:lang w:val="en-US"/>
        </w:rPr>
        <w:t xml:space="preserve"> and </w:t>
      </w:r>
      <w:r w:rsidR="00BA0EC9" w:rsidRPr="00FF3861">
        <w:rPr>
          <w:color w:val="000000" w:themeColor="text1"/>
          <w:lang w:val="en-US"/>
        </w:rPr>
        <w:t>GAIT+NM</w:t>
      </w:r>
      <w:r w:rsidR="00BA0EC9" w:rsidRPr="00FF3861">
        <w:rPr>
          <w:color w:val="000000" w:themeColor="text1"/>
          <w:vertAlign w:val="subscript"/>
          <w:lang w:val="en-US"/>
        </w:rPr>
        <w:t>1.5y</w:t>
      </w:r>
      <w:r w:rsidR="00BA0EC9" w:rsidRPr="00FF3861">
        <w:rPr>
          <w:color w:val="000000" w:themeColor="text1"/>
          <w:lang w:val="en-US"/>
        </w:rPr>
        <w:t xml:space="preserve"> g</w:t>
      </w:r>
      <w:r w:rsidRPr="00FF3861">
        <w:rPr>
          <w:color w:val="000000" w:themeColor="text1"/>
          <w:lang w:val="en-US"/>
        </w:rPr>
        <w:t>roup.</w:t>
      </w:r>
      <w:r w:rsidR="00E1228E" w:rsidRPr="00FF3861">
        <w:rPr>
          <w:color w:val="000000" w:themeColor="text1"/>
          <w:lang w:val="en-US"/>
        </w:rPr>
        <w:t xml:space="preserve"> Gray area</w:t>
      </w:r>
      <w:r w:rsidR="00065CA6" w:rsidRPr="00FF3861">
        <w:rPr>
          <w:color w:val="000000" w:themeColor="text1"/>
          <w:lang w:val="en-US"/>
        </w:rPr>
        <w:t>s represent</w:t>
      </w:r>
      <w:r w:rsidR="00E1228E" w:rsidRPr="00FF3861">
        <w:rPr>
          <w:color w:val="000000" w:themeColor="text1"/>
          <w:lang w:val="en-US"/>
        </w:rPr>
        <w:t xml:space="preserve"> the </w:t>
      </w:r>
      <w:r w:rsidR="008C7DA6" w:rsidRPr="00FF3861">
        <w:rPr>
          <w:color w:val="000000" w:themeColor="text1"/>
          <w:lang w:val="en-US"/>
        </w:rPr>
        <w:t>excluded</w:t>
      </w:r>
      <w:r w:rsidR="00065CA6" w:rsidRPr="00FF3861">
        <w:rPr>
          <w:color w:val="000000" w:themeColor="text1"/>
          <w:lang w:val="en-US"/>
        </w:rPr>
        <w:t xml:space="preserve"> data </w:t>
      </w:r>
      <w:r w:rsidR="00B12759" w:rsidRPr="00FF3861">
        <w:rPr>
          <w:color w:val="000000" w:themeColor="text1"/>
          <w:lang w:val="en-US"/>
        </w:rPr>
        <w:t xml:space="preserve">during the </w:t>
      </w:r>
      <w:r w:rsidR="008C7DA6" w:rsidRPr="00FF3861">
        <w:rPr>
          <w:color w:val="000000" w:themeColor="text1"/>
          <w:lang w:val="en-US"/>
        </w:rPr>
        <w:t xml:space="preserve">first and last 5% of the traced data (to avoid possible errors </w:t>
      </w:r>
      <w:r w:rsidR="0036758D" w:rsidRPr="00FF3861">
        <w:rPr>
          <w:color w:val="000000" w:themeColor="text1"/>
          <w:lang w:val="en-US"/>
        </w:rPr>
        <w:t xml:space="preserve">in mean and relative deviation </w:t>
      </w:r>
      <w:r w:rsidR="008C7DA6" w:rsidRPr="00FF3861">
        <w:rPr>
          <w:color w:val="000000" w:themeColor="text1"/>
          <w:lang w:val="en-US"/>
        </w:rPr>
        <w:t>through differences in subjects’ attention between the measurement time points).</w:t>
      </w:r>
    </w:p>
    <w:p w14:paraId="6ED2A46A" w14:textId="46B12E06" w:rsidR="009E473F" w:rsidRPr="00FF3861" w:rsidRDefault="00536006" w:rsidP="00AA40E7">
      <w:pPr>
        <w:autoSpaceDE w:val="0"/>
        <w:autoSpaceDN w:val="0"/>
        <w:adjustRightInd w:val="0"/>
        <w:spacing w:after="240"/>
        <w:jc w:val="both"/>
        <w:rPr>
          <w:color w:val="000000" w:themeColor="text1"/>
          <w:lang w:val="en-US"/>
        </w:rPr>
      </w:pPr>
      <w:r w:rsidRPr="00FF3861">
        <w:rPr>
          <w:color w:val="000000" w:themeColor="text1"/>
          <w:vertAlign w:val="superscript"/>
          <w:lang w:val="en-US"/>
        </w:rPr>
        <w:t>*</w:t>
      </w:r>
      <w:r w:rsidRPr="00FF3861">
        <w:rPr>
          <w:color w:val="000000" w:themeColor="text1"/>
          <w:lang w:val="en-US"/>
        </w:rPr>
        <w:t xml:space="preserve">: Statistically significant difference to Pre for the </w:t>
      </w:r>
      <w:r w:rsidR="00A24370" w:rsidRPr="00FF3861">
        <w:rPr>
          <w:color w:val="000000" w:themeColor="text1"/>
          <w:lang w:val="en-US"/>
        </w:rPr>
        <w:t>GAIT+NM</w:t>
      </w:r>
      <w:r w:rsidR="00A24370" w:rsidRPr="00FF3861">
        <w:rPr>
          <w:color w:val="000000" w:themeColor="text1"/>
          <w:vertAlign w:val="subscript"/>
          <w:lang w:val="en-US"/>
        </w:rPr>
        <w:t>1.5y</w:t>
      </w:r>
      <w:r w:rsidR="00A24370" w:rsidRPr="00FF3861">
        <w:rPr>
          <w:color w:val="000000" w:themeColor="text1"/>
          <w:lang w:val="en-US"/>
        </w:rPr>
        <w:t xml:space="preserve"> </w:t>
      </w:r>
      <w:r w:rsidR="00B36BCD" w:rsidRPr="00FF3861">
        <w:rPr>
          <w:color w:val="000000" w:themeColor="text1"/>
          <w:lang w:val="en-US"/>
        </w:rPr>
        <w:t>group (p &lt; 0.05).</w:t>
      </w:r>
    </w:p>
    <w:p w14:paraId="21FA7643" w14:textId="0D0FDD04" w:rsidR="00536006" w:rsidRPr="00FF3861" w:rsidRDefault="00536006" w:rsidP="000A2A13">
      <w:pPr>
        <w:jc w:val="both"/>
        <w:rPr>
          <w:color w:val="000000" w:themeColor="text1"/>
          <w:lang w:val="en-US"/>
        </w:rPr>
      </w:pPr>
      <w:r w:rsidRPr="00FF3861">
        <w:rPr>
          <w:b/>
          <w:color w:val="000000" w:themeColor="text1"/>
          <w:lang w:val="en-US"/>
        </w:rPr>
        <w:t xml:space="preserve">Figure </w:t>
      </w:r>
      <w:r w:rsidR="0062648E" w:rsidRPr="00FF3861">
        <w:rPr>
          <w:b/>
          <w:color w:val="000000" w:themeColor="text1"/>
          <w:lang w:val="en-US"/>
        </w:rPr>
        <w:t>5</w:t>
      </w:r>
      <w:r w:rsidRPr="00FF3861">
        <w:rPr>
          <w:b/>
          <w:color w:val="000000" w:themeColor="text1"/>
          <w:lang w:val="en-US"/>
        </w:rPr>
        <w:t>:</w:t>
      </w:r>
      <w:r w:rsidR="000A2A13" w:rsidRPr="00FF3861">
        <w:rPr>
          <w:b/>
          <w:color w:val="000000" w:themeColor="text1"/>
          <w:lang w:val="en-US"/>
        </w:rPr>
        <w:t xml:space="preserve"> </w:t>
      </w:r>
      <w:r w:rsidRPr="00FF3861">
        <w:rPr>
          <w:color w:val="000000" w:themeColor="text1"/>
          <w:lang w:val="en-US"/>
        </w:rPr>
        <w:t>Margin of stability (MoS) at touchdown during unperturbed walking (</w:t>
      </w:r>
      <w:r w:rsidR="00080A1B" w:rsidRPr="00FF3861">
        <w:rPr>
          <w:color w:val="000000" w:themeColor="text1"/>
          <w:lang w:val="en-US"/>
        </w:rPr>
        <w:t xml:space="preserve">TD </w:t>
      </w:r>
      <w:r w:rsidRPr="00FF3861">
        <w:rPr>
          <w:color w:val="000000" w:themeColor="text1"/>
          <w:lang w:val="en-US"/>
        </w:rPr>
        <w:t xml:space="preserve">Base: average of 12 consecutive steps) in the </w:t>
      </w:r>
      <w:r w:rsidR="00094EDB" w:rsidRPr="00FF3861">
        <w:rPr>
          <w:color w:val="000000" w:themeColor="text1"/>
          <w:lang w:val="en-US"/>
        </w:rPr>
        <w:t xml:space="preserve">perturbation training </w:t>
      </w:r>
      <w:r w:rsidR="004614A7" w:rsidRPr="00FF3861">
        <w:rPr>
          <w:color w:val="000000" w:themeColor="text1"/>
          <w:lang w:val="en-US"/>
        </w:rPr>
        <w:t xml:space="preserve">group </w:t>
      </w:r>
      <w:r w:rsidR="00094EDB" w:rsidRPr="00FF3861">
        <w:rPr>
          <w:color w:val="000000" w:themeColor="text1"/>
          <w:lang w:val="en-US"/>
        </w:rPr>
        <w:t xml:space="preserve">(GAIT) and </w:t>
      </w:r>
      <w:r w:rsidR="009F4829" w:rsidRPr="00FF3861">
        <w:rPr>
          <w:color w:val="000000" w:themeColor="text1"/>
          <w:lang w:val="en-US"/>
        </w:rPr>
        <w:t xml:space="preserve">the </w:t>
      </w:r>
      <w:r w:rsidR="00094EDB" w:rsidRPr="00FF3861">
        <w:rPr>
          <w:color w:val="000000" w:themeColor="text1"/>
          <w:lang w:val="en-US"/>
        </w:rPr>
        <w:t>combined pert</w:t>
      </w:r>
      <w:r w:rsidR="004614A7" w:rsidRPr="00FF3861">
        <w:rPr>
          <w:color w:val="000000" w:themeColor="text1"/>
          <w:lang w:val="en-US"/>
        </w:rPr>
        <w:t>urbation</w:t>
      </w:r>
      <w:r w:rsidR="00094EDB" w:rsidRPr="00FF3861">
        <w:rPr>
          <w:color w:val="000000" w:themeColor="text1"/>
          <w:lang w:val="en-US"/>
        </w:rPr>
        <w:t xml:space="preserve"> </w:t>
      </w:r>
      <w:r w:rsidR="009F4829" w:rsidRPr="00FF3861">
        <w:rPr>
          <w:color w:val="000000" w:themeColor="text1"/>
          <w:lang w:val="en-US"/>
        </w:rPr>
        <w:t>and</w:t>
      </w:r>
      <w:r w:rsidR="00094EDB" w:rsidRPr="00FF3861">
        <w:rPr>
          <w:color w:val="000000" w:themeColor="text1"/>
          <w:lang w:val="en-US"/>
        </w:rPr>
        <w:t xml:space="preserve"> TS neuromuscular exercise </w:t>
      </w:r>
      <w:r w:rsidR="004614A7" w:rsidRPr="00FF3861">
        <w:rPr>
          <w:color w:val="000000" w:themeColor="text1"/>
          <w:lang w:val="en-US"/>
        </w:rPr>
        <w:t xml:space="preserve">intervention groups </w:t>
      </w:r>
      <w:r w:rsidR="00094EDB" w:rsidRPr="00FF3861">
        <w:rPr>
          <w:color w:val="000000" w:themeColor="text1"/>
          <w:lang w:val="en-US"/>
        </w:rPr>
        <w:t>(</w:t>
      </w:r>
      <w:r w:rsidR="009F4829" w:rsidRPr="00FF3861">
        <w:rPr>
          <w:color w:val="000000" w:themeColor="text1"/>
          <w:lang w:val="en-US"/>
        </w:rPr>
        <w:t>GAIT+NM</w:t>
      </w:r>
      <w:r w:rsidR="009F4829" w:rsidRPr="00FF3861">
        <w:rPr>
          <w:color w:val="000000" w:themeColor="text1"/>
          <w:vertAlign w:val="subscript"/>
          <w:lang w:val="en-US"/>
        </w:rPr>
        <w:t>14w</w:t>
      </w:r>
      <w:r w:rsidR="009F4829" w:rsidRPr="00FF3861">
        <w:rPr>
          <w:color w:val="000000" w:themeColor="text1"/>
          <w:lang w:val="en-US"/>
        </w:rPr>
        <w:t xml:space="preserve"> and </w:t>
      </w:r>
      <w:r w:rsidR="00094EDB" w:rsidRPr="00FF3861">
        <w:rPr>
          <w:color w:val="000000" w:themeColor="text1"/>
          <w:lang w:val="en-US"/>
        </w:rPr>
        <w:t>GAIT+NM</w:t>
      </w:r>
      <w:r w:rsidR="00094EDB" w:rsidRPr="00FF3861">
        <w:rPr>
          <w:color w:val="000000" w:themeColor="text1"/>
          <w:vertAlign w:val="subscript"/>
          <w:lang w:val="en-US"/>
        </w:rPr>
        <w:t>1.5y</w:t>
      </w:r>
      <w:r w:rsidR="00094EDB" w:rsidRPr="00FF3861">
        <w:rPr>
          <w:color w:val="000000" w:themeColor="text1"/>
          <w:lang w:val="en-US"/>
        </w:rPr>
        <w:t>)</w:t>
      </w:r>
      <w:r w:rsidR="00FF3861" w:rsidRPr="00FF3861">
        <w:rPr>
          <w:color w:val="000000" w:themeColor="text1"/>
          <w:lang w:val="en-US"/>
        </w:rPr>
        <w:t xml:space="preserve"> </w:t>
      </w:r>
      <w:r w:rsidRPr="00FF3861">
        <w:rPr>
          <w:color w:val="000000" w:themeColor="text1"/>
          <w:lang w:val="en-US"/>
        </w:rPr>
        <w:t xml:space="preserve">at baseline </w:t>
      </w:r>
      <w:r w:rsidRPr="00FF3861">
        <w:rPr>
          <w:color w:val="000000" w:themeColor="text1"/>
          <w:lang w:val="en-US"/>
        </w:rPr>
        <w:lastRenderedPageBreak/>
        <w:t>(Pre), post 14 weeks (Post 14w) and post 1.5 years (Post 1.5y) measurement time points. All values are expressed as means with SD (error bars).</w:t>
      </w:r>
    </w:p>
    <w:p w14:paraId="2097B6A4" w14:textId="43FFD2D3" w:rsidR="00536006" w:rsidRPr="00FF3861" w:rsidRDefault="00536006" w:rsidP="000A2A13">
      <w:pPr>
        <w:jc w:val="both"/>
        <w:rPr>
          <w:b/>
          <w:color w:val="000000" w:themeColor="text1"/>
          <w:lang w:val="en-US"/>
        </w:rPr>
      </w:pPr>
      <w:r w:rsidRPr="00FF3861">
        <w:rPr>
          <w:b/>
          <w:color w:val="000000" w:themeColor="text1"/>
          <w:lang w:val="en-US"/>
        </w:rPr>
        <w:t xml:space="preserve">Figure </w:t>
      </w:r>
      <w:r w:rsidR="0062648E" w:rsidRPr="00FF3861">
        <w:rPr>
          <w:b/>
          <w:color w:val="000000" w:themeColor="text1"/>
          <w:lang w:val="en-US"/>
        </w:rPr>
        <w:t>6</w:t>
      </w:r>
      <w:r w:rsidRPr="00FF3861">
        <w:rPr>
          <w:b/>
          <w:color w:val="000000" w:themeColor="text1"/>
          <w:lang w:val="en-US"/>
        </w:rPr>
        <w:t>:</w:t>
      </w:r>
      <w:r w:rsidR="000A2A13" w:rsidRPr="00FF3861">
        <w:rPr>
          <w:b/>
          <w:color w:val="000000" w:themeColor="text1"/>
          <w:lang w:val="en-US"/>
        </w:rPr>
        <w:t xml:space="preserve"> </w:t>
      </w:r>
      <w:r w:rsidRPr="00FF3861">
        <w:rPr>
          <w:color w:val="000000" w:themeColor="text1"/>
          <w:lang w:val="en-US"/>
        </w:rPr>
        <w:t>Margin of stability (MoS) at touchdown of the perturbed leg (</w:t>
      </w:r>
      <w:r w:rsidR="004C1E42" w:rsidRPr="00FF3861">
        <w:rPr>
          <w:color w:val="000000" w:themeColor="text1"/>
          <w:lang w:val="en-US"/>
        </w:rPr>
        <w:t xml:space="preserve">TD </w:t>
      </w:r>
      <w:r w:rsidRPr="00FF3861">
        <w:rPr>
          <w:color w:val="000000" w:themeColor="text1"/>
          <w:szCs w:val="24"/>
          <w:lang w:val="en-US"/>
        </w:rPr>
        <w:t>Pert</w:t>
      </w:r>
      <w:r w:rsidRPr="00FF3861">
        <w:rPr>
          <w:color w:val="000000" w:themeColor="text1"/>
          <w:lang w:val="en-US"/>
        </w:rPr>
        <w:t xml:space="preserve">) in the </w:t>
      </w:r>
      <w:r w:rsidR="009F4829" w:rsidRPr="00FF3861">
        <w:rPr>
          <w:color w:val="000000" w:themeColor="text1"/>
          <w:lang w:val="en-US"/>
        </w:rPr>
        <w:t xml:space="preserve">perturbation training </w:t>
      </w:r>
      <w:r w:rsidR="004614A7" w:rsidRPr="00FF3861">
        <w:rPr>
          <w:color w:val="000000" w:themeColor="text1"/>
          <w:lang w:val="en-US"/>
        </w:rPr>
        <w:t xml:space="preserve">group </w:t>
      </w:r>
      <w:r w:rsidR="009F4829" w:rsidRPr="00FF3861">
        <w:rPr>
          <w:color w:val="000000" w:themeColor="text1"/>
          <w:lang w:val="en-US"/>
        </w:rPr>
        <w:t xml:space="preserve">(GAIT) and the combined perturbation and TS neuromuscular exercise </w:t>
      </w:r>
      <w:r w:rsidR="004614A7" w:rsidRPr="00FF3861">
        <w:rPr>
          <w:color w:val="000000" w:themeColor="text1"/>
          <w:lang w:val="en-US"/>
        </w:rPr>
        <w:t xml:space="preserve">intervention groups </w:t>
      </w:r>
      <w:r w:rsidR="009F4829" w:rsidRPr="00FF3861">
        <w:rPr>
          <w:color w:val="000000" w:themeColor="text1"/>
          <w:lang w:val="en-US"/>
        </w:rPr>
        <w:t>(</w:t>
      </w:r>
      <w:r w:rsidR="004614A7" w:rsidRPr="00FF3861">
        <w:rPr>
          <w:color w:val="000000" w:themeColor="text1"/>
          <w:lang w:val="en-US"/>
        </w:rPr>
        <w:t>GAIT+NM</w:t>
      </w:r>
      <w:r w:rsidR="004614A7" w:rsidRPr="00FF3861">
        <w:rPr>
          <w:color w:val="000000" w:themeColor="text1"/>
          <w:vertAlign w:val="subscript"/>
          <w:lang w:val="en-US"/>
        </w:rPr>
        <w:t>14w</w:t>
      </w:r>
      <w:r w:rsidR="004614A7" w:rsidRPr="00FF3861">
        <w:rPr>
          <w:color w:val="000000" w:themeColor="text1"/>
          <w:lang w:val="en-US"/>
        </w:rPr>
        <w:t xml:space="preserve"> and GAIT+NM</w:t>
      </w:r>
      <w:r w:rsidR="004614A7" w:rsidRPr="00FF3861">
        <w:rPr>
          <w:color w:val="000000" w:themeColor="text1"/>
          <w:vertAlign w:val="subscript"/>
          <w:lang w:val="en-US"/>
        </w:rPr>
        <w:t>1.5y</w:t>
      </w:r>
      <w:r w:rsidR="009F4829" w:rsidRPr="00FF3861">
        <w:rPr>
          <w:color w:val="000000" w:themeColor="text1"/>
          <w:lang w:val="en-US"/>
        </w:rPr>
        <w:t xml:space="preserve">) </w:t>
      </w:r>
      <w:r w:rsidRPr="00FF3861">
        <w:rPr>
          <w:color w:val="000000" w:themeColor="text1"/>
          <w:lang w:val="en-US"/>
        </w:rPr>
        <w:t xml:space="preserve">at baseline (Pre), post 14 weeks (Post 14w) and post 1.5 years (Post 1.5y) measurement time points. All values are expressed as means with SD (error bars). </w:t>
      </w:r>
      <w:r w:rsidRPr="00FF3861">
        <w:rPr>
          <w:color w:val="000000" w:themeColor="text1"/>
          <w:vertAlign w:val="superscript"/>
          <w:lang w:val="en-US"/>
        </w:rPr>
        <w:t>a</w:t>
      </w:r>
      <w:r w:rsidRPr="00FF3861">
        <w:rPr>
          <w:color w:val="000000" w:themeColor="text1"/>
          <w:lang w:val="en-US"/>
        </w:rPr>
        <w:t>: Statistically significant difference to T1</w:t>
      </w:r>
      <w:r w:rsidRPr="00FF3861">
        <w:rPr>
          <w:color w:val="000000" w:themeColor="text1"/>
          <w:vertAlign w:val="subscript"/>
          <w:lang w:val="en-US"/>
        </w:rPr>
        <w:t>Pre</w:t>
      </w:r>
      <w:r w:rsidRPr="00FF3861">
        <w:rPr>
          <w:color w:val="000000" w:themeColor="text1"/>
          <w:lang w:val="en-US"/>
        </w:rPr>
        <w:t xml:space="preserve"> (p &lt; 0.05); </w:t>
      </w:r>
      <w:r w:rsidRPr="00FF3861">
        <w:rPr>
          <w:color w:val="000000" w:themeColor="text1"/>
          <w:vertAlign w:val="superscript"/>
          <w:lang w:val="en-US"/>
        </w:rPr>
        <w:t>b</w:t>
      </w:r>
      <w:r w:rsidRPr="00FF3861">
        <w:rPr>
          <w:color w:val="000000" w:themeColor="text1"/>
          <w:lang w:val="en-US"/>
        </w:rPr>
        <w:t>: Statistically significant difference to T8</w:t>
      </w:r>
      <w:r w:rsidRPr="00FF3861">
        <w:rPr>
          <w:color w:val="000000" w:themeColor="text1"/>
          <w:vertAlign w:val="subscript"/>
          <w:lang w:val="en-US"/>
        </w:rPr>
        <w:t>Pre</w:t>
      </w:r>
      <w:r w:rsidRPr="00FF3861">
        <w:rPr>
          <w:color w:val="000000" w:themeColor="text1"/>
          <w:lang w:val="en-US"/>
        </w:rPr>
        <w:t xml:space="preserve"> (p &lt; 0.05); </w:t>
      </w:r>
      <w:r w:rsidRPr="00FF3861">
        <w:rPr>
          <w:color w:val="000000" w:themeColor="text1"/>
          <w:vertAlign w:val="superscript"/>
          <w:lang w:val="en-US"/>
        </w:rPr>
        <w:t>c</w:t>
      </w:r>
      <w:r w:rsidRPr="00FF3861">
        <w:rPr>
          <w:color w:val="000000" w:themeColor="text1"/>
          <w:lang w:val="en-US"/>
        </w:rPr>
        <w:t>: Statistically significant difference to T1</w:t>
      </w:r>
      <w:r w:rsidRPr="00FF3861">
        <w:rPr>
          <w:color w:val="000000" w:themeColor="text1"/>
          <w:vertAlign w:val="subscript"/>
          <w:lang w:val="en-US"/>
        </w:rPr>
        <w:t>Post14w</w:t>
      </w:r>
      <w:r w:rsidRPr="00FF3861">
        <w:rPr>
          <w:color w:val="000000" w:themeColor="text1"/>
          <w:lang w:val="en-US"/>
        </w:rPr>
        <w:t xml:space="preserve"> (p &lt; 0.05); </w:t>
      </w:r>
      <w:r w:rsidRPr="00FF3861">
        <w:rPr>
          <w:color w:val="000000" w:themeColor="text1"/>
          <w:vertAlign w:val="superscript"/>
          <w:lang w:val="en-US"/>
        </w:rPr>
        <w:t>d</w:t>
      </w:r>
      <w:r w:rsidRPr="00FF3861">
        <w:rPr>
          <w:color w:val="000000" w:themeColor="text1"/>
          <w:lang w:val="en-US"/>
        </w:rPr>
        <w:t>: Statistically significant difference to T8</w:t>
      </w:r>
      <w:r w:rsidRPr="00FF3861">
        <w:rPr>
          <w:color w:val="000000" w:themeColor="text1"/>
          <w:vertAlign w:val="subscript"/>
          <w:lang w:val="en-US"/>
        </w:rPr>
        <w:t>Post14w</w:t>
      </w:r>
      <w:r w:rsidRPr="00FF3861">
        <w:rPr>
          <w:color w:val="000000" w:themeColor="text1"/>
          <w:lang w:val="en-US"/>
        </w:rPr>
        <w:t xml:space="preserve"> (p &lt; 0.05); </w:t>
      </w:r>
      <w:r w:rsidRPr="00FF3861">
        <w:rPr>
          <w:color w:val="000000" w:themeColor="text1"/>
          <w:vertAlign w:val="superscript"/>
          <w:lang w:val="en-US"/>
        </w:rPr>
        <w:t>e</w:t>
      </w:r>
      <w:r w:rsidRPr="00FF3861">
        <w:rPr>
          <w:color w:val="000000" w:themeColor="text1"/>
          <w:lang w:val="en-US"/>
        </w:rPr>
        <w:t>: Statistically significant difference to T1</w:t>
      </w:r>
      <w:r w:rsidRPr="00FF3861">
        <w:rPr>
          <w:color w:val="000000" w:themeColor="text1"/>
          <w:vertAlign w:val="subscript"/>
          <w:lang w:val="en-US"/>
        </w:rPr>
        <w:t>Post1.5y</w:t>
      </w:r>
      <w:r w:rsidRPr="00FF3861">
        <w:rPr>
          <w:color w:val="000000" w:themeColor="text1"/>
          <w:lang w:val="en-US"/>
        </w:rPr>
        <w:t xml:space="preserve"> (p &lt; 0.05).</w:t>
      </w:r>
    </w:p>
    <w:p w14:paraId="7746844C" w14:textId="49F4DB25" w:rsidR="00961AC8" w:rsidRPr="00FF3861" w:rsidRDefault="00536006" w:rsidP="000006F8">
      <w:pPr>
        <w:jc w:val="both"/>
        <w:rPr>
          <w:color w:val="000000" w:themeColor="text1"/>
          <w:lang w:val="en-US"/>
        </w:rPr>
      </w:pPr>
      <w:r w:rsidRPr="00FF3861">
        <w:rPr>
          <w:b/>
          <w:color w:val="000000" w:themeColor="text1"/>
          <w:lang w:val="en-US"/>
        </w:rPr>
        <w:t xml:space="preserve">Figure </w:t>
      </w:r>
      <w:r w:rsidR="0062648E" w:rsidRPr="00FF3861">
        <w:rPr>
          <w:b/>
          <w:color w:val="000000" w:themeColor="text1"/>
          <w:lang w:val="en-US"/>
        </w:rPr>
        <w:t>7:</w:t>
      </w:r>
      <w:r w:rsidR="000006F8" w:rsidRPr="00FF3861">
        <w:rPr>
          <w:b/>
          <w:color w:val="000000" w:themeColor="text1"/>
          <w:lang w:val="en-US"/>
        </w:rPr>
        <w:t xml:space="preserve"> </w:t>
      </w:r>
      <w:r w:rsidRPr="00FF3861">
        <w:rPr>
          <w:color w:val="000000" w:themeColor="text1"/>
          <w:lang w:val="en-US"/>
        </w:rPr>
        <w:t>Margin of st</w:t>
      </w:r>
      <w:r w:rsidR="00D40C92" w:rsidRPr="00FF3861">
        <w:rPr>
          <w:color w:val="000000" w:themeColor="text1"/>
          <w:lang w:val="en-US"/>
        </w:rPr>
        <w:t xml:space="preserve">ability (MoS) at touchdown </w:t>
      </w:r>
      <w:r w:rsidRPr="00FF3861">
        <w:rPr>
          <w:color w:val="000000" w:themeColor="text1"/>
          <w:lang w:val="en-US"/>
        </w:rPr>
        <w:t xml:space="preserve">of the </w:t>
      </w:r>
      <w:r w:rsidRPr="00FF3861">
        <w:rPr>
          <w:color w:val="000000" w:themeColor="text1"/>
          <w:szCs w:val="24"/>
          <w:lang w:val="en-US"/>
        </w:rPr>
        <w:t xml:space="preserve">first recovery step </w:t>
      </w:r>
      <w:r w:rsidR="007F77A1" w:rsidRPr="00FF3861">
        <w:rPr>
          <w:color w:val="000000" w:themeColor="text1"/>
          <w:szCs w:val="24"/>
          <w:lang w:val="en-US"/>
        </w:rPr>
        <w:t xml:space="preserve">(TD </w:t>
      </w:r>
      <w:r w:rsidR="007F77A1" w:rsidRPr="00FF3861">
        <w:rPr>
          <w:color w:val="000000" w:themeColor="text1"/>
          <w:lang w:val="en-US"/>
        </w:rPr>
        <w:t xml:space="preserve">Reco1L) </w:t>
      </w:r>
      <w:r w:rsidRPr="00FF3861">
        <w:rPr>
          <w:color w:val="000000" w:themeColor="text1"/>
          <w:szCs w:val="24"/>
          <w:lang w:val="en-US"/>
        </w:rPr>
        <w:t xml:space="preserve">following the perturbation </w:t>
      </w:r>
      <w:r w:rsidRPr="00FF3861">
        <w:rPr>
          <w:color w:val="000000" w:themeColor="text1"/>
          <w:lang w:val="en-US"/>
        </w:rPr>
        <w:t xml:space="preserve">in the </w:t>
      </w:r>
      <w:r w:rsidR="0068037A" w:rsidRPr="00FF3861">
        <w:rPr>
          <w:color w:val="000000" w:themeColor="text1"/>
          <w:lang w:val="en-US"/>
        </w:rPr>
        <w:t>perturbation training group (GAIT) and the combined perturbation and TS neuromuscular exercise intervention groups (GAIT+NM</w:t>
      </w:r>
      <w:r w:rsidR="0068037A" w:rsidRPr="00FF3861">
        <w:rPr>
          <w:color w:val="000000" w:themeColor="text1"/>
          <w:vertAlign w:val="subscript"/>
          <w:lang w:val="en-US"/>
        </w:rPr>
        <w:t>14w</w:t>
      </w:r>
      <w:r w:rsidR="0068037A" w:rsidRPr="00FF3861">
        <w:rPr>
          <w:color w:val="000000" w:themeColor="text1"/>
          <w:lang w:val="en-US"/>
        </w:rPr>
        <w:t xml:space="preserve"> and GAIT+NM</w:t>
      </w:r>
      <w:r w:rsidR="0068037A" w:rsidRPr="00FF3861">
        <w:rPr>
          <w:color w:val="000000" w:themeColor="text1"/>
          <w:vertAlign w:val="subscript"/>
          <w:lang w:val="en-US"/>
        </w:rPr>
        <w:t>1.5y</w:t>
      </w:r>
      <w:r w:rsidR="0068037A" w:rsidRPr="00FF3861">
        <w:rPr>
          <w:color w:val="000000" w:themeColor="text1"/>
          <w:lang w:val="en-US"/>
        </w:rPr>
        <w:t xml:space="preserve">) </w:t>
      </w:r>
      <w:r w:rsidRPr="00FF3861">
        <w:rPr>
          <w:color w:val="000000" w:themeColor="text1"/>
          <w:lang w:val="en-US"/>
        </w:rPr>
        <w:t xml:space="preserve">at baseline (Pre), post 14 weeks (Post 14w) and post 1.5 years (Post 1.5y) measurement time points. All values are expressed as means with SD (error bars). </w:t>
      </w:r>
      <w:r w:rsidRPr="00FF3861">
        <w:rPr>
          <w:color w:val="000000" w:themeColor="text1"/>
          <w:vertAlign w:val="superscript"/>
          <w:lang w:val="en-US"/>
        </w:rPr>
        <w:t>a</w:t>
      </w:r>
      <w:r w:rsidRPr="00FF3861">
        <w:rPr>
          <w:color w:val="000000" w:themeColor="text1"/>
          <w:lang w:val="en-US"/>
        </w:rPr>
        <w:t>: Statistically significant difference to T1</w:t>
      </w:r>
      <w:r w:rsidRPr="00FF3861">
        <w:rPr>
          <w:color w:val="000000" w:themeColor="text1"/>
          <w:vertAlign w:val="subscript"/>
          <w:lang w:val="en-US"/>
        </w:rPr>
        <w:t>Pre</w:t>
      </w:r>
      <w:r w:rsidR="00B36BCD" w:rsidRPr="00FF3861">
        <w:rPr>
          <w:color w:val="000000" w:themeColor="text1"/>
          <w:lang w:val="en-US"/>
        </w:rPr>
        <w:t xml:space="preserve"> (p &lt; 0.05).</w:t>
      </w:r>
    </w:p>
    <w:sectPr w:rsidR="00961AC8" w:rsidRPr="00FF3861" w:rsidSect="00217A36">
      <w:pgSz w:w="12240" w:h="15840"/>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379D8" w16cid:durableId="1E32F3BE"/>
  <w16cid:commentId w16cid:paraId="4B249893" w16cid:durableId="1E33C800"/>
  <w16cid:commentId w16cid:paraId="24283EEF" w16cid:durableId="1E33C8E0"/>
  <w16cid:commentId w16cid:paraId="2DBD0934" w16cid:durableId="1E33C801"/>
  <w16cid:commentId w16cid:paraId="5E9EA286" w16cid:durableId="1E33C977"/>
  <w16cid:commentId w16cid:paraId="6A18324E" w16cid:durableId="1E313C92"/>
  <w16cid:commentId w16cid:paraId="1DD44C70" w16cid:durableId="1E313C93"/>
  <w16cid:commentId w16cid:paraId="2099D004" w16cid:durableId="1E313C94"/>
  <w16cid:commentId w16cid:paraId="10083DD8" w16cid:durableId="1E313C95"/>
  <w16cid:commentId w16cid:paraId="0CB4C787" w16cid:durableId="1E328CDF"/>
  <w16cid:commentId w16cid:paraId="1CC474A3" w16cid:durableId="1E33CA71"/>
  <w16cid:commentId w16cid:paraId="5B7261E6" w16cid:durableId="1E313C9B"/>
  <w16cid:commentId w16cid:paraId="2F00BF59" w16cid:durableId="1E33C80A"/>
  <w16cid:commentId w16cid:paraId="2A5B8513" w16cid:durableId="1E33C8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2AA7" w14:textId="77777777" w:rsidR="006412CF" w:rsidRDefault="006412CF">
      <w:pPr>
        <w:spacing w:after="0" w:line="240" w:lineRule="auto"/>
      </w:pPr>
      <w:r>
        <w:separator/>
      </w:r>
    </w:p>
  </w:endnote>
  <w:endnote w:type="continuationSeparator" w:id="0">
    <w:p w14:paraId="678D476E" w14:textId="77777777" w:rsidR="006412CF" w:rsidRDefault="0064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44E9" w14:textId="77777777" w:rsidR="006412CF" w:rsidRDefault="006412CF">
      <w:pPr>
        <w:spacing w:after="0" w:line="240" w:lineRule="auto"/>
      </w:pPr>
      <w:r>
        <w:separator/>
      </w:r>
    </w:p>
  </w:footnote>
  <w:footnote w:type="continuationSeparator" w:id="0">
    <w:p w14:paraId="22C2F02E" w14:textId="77777777" w:rsidR="006412CF" w:rsidRDefault="00641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9FD"/>
    <w:multiLevelType w:val="hybridMultilevel"/>
    <w:tmpl w:val="C4D47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F6C01"/>
    <w:multiLevelType w:val="hybridMultilevel"/>
    <w:tmpl w:val="36548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E13ED"/>
    <w:multiLevelType w:val="hybridMultilevel"/>
    <w:tmpl w:val="624EA79A"/>
    <w:lvl w:ilvl="0" w:tplc="5E7AF702">
      <w:start w:val="1"/>
      <w:numFmt w:val="bullet"/>
      <w:lvlText w:val="•"/>
      <w:lvlJc w:val="left"/>
      <w:pPr>
        <w:tabs>
          <w:tab w:val="num" w:pos="720"/>
        </w:tabs>
        <w:ind w:left="720" w:hanging="360"/>
      </w:pPr>
      <w:rPr>
        <w:rFonts w:ascii="Arial" w:hAnsi="Arial" w:hint="default"/>
      </w:rPr>
    </w:lvl>
    <w:lvl w:ilvl="1" w:tplc="A356903C" w:tentative="1">
      <w:start w:val="1"/>
      <w:numFmt w:val="bullet"/>
      <w:lvlText w:val="•"/>
      <w:lvlJc w:val="left"/>
      <w:pPr>
        <w:tabs>
          <w:tab w:val="num" w:pos="1440"/>
        </w:tabs>
        <w:ind w:left="1440" w:hanging="360"/>
      </w:pPr>
      <w:rPr>
        <w:rFonts w:ascii="Arial" w:hAnsi="Arial" w:hint="default"/>
      </w:rPr>
    </w:lvl>
    <w:lvl w:ilvl="2" w:tplc="CC50B270" w:tentative="1">
      <w:start w:val="1"/>
      <w:numFmt w:val="bullet"/>
      <w:lvlText w:val="•"/>
      <w:lvlJc w:val="left"/>
      <w:pPr>
        <w:tabs>
          <w:tab w:val="num" w:pos="2160"/>
        </w:tabs>
        <w:ind w:left="2160" w:hanging="360"/>
      </w:pPr>
      <w:rPr>
        <w:rFonts w:ascii="Arial" w:hAnsi="Arial" w:hint="default"/>
      </w:rPr>
    </w:lvl>
    <w:lvl w:ilvl="3" w:tplc="08FE52E8" w:tentative="1">
      <w:start w:val="1"/>
      <w:numFmt w:val="bullet"/>
      <w:lvlText w:val="•"/>
      <w:lvlJc w:val="left"/>
      <w:pPr>
        <w:tabs>
          <w:tab w:val="num" w:pos="2880"/>
        </w:tabs>
        <w:ind w:left="2880" w:hanging="360"/>
      </w:pPr>
      <w:rPr>
        <w:rFonts w:ascii="Arial" w:hAnsi="Arial" w:hint="default"/>
      </w:rPr>
    </w:lvl>
    <w:lvl w:ilvl="4" w:tplc="FEA81FE0" w:tentative="1">
      <w:start w:val="1"/>
      <w:numFmt w:val="bullet"/>
      <w:lvlText w:val="•"/>
      <w:lvlJc w:val="left"/>
      <w:pPr>
        <w:tabs>
          <w:tab w:val="num" w:pos="3600"/>
        </w:tabs>
        <w:ind w:left="3600" w:hanging="360"/>
      </w:pPr>
      <w:rPr>
        <w:rFonts w:ascii="Arial" w:hAnsi="Arial" w:hint="default"/>
      </w:rPr>
    </w:lvl>
    <w:lvl w:ilvl="5" w:tplc="26AE3050" w:tentative="1">
      <w:start w:val="1"/>
      <w:numFmt w:val="bullet"/>
      <w:lvlText w:val="•"/>
      <w:lvlJc w:val="left"/>
      <w:pPr>
        <w:tabs>
          <w:tab w:val="num" w:pos="4320"/>
        </w:tabs>
        <w:ind w:left="4320" w:hanging="360"/>
      </w:pPr>
      <w:rPr>
        <w:rFonts w:ascii="Arial" w:hAnsi="Arial" w:hint="default"/>
      </w:rPr>
    </w:lvl>
    <w:lvl w:ilvl="6" w:tplc="C63EE2BE" w:tentative="1">
      <w:start w:val="1"/>
      <w:numFmt w:val="bullet"/>
      <w:lvlText w:val="•"/>
      <w:lvlJc w:val="left"/>
      <w:pPr>
        <w:tabs>
          <w:tab w:val="num" w:pos="5040"/>
        </w:tabs>
        <w:ind w:left="5040" w:hanging="360"/>
      </w:pPr>
      <w:rPr>
        <w:rFonts w:ascii="Arial" w:hAnsi="Arial" w:hint="default"/>
      </w:rPr>
    </w:lvl>
    <w:lvl w:ilvl="7" w:tplc="2B746202" w:tentative="1">
      <w:start w:val="1"/>
      <w:numFmt w:val="bullet"/>
      <w:lvlText w:val="•"/>
      <w:lvlJc w:val="left"/>
      <w:pPr>
        <w:tabs>
          <w:tab w:val="num" w:pos="5760"/>
        </w:tabs>
        <w:ind w:left="5760" w:hanging="360"/>
      </w:pPr>
      <w:rPr>
        <w:rFonts w:ascii="Arial" w:hAnsi="Arial" w:hint="default"/>
      </w:rPr>
    </w:lvl>
    <w:lvl w:ilvl="8" w:tplc="6B6211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F414C4"/>
    <w:multiLevelType w:val="hybridMultilevel"/>
    <w:tmpl w:val="FBE8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63EF0"/>
    <w:multiLevelType w:val="hybridMultilevel"/>
    <w:tmpl w:val="78E42336"/>
    <w:lvl w:ilvl="0" w:tplc="4106ECA4">
      <w:start w:val="1"/>
      <w:numFmt w:val="bullet"/>
      <w:lvlText w:val="•"/>
      <w:lvlJc w:val="left"/>
      <w:pPr>
        <w:tabs>
          <w:tab w:val="num" w:pos="720"/>
        </w:tabs>
        <w:ind w:left="720" w:hanging="360"/>
      </w:pPr>
      <w:rPr>
        <w:rFonts w:ascii="Arial" w:hAnsi="Arial" w:hint="default"/>
      </w:rPr>
    </w:lvl>
    <w:lvl w:ilvl="1" w:tplc="0250093E" w:tentative="1">
      <w:start w:val="1"/>
      <w:numFmt w:val="bullet"/>
      <w:lvlText w:val="•"/>
      <w:lvlJc w:val="left"/>
      <w:pPr>
        <w:tabs>
          <w:tab w:val="num" w:pos="1440"/>
        </w:tabs>
        <w:ind w:left="1440" w:hanging="360"/>
      </w:pPr>
      <w:rPr>
        <w:rFonts w:ascii="Arial" w:hAnsi="Arial" w:hint="default"/>
      </w:rPr>
    </w:lvl>
    <w:lvl w:ilvl="2" w:tplc="C9AEB19C" w:tentative="1">
      <w:start w:val="1"/>
      <w:numFmt w:val="bullet"/>
      <w:lvlText w:val="•"/>
      <w:lvlJc w:val="left"/>
      <w:pPr>
        <w:tabs>
          <w:tab w:val="num" w:pos="2160"/>
        </w:tabs>
        <w:ind w:left="2160" w:hanging="360"/>
      </w:pPr>
      <w:rPr>
        <w:rFonts w:ascii="Arial" w:hAnsi="Arial" w:hint="default"/>
      </w:rPr>
    </w:lvl>
    <w:lvl w:ilvl="3" w:tplc="443C2EE2" w:tentative="1">
      <w:start w:val="1"/>
      <w:numFmt w:val="bullet"/>
      <w:lvlText w:val="•"/>
      <w:lvlJc w:val="left"/>
      <w:pPr>
        <w:tabs>
          <w:tab w:val="num" w:pos="2880"/>
        </w:tabs>
        <w:ind w:left="2880" w:hanging="360"/>
      </w:pPr>
      <w:rPr>
        <w:rFonts w:ascii="Arial" w:hAnsi="Arial" w:hint="default"/>
      </w:rPr>
    </w:lvl>
    <w:lvl w:ilvl="4" w:tplc="05CCC972" w:tentative="1">
      <w:start w:val="1"/>
      <w:numFmt w:val="bullet"/>
      <w:lvlText w:val="•"/>
      <w:lvlJc w:val="left"/>
      <w:pPr>
        <w:tabs>
          <w:tab w:val="num" w:pos="3600"/>
        </w:tabs>
        <w:ind w:left="3600" w:hanging="360"/>
      </w:pPr>
      <w:rPr>
        <w:rFonts w:ascii="Arial" w:hAnsi="Arial" w:hint="default"/>
      </w:rPr>
    </w:lvl>
    <w:lvl w:ilvl="5" w:tplc="9E082166" w:tentative="1">
      <w:start w:val="1"/>
      <w:numFmt w:val="bullet"/>
      <w:lvlText w:val="•"/>
      <w:lvlJc w:val="left"/>
      <w:pPr>
        <w:tabs>
          <w:tab w:val="num" w:pos="4320"/>
        </w:tabs>
        <w:ind w:left="4320" w:hanging="360"/>
      </w:pPr>
      <w:rPr>
        <w:rFonts w:ascii="Arial" w:hAnsi="Arial" w:hint="default"/>
      </w:rPr>
    </w:lvl>
    <w:lvl w:ilvl="6" w:tplc="ADECBB36" w:tentative="1">
      <w:start w:val="1"/>
      <w:numFmt w:val="bullet"/>
      <w:lvlText w:val="•"/>
      <w:lvlJc w:val="left"/>
      <w:pPr>
        <w:tabs>
          <w:tab w:val="num" w:pos="5040"/>
        </w:tabs>
        <w:ind w:left="5040" w:hanging="360"/>
      </w:pPr>
      <w:rPr>
        <w:rFonts w:ascii="Arial" w:hAnsi="Arial" w:hint="default"/>
      </w:rPr>
    </w:lvl>
    <w:lvl w:ilvl="7" w:tplc="9D58B284" w:tentative="1">
      <w:start w:val="1"/>
      <w:numFmt w:val="bullet"/>
      <w:lvlText w:val="•"/>
      <w:lvlJc w:val="left"/>
      <w:pPr>
        <w:tabs>
          <w:tab w:val="num" w:pos="5760"/>
        </w:tabs>
        <w:ind w:left="5760" w:hanging="360"/>
      </w:pPr>
      <w:rPr>
        <w:rFonts w:ascii="Arial" w:hAnsi="Arial" w:hint="default"/>
      </w:rPr>
    </w:lvl>
    <w:lvl w:ilvl="8" w:tplc="E07A3A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ED3781"/>
    <w:multiLevelType w:val="hybridMultilevel"/>
    <w:tmpl w:val="32DA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A3A37"/>
    <w:multiLevelType w:val="hybridMultilevel"/>
    <w:tmpl w:val="E2AECC4A"/>
    <w:lvl w:ilvl="0" w:tplc="B45A8BC8">
      <w:start w:val="1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56062"/>
    <w:multiLevelType w:val="hybridMultilevel"/>
    <w:tmpl w:val="D0887E14"/>
    <w:lvl w:ilvl="0" w:tplc="5E6CD876">
      <w:start w:val="1"/>
      <w:numFmt w:val="bullet"/>
      <w:lvlText w:val=""/>
      <w:lvlJc w:val="left"/>
      <w:pPr>
        <w:tabs>
          <w:tab w:val="num" w:pos="720"/>
        </w:tabs>
        <w:ind w:left="720" w:hanging="360"/>
      </w:pPr>
      <w:rPr>
        <w:rFonts w:ascii="Wingdings" w:hAnsi="Wingdings" w:hint="default"/>
      </w:rPr>
    </w:lvl>
    <w:lvl w:ilvl="1" w:tplc="CEC02A44" w:tentative="1">
      <w:start w:val="1"/>
      <w:numFmt w:val="bullet"/>
      <w:lvlText w:val=""/>
      <w:lvlJc w:val="left"/>
      <w:pPr>
        <w:tabs>
          <w:tab w:val="num" w:pos="1440"/>
        </w:tabs>
        <w:ind w:left="1440" w:hanging="360"/>
      </w:pPr>
      <w:rPr>
        <w:rFonts w:ascii="Wingdings" w:hAnsi="Wingdings" w:hint="default"/>
      </w:rPr>
    </w:lvl>
    <w:lvl w:ilvl="2" w:tplc="CD804CB6" w:tentative="1">
      <w:start w:val="1"/>
      <w:numFmt w:val="bullet"/>
      <w:lvlText w:val=""/>
      <w:lvlJc w:val="left"/>
      <w:pPr>
        <w:tabs>
          <w:tab w:val="num" w:pos="2160"/>
        </w:tabs>
        <w:ind w:left="2160" w:hanging="360"/>
      </w:pPr>
      <w:rPr>
        <w:rFonts w:ascii="Wingdings" w:hAnsi="Wingdings" w:hint="default"/>
      </w:rPr>
    </w:lvl>
    <w:lvl w:ilvl="3" w:tplc="3DAECBA8" w:tentative="1">
      <w:start w:val="1"/>
      <w:numFmt w:val="bullet"/>
      <w:lvlText w:val=""/>
      <w:lvlJc w:val="left"/>
      <w:pPr>
        <w:tabs>
          <w:tab w:val="num" w:pos="2880"/>
        </w:tabs>
        <w:ind w:left="2880" w:hanging="360"/>
      </w:pPr>
      <w:rPr>
        <w:rFonts w:ascii="Wingdings" w:hAnsi="Wingdings" w:hint="default"/>
      </w:rPr>
    </w:lvl>
    <w:lvl w:ilvl="4" w:tplc="9B601A12" w:tentative="1">
      <w:start w:val="1"/>
      <w:numFmt w:val="bullet"/>
      <w:lvlText w:val=""/>
      <w:lvlJc w:val="left"/>
      <w:pPr>
        <w:tabs>
          <w:tab w:val="num" w:pos="3600"/>
        </w:tabs>
        <w:ind w:left="3600" w:hanging="360"/>
      </w:pPr>
      <w:rPr>
        <w:rFonts w:ascii="Wingdings" w:hAnsi="Wingdings" w:hint="default"/>
      </w:rPr>
    </w:lvl>
    <w:lvl w:ilvl="5" w:tplc="8BB41BFA" w:tentative="1">
      <w:start w:val="1"/>
      <w:numFmt w:val="bullet"/>
      <w:lvlText w:val=""/>
      <w:lvlJc w:val="left"/>
      <w:pPr>
        <w:tabs>
          <w:tab w:val="num" w:pos="4320"/>
        </w:tabs>
        <w:ind w:left="4320" w:hanging="360"/>
      </w:pPr>
      <w:rPr>
        <w:rFonts w:ascii="Wingdings" w:hAnsi="Wingdings" w:hint="default"/>
      </w:rPr>
    </w:lvl>
    <w:lvl w:ilvl="6" w:tplc="A424977C" w:tentative="1">
      <w:start w:val="1"/>
      <w:numFmt w:val="bullet"/>
      <w:lvlText w:val=""/>
      <w:lvlJc w:val="left"/>
      <w:pPr>
        <w:tabs>
          <w:tab w:val="num" w:pos="5040"/>
        </w:tabs>
        <w:ind w:left="5040" w:hanging="360"/>
      </w:pPr>
      <w:rPr>
        <w:rFonts w:ascii="Wingdings" w:hAnsi="Wingdings" w:hint="default"/>
      </w:rPr>
    </w:lvl>
    <w:lvl w:ilvl="7" w:tplc="038EA7B8" w:tentative="1">
      <w:start w:val="1"/>
      <w:numFmt w:val="bullet"/>
      <w:lvlText w:val=""/>
      <w:lvlJc w:val="left"/>
      <w:pPr>
        <w:tabs>
          <w:tab w:val="num" w:pos="5760"/>
        </w:tabs>
        <w:ind w:left="5760" w:hanging="360"/>
      </w:pPr>
      <w:rPr>
        <w:rFonts w:ascii="Wingdings" w:hAnsi="Wingdings" w:hint="default"/>
      </w:rPr>
    </w:lvl>
    <w:lvl w:ilvl="8" w:tplc="D86AE3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31471C"/>
    <w:multiLevelType w:val="hybridMultilevel"/>
    <w:tmpl w:val="5EBA67FA"/>
    <w:lvl w:ilvl="0" w:tplc="60680140">
      <w:start w:val="1"/>
      <w:numFmt w:val="bullet"/>
      <w:lvlText w:val="•"/>
      <w:lvlJc w:val="left"/>
      <w:pPr>
        <w:tabs>
          <w:tab w:val="num" w:pos="720"/>
        </w:tabs>
        <w:ind w:left="720" w:hanging="360"/>
      </w:pPr>
      <w:rPr>
        <w:rFonts w:ascii="Arial" w:hAnsi="Arial" w:hint="default"/>
      </w:rPr>
    </w:lvl>
    <w:lvl w:ilvl="1" w:tplc="66683E76" w:tentative="1">
      <w:start w:val="1"/>
      <w:numFmt w:val="bullet"/>
      <w:lvlText w:val="•"/>
      <w:lvlJc w:val="left"/>
      <w:pPr>
        <w:tabs>
          <w:tab w:val="num" w:pos="1440"/>
        </w:tabs>
        <w:ind w:left="1440" w:hanging="360"/>
      </w:pPr>
      <w:rPr>
        <w:rFonts w:ascii="Arial" w:hAnsi="Arial" w:hint="default"/>
      </w:rPr>
    </w:lvl>
    <w:lvl w:ilvl="2" w:tplc="7E18BC3C" w:tentative="1">
      <w:start w:val="1"/>
      <w:numFmt w:val="bullet"/>
      <w:lvlText w:val="•"/>
      <w:lvlJc w:val="left"/>
      <w:pPr>
        <w:tabs>
          <w:tab w:val="num" w:pos="2160"/>
        </w:tabs>
        <w:ind w:left="2160" w:hanging="360"/>
      </w:pPr>
      <w:rPr>
        <w:rFonts w:ascii="Arial" w:hAnsi="Arial" w:hint="default"/>
      </w:rPr>
    </w:lvl>
    <w:lvl w:ilvl="3" w:tplc="DA32592C" w:tentative="1">
      <w:start w:val="1"/>
      <w:numFmt w:val="bullet"/>
      <w:lvlText w:val="•"/>
      <w:lvlJc w:val="left"/>
      <w:pPr>
        <w:tabs>
          <w:tab w:val="num" w:pos="2880"/>
        </w:tabs>
        <w:ind w:left="2880" w:hanging="360"/>
      </w:pPr>
      <w:rPr>
        <w:rFonts w:ascii="Arial" w:hAnsi="Arial" w:hint="default"/>
      </w:rPr>
    </w:lvl>
    <w:lvl w:ilvl="4" w:tplc="3DDECF98" w:tentative="1">
      <w:start w:val="1"/>
      <w:numFmt w:val="bullet"/>
      <w:lvlText w:val="•"/>
      <w:lvlJc w:val="left"/>
      <w:pPr>
        <w:tabs>
          <w:tab w:val="num" w:pos="3600"/>
        </w:tabs>
        <w:ind w:left="3600" w:hanging="360"/>
      </w:pPr>
      <w:rPr>
        <w:rFonts w:ascii="Arial" w:hAnsi="Arial" w:hint="default"/>
      </w:rPr>
    </w:lvl>
    <w:lvl w:ilvl="5" w:tplc="767AC5D0" w:tentative="1">
      <w:start w:val="1"/>
      <w:numFmt w:val="bullet"/>
      <w:lvlText w:val="•"/>
      <w:lvlJc w:val="left"/>
      <w:pPr>
        <w:tabs>
          <w:tab w:val="num" w:pos="4320"/>
        </w:tabs>
        <w:ind w:left="4320" w:hanging="360"/>
      </w:pPr>
      <w:rPr>
        <w:rFonts w:ascii="Arial" w:hAnsi="Arial" w:hint="default"/>
      </w:rPr>
    </w:lvl>
    <w:lvl w:ilvl="6" w:tplc="69E26976" w:tentative="1">
      <w:start w:val="1"/>
      <w:numFmt w:val="bullet"/>
      <w:lvlText w:val="•"/>
      <w:lvlJc w:val="left"/>
      <w:pPr>
        <w:tabs>
          <w:tab w:val="num" w:pos="5040"/>
        </w:tabs>
        <w:ind w:left="5040" w:hanging="360"/>
      </w:pPr>
      <w:rPr>
        <w:rFonts w:ascii="Arial" w:hAnsi="Arial" w:hint="default"/>
      </w:rPr>
    </w:lvl>
    <w:lvl w:ilvl="7" w:tplc="70AAA916" w:tentative="1">
      <w:start w:val="1"/>
      <w:numFmt w:val="bullet"/>
      <w:lvlText w:val="•"/>
      <w:lvlJc w:val="left"/>
      <w:pPr>
        <w:tabs>
          <w:tab w:val="num" w:pos="5760"/>
        </w:tabs>
        <w:ind w:left="5760" w:hanging="360"/>
      </w:pPr>
      <w:rPr>
        <w:rFonts w:ascii="Arial" w:hAnsi="Arial" w:hint="default"/>
      </w:rPr>
    </w:lvl>
    <w:lvl w:ilvl="8" w:tplc="345AE3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B72186"/>
    <w:multiLevelType w:val="hybridMultilevel"/>
    <w:tmpl w:val="7902B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C34E5"/>
    <w:multiLevelType w:val="hybridMultilevel"/>
    <w:tmpl w:val="FFD4F504"/>
    <w:lvl w:ilvl="0" w:tplc="38FA2310">
      <w:start w:val="1"/>
      <w:numFmt w:val="bullet"/>
      <w:lvlText w:val=""/>
      <w:lvlJc w:val="left"/>
      <w:pPr>
        <w:tabs>
          <w:tab w:val="num" w:pos="720"/>
        </w:tabs>
        <w:ind w:left="720" w:hanging="360"/>
      </w:pPr>
      <w:rPr>
        <w:rFonts w:ascii="Wingdings" w:hAnsi="Wingdings" w:hint="default"/>
      </w:rPr>
    </w:lvl>
    <w:lvl w:ilvl="1" w:tplc="8EE0C6E2" w:tentative="1">
      <w:start w:val="1"/>
      <w:numFmt w:val="bullet"/>
      <w:lvlText w:val=""/>
      <w:lvlJc w:val="left"/>
      <w:pPr>
        <w:tabs>
          <w:tab w:val="num" w:pos="1440"/>
        </w:tabs>
        <w:ind w:left="1440" w:hanging="360"/>
      </w:pPr>
      <w:rPr>
        <w:rFonts w:ascii="Wingdings" w:hAnsi="Wingdings" w:hint="default"/>
      </w:rPr>
    </w:lvl>
    <w:lvl w:ilvl="2" w:tplc="439C2848" w:tentative="1">
      <w:start w:val="1"/>
      <w:numFmt w:val="bullet"/>
      <w:lvlText w:val=""/>
      <w:lvlJc w:val="left"/>
      <w:pPr>
        <w:tabs>
          <w:tab w:val="num" w:pos="2160"/>
        </w:tabs>
        <w:ind w:left="2160" w:hanging="360"/>
      </w:pPr>
      <w:rPr>
        <w:rFonts w:ascii="Wingdings" w:hAnsi="Wingdings" w:hint="default"/>
      </w:rPr>
    </w:lvl>
    <w:lvl w:ilvl="3" w:tplc="B944EAEC" w:tentative="1">
      <w:start w:val="1"/>
      <w:numFmt w:val="bullet"/>
      <w:lvlText w:val=""/>
      <w:lvlJc w:val="left"/>
      <w:pPr>
        <w:tabs>
          <w:tab w:val="num" w:pos="2880"/>
        </w:tabs>
        <w:ind w:left="2880" w:hanging="360"/>
      </w:pPr>
      <w:rPr>
        <w:rFonts w:ascii="Wingdings" w:hAnsi="Wingdings" w:hint="default"/>
      </w:rPr>
    </w:lvl>
    <w:lvl w:ilvl="4" w:tplc="1F1CDADA" w:tentative="1">
      <w:start w:val="1"/>
      <w:numFmt w:val="bullet"/>
      <w:lvlText w:val=""/>
      <w:lvlJc w:val="left"/>
      <w:pPr>
        <w:tabs>
          <w:tab w:val="num" w:pos="3600"/>
        </w:tabs>
        <w:ind w:left="3600" w:hanging="360"/>
      </w:pPr>
      <w:rPr>
        <w:rFonts w:ascii="Wingdings" w:hAnsi="Wingdings" w:hint="default"/>
      </w:rPr>
    </w:lvl>
    <w:lvl w:ilvl="5" w:tplc="5C78CFF6" w:tentative="1">
      <w:start w:val="1"/>
      <w:numFmt w:val="bullet"/>
      <w:lvlText w:val=""/>
      <w:lvlJc w:val="left"/>
      <w:pPr>
        <w:tabs>
          <w:tab w:val="num" w:pos="4320"/>
        </w:tabs>
        <w:ind w:left="4320" w:hanging="360"/>
      </w:pPr>
      <w:rPr>
        <w:rFonts w:ascii="Wingdings" w:hAnsi="Wingdings" w:hint="default"/>
      </w:rPr>
    </w:lvl>
    <w:lvl w:ilvl="6" w:tplc="B4968DF0" w:tentative="1">
      <w:start w:val="1"/>
      <w:numFmt w:val="bullet"/>
      <w:lvlText w:val=""/>
      <w:lvlJc w:val="left"/>
      <w:pPr>
        <w:tabs>
          <w:tab w:val="num" w:pos="5040"/>
        </w:tabs>
        <w:ind w:left="5040" w:hanging="360"/>
      </w:pPr>
      <w:rPr>
        <w:rFonts w:ascii="Wingdings" w:hAnsi="Wingdings" w:hint="default"/>
      </w:rPr>
    </w:lvl>
    <w:lvl w:ilvl="7" w:tplc="BAFE159A" w:tentative="1">
      <w:start w:val="1"/>
      <w:numFmt w:val="bullet"/>
      <w:lvlText w:val=""/>
      <w:lvlJc w:val="left"/>
      <w:pPr>
        <w:tabs>
          <w:tab w:val="num" w:pos="5760"/>
        </w:tabs>
        <w:ind w:left="5760" w:hanging="360"/>
      </w:pPr>
      <w:rPr>
        <w:rFonts w:ascii="Wingdings" w:hAnsi="Wingdings" w:hint="default"/>
      </w:rPr>
    </w:lvl>
    <w:lvl w:ilvl="8" w:tplc="2DBCE0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A3293E"/>
    <w:multiLevelType w:val="hybridMultilevel"/>
    <w:tmpl w:val="DA6ACB0E"/>
    <w:lvl w:ilvl="0" w:tplc="5EA6A328">
      <w:start w:val="1"/>
      <w:numFmt w:val="bullet"/>
      <w:lvlText w:val="•"/>
      <w:lvlJc w:val="left"/>
      <w:pPr>
        <w:tabs>
          <w:tab w:val="num" w:pos="720"/>
        </w:tabs>
        <w:ind w:left="720" w:hanging="360"/>
      </w:pPr>
      <w:rPr>
        <w:rFonts w:ascii="Arial" w:hAnsi="Arial" w:hint="default"/>
      </w:rPr>
    </w:lvl>
    <w:lvl w:ilvl="1" w:tplc="A7224E86" w:tentative="1">
      <w:start w:val="1"/>
      <w:numFmt w:val="bullet"/>
      <w:lvlText w:val="•"/>
      <w:lvlJc w:val="left"/>
      <w:pPr>
        <w:tabs>
          <w:tab w:val="num" w:pos="1440"/>
        </w:tabs>
        <w:ind w:left="1440" w:hanging="360"/>
      </w:pPr>
      <w:rPr>
        <w:rFonts w:ascii="Arial" w:hAnsi="Arial" w:hint="default"/>
      </w:rPr>
    </w:lvl>
    <w:lvl w:ilvl="2" w:tplc="DBC014CE" w:tentative="1">
      <w:start w:val="1"/>
      <w:numFmt w:val="bullet"/>
      <w:lvlText w:val="•"/>
      <w:lvlJc w:val="left"/>
      <w:pPr>
        <w:tabs>
          <w:tab w:val="num" w:pos="2160"/>
        </w:tabs>
        <w:ind w:left="2160" w:hanging="360"/>
      </w:pPr>
      <w:rPr>
        <w:rFonts w:ascii="Arial" w:hAnsi="Arial" w:hint="default"/>
      </w:rPr>
    </w:lvl>
    <w:lvl w:ilvl="3" w:tplc="8E6434A6" w:tentative="1">
      <w:start w:val="1"/>
      <w:numFmt w:val="bullet"/>
      <w:lvlText w:val="•"/>
      <w:lvlJc w:val="left"/>
      <w:pPr>
        <w:tabs>
          <w:tab w:val="num" w:pos="2880"/>
        </w:tabs>
        <w:ind w:left="2880" w:hanging="360"/>
      </w:pPr>
      <w:rPr>
        <w:rFonts w:ascii="Arial" w:hAnsi="Arial" w:hint="default"/>
      </w:rPr>
    </w:lvl>
    <w:lvl w:ilvl="4" w:tplc="1A824BE0" w:tentative="1">
      <w:start w:val="1"/>
      <w:numFmt w:val="bullet"/>
      <w:lvlText w:val="•"/>
      <w:lvlJc w:val="left"/>
      <w:pPr>
        <w:tabs>
          <w:tab w:val="num" w:pos="3600"/>
        </w:tabs>
        <w:ind w:left="3600" w:hanging="360"/>
      </w:pPr>
      <w:rPr>
        <w:rFonts w:ascii="Arial" w:hAnsi="Arial" w:hint="default"/>
      </w:rPr>
    </w:lvl>
    <w:lvl w:ilvl="5" w:tplc="469A0EB4" w:tentative="1">
      <w:start w:val="1"/>
      <w:numFmt w:val="bullet"/>
      <w:lvlText w:val="•"/>
      <w:lvlJc w:val="left"/>
      <w:pPr>
        <w:tabs>
          <w:tab w:val="num" w:pos="4320"/>
        </w:tabs>
        <w:ind w:left="4320" w:hanging="360"/>
      </w:pPr>
      <w:rPr>
        <w:rFonts w:ascii="Arial" w:hAnsi="Arial" w:hint="default"/>
      </w:rPr>
    </w:lvl>
    <w:lvl w:ilvl="6" w:tplc="7AB87EB4" w:tentative="1">
      <w:start w:val="1"/>
      <w:numFmt w:val="bullet"/>
      <w:lvlText w:val="•"/>
      <w:lvlJc w:val="left"/>
      <w:pPr>
        <w:tabs>
          <w:tab w:val="num" w:pos="5040"/>
        </w:tabs>
        <w:ind w:left="5040" w:hanging="360"/>
      </w:pPr>
      <w:rPr>
        <w:rFonts w:ascii="Arial" w:hAnsi="Arial" w:hint="default"/>
      </w:rPr>
    </w:lvl>
    <w:lvl w:ilvl="7" w:tplc="3B802E08" w:tentative="1">
      <w:start w:val="1"/>
      <w:numFmt w:val="bullet"/>
      <w:lvlText w:val="•"/>
      <w:lvlJc w:val="left"/>
      <w:pPr>
        <w:tabs>
          <w:tab w:val="num" w:pos="5760"/>
        </w:tabs>
        <w:ind w:left="5760" w:hanging="360"/>
      </w:pPr>
      <w:rPr>
        <w:rFonts w:ascii="Arial" w:hAnsi="Arial" w:hint="default"/>
      </w:rPr>
    </w:lvl>
    <w:lvl w:ilvl="8" w:tplc="4058D3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7"/>
  </w:num>
  <w:num w:numId="4">
    <w:abstractNumId w:val="8"/>
  </w:num>
  <w:num w:numId="5">
    <w:abstractNumId w:val="4"/>
  </w:num>
  <w:num w:numId="6">
    <w:abstractNumId w:val="10"/>
  </w:num>
  <w:num w:numId="7">
    <w:abstractNumId w:val="3"/>
  </w:num>
  <w:num w:numId="8">
    <w:abstractNumId w:val="5"/>
  </w:num>
  <w:num w:numId="9">
    <w:abstractNumId w:val="1"/>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06"/>
    <w:rsid w:val="000006F8"/>
    <w:rsid w:val="0000088F"/>
    <w:rsid w:val="0000158E"/>
    <w:rsid w:val="00002731"/>
    <w:rsid w:val="00002C27"/>
    <w:rsid w:val="00004782"/>
    <w:rsid w:val="00005323"/>
    <w:rsid w:val="000075E3"/>
    <w:rsid w:val="00007688"/>
    <w:rsid w:val="0001018C"/>
    <w:rsid w:val="0001274F"/>
    <w:rsid w:val="000128FE"/>
    <w:rsid w:val="00014290"/>
    <w:rsid w:val="00014693"/>
    <w:rsid w:val="00015D46"/>
    <w:rsid w:val="000176B0"/>
    <w:rsid w:val="000205BF"/>
    <w:rsid w:val="000205E6"/>
    <w:rsid w:val="000205EF"/>
    <w:rsid w:val="00023115"/>
    <w:rsid w:val="00024A45"/>
    <w:rsid w:val="00025065"/>
    <w:rsid w:val="00026301"/>
    <w:rsid w:val="00027C9B"/>
    <w:rsid w:val="00030693"/>
    <w:rsid w:val="00030C5D"/>
    <w:rsid w:val="00032EE4"/>
    <w:rsid w:val="00033220"/>
    <w:rsid w:val="00035582"/>
    <w:rsid w:val="00036B35"/>
    <w:rsid w:val="00036C31"/>
    <w:rsid w:val="00036C93"/>
    <w:rsid w:val="0004028D"/>
    <w:rsid w:val="00041DFE"/>
    <w:rsid w:val="00042639"/>
    <w:rsid w:val="00043F11"/>
    <w:rsid w:val="00045372"/>
    <w:rsid w:val="00046B01"/>
    <w:rsid w:val="0005047E"/>
    <w:rsid w:val="00056352"/>
    <w:rsid w:val="00057527"/>
    <w:rsid w:val="00060F46"/>
    <w:rsid w:val="000613A7"/>
    <w:rsid w:val="0006196F"/>
    <w:rsid w:val="00061E97"/>
    <w:rsid w:val="0006206B"/>
    <w:rsid w:val="0006248A"/>
    <w:rsid w:val="000635AD"/>
    <w:rsid w:val="000635DA"/>
    <w:rsid w:val="00064DD3"/>
    <w:rsid w:val="00065CA6"/>
    <w:rsid w:val="00067231"/>
    <w:rsid w:val="000675B2"/>
    <w:rsid w:val="00067FB2"/>
    <w:rsid w:val="00070879"/>
    <w:rsid w:val="00071C40"/>
    <w:rsid w:val="00072502"/>
    <w:rsid w:val="00072B26"/>
    <w:rsid w:val="00073661"/>
    <w:rsid w:val="000736B4"/>
    <w:rsid w:val="00074F15"/>
    <w:rsid w:val="0007689F"/>
    <w:rsid w:val="00076F4C"/>
    <w:rsid w:val="000778D9"/>
    <w:rsid w:val="00080208"/>
    <w:rsid w:val="00080A1B"/>
    <w:rsid w:val="00081291"/>
    <w:rsid w:val="00082241"/>
    <w:rsid w:val="000825DD"/>
    <w:rsid w:val="00082A54"/>
    <w:rsid w:val="00083DA5"/>
    <w:rsid w:val="000844E2"/>
    <w:rsid w:val="00084775"/>
    <w:rsid w:val="000869B9"/>
    <w:rsid w:val="00086CC9"/>
    <w:rsid w:val="00087038"/>
    <w:rsid w:val="000876A8"/>
    <w:rsid w:val="00087ACA"/>
    <w:rsid w:val="00094EB7"/>
    <w:rsid w:val="00094EDB"/>
    <w:rsid w:val="00095F71"/>
    <w:rsid w:val="00096DAC"/>
    <w:rsid w:val="00097BB7"/>
    <w:rsid w:val="000A19EF"/>
    <w:rsid w:val="000A1EFE"/>
    <w:rsid w:val="000A2506"/>
    <w:rsid w:val="000A2A13"/>
    <w:rsid w:val="000A34D8"/>
    <w:rsid w:val="000A36AA"/>
    <w:rsid w:val="000A678C"/>
    <w:rsid w:val="000A7ACF"/>
    <w:rsid w:val="000B040F"/>
    <w:rsid w:val="000B0A72"/>
    <w:rsid w:val="000B1061"/>
    <w:rsid w:val="000B209D"/>
    <w:rsid w:val="000B311A"/>
    <w:rsid w:val="000B4244"/>
    <w:rsid w:val="000B4625"/>
    <w:rsid w:val="000B5163"/>
    <w:rsid w:val="000B574D"/>
    <w:rsid w:val="000B6AA0"/>
    <w:rsid w:val="000B70F6"/>
    <w:rsid w:val="000C0ED5"/>
    <w:rsid w:val="000C1A83"/>
    <w:rsid w:val="000C230D"/>
    <w:rsid w:val="000C2CF5"/>
    <w:rsid w:val="000C435F"/>
    <w:rsid w:val="000C4F5F"/>
    <w:rsid w:val="000C57FF"/>
    <w:rsid w:val="000C6D32"/>
    <w:rsid w:val="000C74D3"/>
    <w:rsid w:val="000D0E59"/>
    <w:rsid w:val="000D15C3"/>
    <w:rsid w:val="000D2922"/>
    <w:rsid w:val="000D37A4"/>
    <w:rsid w:val="000D3898"/>
    <w:rsid w:val="000D3BB1"/>
    <w:rsid w:val="000D42BC"/>
    <w:rsid w:val="000D477E"/>
    <w:rsid w:val="000D574D"/>
    <w:rsid w:val="000D5C37"/>
    <w:rsid w:val="000E24CF"/>
    <w:rsid w:val="000E3739"/>
    <w:rsid w:val="000E383B"/>
    <w:rsid w:val="000E597A"/>
    <w:rsid w:val="000E6A7F"/>
    <w:rsid w:val="000E7557"/>
    <w:rsid w:val="000F1E29"/>
    <w:rsid w:val="000F1F0E"/>
    <w:rsid w:val="000F36BB"/>
    <w:rsid w:val="000F4B30"/>
    <w:rsid w:val="000F6436"/>
    <w:rsid w:val="000F6752"/>
    <w:rsid w:val="000F7411"/>
    <w:rsid w:val="0010212F"/>
    <w:rsid w:val="00102914"/>
    <w:rsid w:val="00112FEB"/>
    <w:rsid w:val="0011398C"/>
    <w:rsid w:val="00114B99"/>
    <w:rsid w:val="001165AF"/>
    <w:rsid w:val="001171E0"/>
    <w:rsid w:val="00117DB0"/>
    <w:rsid w:val="0012078F"/>
    <w:rsid w:val="00121BD0"/>
    <w:rsid w:val="001220CF"/>
    <w:rsid w:val="00122198"/>
    <w:rsid w:val="001226AC"/>
    <w:rsid w:val="00125CD0"/>
    <w:rsid w:val="00126117"/>
    <w:rsid w:val="00126434"/>
    <w:rsid w:val="00127A98"/>
    <w:rsid w:val="001302F5"/>
    <w:rsid w:val="001333A5"/>
    <w:rsid w:val="001357ED"/>
    <w:rsid w:val="0013671F"/>
    <w:rsid w:val="001378BF"/>
    <w:rsid w:val="001409D0"/>
    <w:rsid w:val="001411B5"/>
    <w:rsid w:val="00142C24"/>
    <w:rsid w:val="00144202"/>
    <w:rsid w:val="00145EEF"/>
    <w:rsid w:val="00146C72"/>
    <w:rsid w:val="00147FA3"/>
    <w:rsid w:val="001521A2"/>
    <w:rsid w:val="00152D11"/>
    <w:rsid w:val="001534BB"/>
    <w:rsid w:val="00153552"/>
    <w:rsid w:val="001561F5"/>
    <w:rsid w:val="00156F06"/>
    <w:rsid w:val="00160E2F"/>
    <w:rsid w:val="00161A94"/>
    <w:rsid w:val="001633D0"/>
    <w:rsid w:val="001637E5"/>
    <w:rsid w:val="00164597"/>
    <w:rsid w:val="0016562E"/>
    <w:rsid w:val="00165F35"/>
    <w:rsid w:val="00167296"/>
    <w:rsid w:val="001702D4"/>
    <w:rsid w:val="0017055D"/>
    <w:rsid w:val="001708CD"/>
    <w:rsid w:val="00171E9B"/>
    <w:rsid w:val="0017278A"/>
    <w:rsid w:val="00172A2C"/>
    <w:rsid w:val="00173F0A"/>
    <w:rsid w:val="00176375"/>
    <w:rsid w:val="001764AE"/>
    <w:rsid w:val="0017666F"/>
    <w:rsid w:val="00176E2D"/>
    <w:rsid w:val="00177219"/>
    <w:rsid w:val="00177397"/>
    <w:rsid w:val="0017763C"/>
    <w:rsid w:val="00177C2A"/>
    <w:rsid w:val="001822D0"/>
    <w:rsid w:val="00185E04"/>
    <w:rsid w:val="00185ED8"/>
    <w:rsid w:val="00187AFC"/>
    <w:rsid w:val="00190CFC"/>
    <w:rsid w:val="00190FAD"/>
    <w:rsid w:val="0019283F"/>
    <w:rsid w:val="001930D4"/>
    <w:rsid w:val="00193D64"/>
    <w:rsid w:val="00195279"/>
    <w:rsid w:val="001965FF"/>
    <w:rsid w:val="0019699F"/>
    <w:rsid w:val="001A0310"/>
    <w:rsid w:val="001A2601"/>
    <w:rsid w:val="001A2F5D"/>
    <w:rsid w:val="001A3B35"/>
    <w:rsid w:val="001A4728"/>
    <w:rsid w:val="001A6098"/>
    <w:rsid w:val="001A7BEA"/>
    <w:rsid w:val="001B249E"/>
    <w:rsid w:val="001B3CF5"/>
    <w:rsid w:val="001B44F4"/>
    <w:rsid w:val="001B4B94"/>
    <w:rsid w:val="001B5D66"/>
    <w:rsid w:val="001B68DC"/>
    <w:rsid w:val="001C10AF"/>
    <w:rsid w:val="001C1DF0"/>
    <w:rsid w:val="001C3DA5"/>
    <w:rsid w:val="001C4102"/>
    <w:rsid w:val="001C53AE"/>
    <w:rsid w:val="001C61AD"/>
    <w:rsid w:val="001C6541"/>
    <w:rsid w:val="001C6AD6"/>
    <w:rsid w:val="001D14A3"/>
    <w:rsid w:val="001D175E"/>
    <w:rsid w:val="001D20D0"/>
    <w:rsid w:val="001D28FC"/>
    <w:rsid w:val="001D4113"/>
    <w:rsid w:val="001D5604"/>
    <w:rsid w:val="001D5DC7"/>
    <w:rsid w:val="001D6CB3"/>
    <w:rsid w:val="001D732F"/>
    <w:rsid w:val="001E22EA"/>
    <w:rsid w:val="001E2B8F"/>
    <w:rsid w:val="001E2F02"/>
    <w:rsid w:val="001E4329"/>
    <w:rsid w:val="001E4D96"/>
    <w:rsid w:val="001E508F"/>
    <w:rsid w:val="001E5525"/>
    <w:rsid w:val="001E6CF5"/>
    <w:rsid w:val="001F1815"/>
    <w:rsid w:val="001F1BF0"/>
    <w:rsid w:val="001F4273"/>
    <w:rsid w:val="001F457A"/>
    <w:rsid w:val="001F59C3"/>
    <w:rsid w:val="001F5FAF"/>
    <w:rsid w:val="00201D4F"/>
    <w:rsid w:val="002029E3"/>
    <w:rsid w:val="00203E97"/>
    <w:rsid w:val="002126F3"/>
    <w:rsid w:val="00215895"/>
    <w:rsid w:val="00216FAF"/>
    <w:rsid w:val="00217579"/>
    <w:rsid w:val="00217A36"/>
    <w:rsid w:val="002214E8"/>
    <w:rsid w:val="00222312"/>
    <w:rsid w:val="002224AB"/>
    <w:rsid w:val="002224BB"/>
    <w:rsid w:val="00222F6F"/>
    <w:rsid w:val="002234AC"/>
    <w:rsid w:val="00226361"/>
    <w:rsid w:val="00227802"/>
    <w:rsid w:val="00231512"/>
    <w:rsid w:val="00231FDA"/>
    <w:rsid w:val="00234499"/>
    <w:rsid w:val="0023451B"/>
    <w:rsid w:val="0023480C"/>
    <w:rsid w:val="002378AD"/>
    <w:rsid w:val="00237E2B"/>
    <w:rsid w:val="00241E85"/>
    <w:rsid w:val="00242CCE"/>
    <w:rsid w:val="00243D89"/>
    <w:rsid w:val="00244EDC"/>
    <w:rsid w:val="00246D02"/>
    <w:rsid w:val="00247890"/>
    <w:rsid w:val="002504EE"/>
    <w:rsid w:val="002509A5"/>
    <w:rsid w:val="00250F5E"/>
    <w:rsid w:val="00250FBD"/>
    <w:rsid w:val="0025188B"/>
    <w:rsid w:val="00251F07"/>
    <w:rsid w:val="00251FD4"/>
    <w:rsid w:val="00252F78"/>
    <w:rsid w:val="00255E86"/>
    <w:rsid w:val="002562CE"/>
    <w:rsid w:val="002601EB"/>
    <w:rsid w:val="002610CC"/>
    <w:rsid w:val="00265B57"/>
    <w:rsid w:val="00266740"/>
    <w:rsid w:val="00266D73"/>
    <w:rsid w:val="002670D4"/>
    <w:rsid w:val="00271195"/>
    <w:rsid w:val="0027166A"/>
    <w:rsid w:val="002719F2"/>
    <w:rsid w:val="00271C39"/>
    <w:rsid w:val="0027269A"/>
    <w:rsid w:val="0027368E"/>
    <w:rsid w:val="00273A91"/>
    <w:rsid w:val="00274519"/>
    <w:rsid w:val="002771D2"/>
    <w:rsid w:val="00280162"/>
    <w:rsid w:val="0028035C"/>
    <w:rsid w:val="002806AD"/>
    <w:rsid w:val="00280CDF"/>
    <w:rsid w:val="0028159F"/>
    <w:rsid w:val="00282091"/>
    <w:rsid w:val="002845C9"/>
    <w:rsid w:val="00284C9E"/>
    <w:rsid w:val="00287339"/>
    <w:rsid w:val="00287E00"/>
    <w:rsid w:val="00291926"/>
    <w:rsid w:val="002925A1"/>
    <w:rsid w:val="00292818"/>
    <w:rsid w:val="00292A27"/>
    <w:rsid w:val="00292D23"/>
    <w:rsid w:val="00293C97"/>
    <w:rsid w:val="00293E8A"/>
    <w:rsid w:val="00296509"/>
    <w:rsid w:val="002A03A9"/>
    <w:rsid w:val="002A155F"/>
    <w:rsid w:val="002A1C91"/>
    <w:rsid w:val="002A2E4E"/>
    <w:rsid w:val="002A3759"/>
    <w:rsid w:val="002A411C"/>
    <w:rsid w:val="002A46BD"/>
    <w:rsid w:val="002A58DE"/>
    <w:rsid w:val="002A618A"/>
    <w:rsid w:val="002A7328"/>
    <w:rsid w:val="002B2936"/>
    <w:rsid w:val="002B4756"/>
    <w:rsid w:val="002B4EC1"/>
    <w:rsid w:val="002B531B"/>
    <w:rsid w:val="002B7204"/>
    <w:rsid w:val="002B7269"/>
    <w:rsid w:val="002C1B1F"/>
    <w:rsid w:val="002C2033"/>
    <w:rsid w:val="002C2B86"/>
    <w:rsid w:val="002C4153"/>
    <w:rsid w:val="002C41B1"/>
    <w:rsid w:val="002C52F4"/>
    <w:rsid w:val="002C547D"/>
    <w:rsid w:val="002C5A73"/>
    <w:rsid w:val="002C69C3"/>
    <w:rsid w:val="002D1B94"/>
    <w:rsid w:val="002D316B"/>
    <w:rsid w:val="002D3DA1"/>
    <w:rsid w:val="002D4CC5"/>
    <w:rsid w:val="002D5D29"/>
    <w:rsid w:val="002D6604"/>
    <w:rsid w:val="002D76D2"/>
    <w:rsid w:val="002D7897"/>
    <w:rsid w:val="002D79C7"/>
    <w:rsid w:val="002D7B84"/>
    <w:rsid w:val="002D7CCB"/>
    <w:rsid w:val="002E05BF"/>
    <w:rsid w:val="002E2225"/>
    <w:rsid w:val="002E33EC"/>
    <w:rsid w:val="002E3421"/>
    <w:rsid w:val="002E6CED"/>
    <w:rsid w:val="002E7ABC"/>
    <w:rsid w:val="002F0F4B"/>
    <w:rsid w:val="002F354F"/>
    <w:rsid w:val="002F3E65"/>
    <w:rsid w:val="002F5592"/>
    <w:rsid w:val="002F5869"/>
    <w:rsid w:val="002F6DCE"/>
    <w:rsid w:val="0030152B"/>
    <w:rsid w:val="00301627"/>
    <w:rsid w:val="00305453"/>
    <w:rsid w:val="00305608"/>
    <w:rsid w:val="003056A4"/>
    <w:rsid w:val="00307EB3"/>
    <w:rsid w:val="00312205"/>
    <w:rsid w:val="00312207"/>
    <w:rsid w:val="00312433"/>
    <w:rsid w:val="0031282C"/>
    <w:rsid w:val="003128A5"/>
    <w:rsid w:val="00312C71"/>
    <w:rsid w:val="00313531"/>
    <w:rsid w:val="0031484C"/>
    <w:rsid w:val="00317188"/>
    <w:rsid w:val="00317497"/>
    <w:rsid w:val="0032019B"/>
    <w:rsid w:val="003205D9"/>
    <w:rsid w:val="00321F1C"/>
    <w:rsid w:val="003222E3"/>
    <w:rsid w:val="00323993"/>
    <w:rsid w:val="00325CEC"/>
    <w:rsid w:val="00327097"/>
    <w:rsid w:val="0033089E"/>
    <w:rsid w:val="00330BF8"/>
    <w:rsid w:val="00332AB2"/>
    <w:rsid w:val="00335348"/>
    <w:rsid w:val="003357D2"/>
    <w:rsid w:val="00335E18"/>
    <w:rsid w:val="00336474"/>
    <w:rsid w:val="00336A43"/>
    <w:rsid w:val="003370B4"/>
    <w:rsid w:val="00337A2D"/>
    <w:rsid w:val="00337AEC"/>
    <w:rsid w:val="0034152D"/>
    <w:rsid w:val="00343342"/>
    <w:rsid w:val="00343B1A"/>
    <w:rsid w:val="00343F13"/>
    <w:rsid w:val="003445C8"/>
    <w:rsid w:val="00350828"/>
    <w:rsid w:val="00352B7E"/>
    <w:rsid w:val="00352B84"/>
    <w:rsid w:val="00352D7A"/>
    <w:rsid w:val="0035453E"/>
    <w:rsid w:val="00354654"/>
    <w:rsid w:val="0035551F"/>
    <w:rsid w:val="00355648"/>
    <w:rsid w:val="0036067F"/>
    <w:rsid w:val="00365BAF"/>
    <w:rsid w:val="003664EC"/>
    <w:rsid w:val="00366751"/>
    <w:rsid w:val="0036758D"/>
    <w:rsid w:val="00367F0B"/>
    <w:rsid w:val="00376285"/>
    <w:rsid w:val="003762DF"/>
    <w:rsid w:val="0037695F"/>
    <w:rsid w:val="00376BAB"/>
    <w:rsid w:val="00377C11"/>
    <w:rsid w:val="003809AA"/>
    <w:rsid w:val="00380CD5"/>
    <w:rsid w:val="00381FA5"/>
    <w:rsid w:val="00382C9C"/>
    <w:rsid w:val="00383B77"/>
    <w:rsid w:val="00385D3D"/>
    <w:rsid w:val="00386B8F"/>
    <w:rsid w:val="003930F6"/>
    <w:rsid w:val="00393DFF"/>
    <w:rsid w:val="003941B7"/>
    <w:rsid w:val="0039492A"/>
    <w:rsid w:val="003A03BC"/>
    <w:rsid w:val="003A069C"/>
    <w:rsid w:val="003A2D2C"/>
    <w:rsid w:val="003A5F45"/>
    <w:rsid w:val="003B0AFE"/>
    <w:rsid w:val="003B51F0"/>
    <w:rsid w:val="003B6B09"/>
    <w:rsid w:val="003B6F23"/>
    <w:rsid w:val="003B796D"/>
    <w:rsid w:val="003C1BD9"/>
    <w:rsid w:val="003C4439"/>
    <w:rsid w:val="003C5574"/>
    <w:rsid w:val="003D14C3"/>
    <w:rsid w:val="003D157F"/>
    <w:rsid w:val="003D2138"/>
    <w:rsid w:val="003D2674"/>
    <w:rsid w:val="003D2883"/>
    <w:rsid w:val="003D291C"/>
    <w:rsid w:val="003D4B0B"/>
    <w:rsid w:val="003D5808"/>
    <w:rsid w:val="003D6308"/>
    <w:rsid w:val="003D67B7"/>
    <w:rsid w:val="003D76FA"/>
    <w:rsid w:val="003D7A99"/>
    <w:rsid w:val="003E521A"/>
    <w:rsid w:val="003E5ABD"/>
    <w:rsid w:val="003E68BE"/>
    <w:rsid w:val="003E7AAE"/>
    <w:rsid w:val="003E7F3C"/>
    <w:rsid w:val="003F078C"/>
    <w:rsid w:val="003F0E3E"/>
    <w:rsid w:val="003F24E4"/>
    <w:rsid w:val="003F27D2"/>
    <w:rsid w:val="003F2C23"/>
    <w:rsid w:val="003F2D72"/>
    <w:rsid w:val="003F372F"/>
    <w:rsid w:val="003F3CF3"/>
    <w:rsid w:val="003F4C96"/>
    <w:rsid w:val="003F5006"/>
    <w:rsid w:val="003F55E1"/>
    <w:rsid w:val="003F65D1"/>
    <w:rsid w:val="003F67A7"/>
    <w:rsid w:val="003F7052"/>
    <w:rsid w:val="0040087D"/>
    <w:rsid w:val="004010CB"/>
    <w:rsid w:val="00401C03"/>
    <w:rsid w:val="004023BB"/>
    <w:rsid w:val="00402F22"/>
    <w:rsid w:val="004031EB"/>
    <w:rsid w:val="004033B7"/>
    <w:rsid w:val="00404395"/>
    <w:rsid w:val="00404B1E"/>
    <w:rsid w:val="00407BAC"/>
    <w:rsid w:val="00412801"/>
    <w:rsid w:val="00413274"/>
    <w:rsid w:val="00414BE2"/>
    <w:rsid w:val="00415D93"/>
    <w:rsid w:val="00416212"/>
    <w:rsid w:val="0041721C"/>
    <w:rsid w:val="00421323"/>
    <w:rsid w:val="004218CD"/>
    <w:rsid w:val="00423619"/>
    <w:rsid w:val="004238BF"/>
    <w:rsid w:val="00424A5E"/>
    <w:rsid w:val="00426C2A"/>
    <w:rsid w:val="00426F39"/>
    <w:rsid w:val="0042775E"/>
    <w:rsid w:val="00427D7E"/>
    <w:rsid w:val="004303E0"/>
    <w:rsid w:val="00430F5C"/>
    <w:rsid w:val="00431521"/>
    <w:rsid w:val="00432E6A"/>
    <w:rsid w:val="00434F2B"/>
    <w:rsid w:val="00437B6A"/>
    <w:rsid w:val="00437B88"/>
    <w:rsid w:val="00437C97"/>
    <w:rsid w:val="00437C99"/>
    <w:rsid w:val="00442424"/>
    <w:rsid w:val="00442FE2"/>
    <w:rsid w:val="00443EB6"/>
    <w:rsid w:val="004474BD"/>
    <w:rsid w:val="0044754F"/>
    <w:rsid w:val="00450368"/>
    <w:rsid w:val="004506C3"/>
    <w:rsid w:val="004513D1"/>
    <w:rsid w:val="00453254"/>
    <w:rsid w:val="00454680"/>
    <w:rsid w:val="0046027E"/>
    <w:rsid w:val="004614A7"/>
    <w:rsid w:val="00462A10"/>
    <w:rsid w:val="004631ED"/>
    <w:rsid w:val="00463EAC"/>
    <w:rsid w:val="00465AF6"/>
    <w:rsid w:val="0046761F"/>
    <w:rsid w:val="00470CC3"/>
    <w:rsid w:val="00471021"/>
    <w:rsid w:val="004714E4"/>
    <w:rsid w:val="00471C31"/>
    <w:rsid w:val="004721E2"/>
    <w:rsid w:val="00474478"/>
    <w:rsid w:val="00474576"/>
    <w:rsid w:val="00474CA9"/>
    <w:rsid w:val="00475CD0"/>
    <w:rsid w:val="00475D03"/>
    <w:rsid w:val="00475EA2"/>
    <w:rsid w:val="00476A90"/>
    <w:rsid w:val="004771EC"/>
    <w:rsid w:val="004775AA"/>
    <w:rsid w:val="00480914"/>
    <w:rsid w:val="004814A8"/>
    <w:rsid w:val="00481BA4"/>
    <w:rsid w:val="004831A5"/>
    <w:rsid w:val="00483BEA"/>
    <w:rsid w:val="00484640"/>
    <w:rsid w:val="004847E0"/>
    <w:rsid w:val="00485D33"/>
    <w:rsid w:val="00490C1A"/>
    <w:rsid w:val="0049199C"/>
    <w:rsid w:val="004926E4"/>
    <w:rsid w:val="004930BA"/>
    <w:rsid w:val="00494266"/>
    <w:rsid w:val="00495496"/>
    <w:rsid w:val="0049603F"/>
    <w:rsid w:val="004A0D1B"/>
    <w:rsid w:val="004A229C"/>
    <w:rsid w:val="004A739B"/>
    <w:rsid w:val="004A7D30"/>
    <w:rsid w:val="004B0184"/>
    <w:rsid w:val="004B023C"/>
    <w:rsid w:val="004B07C6"/>
    <w:rsid w:val="004B3CB1"/>
    <w:rsid w:val="004B4866"/>
    <w:rsid w:val="004B5B27"/>
    <w:rsid w:val="004B71D5"/>
    <w:rsid w:val="004B7AEC"/>
    <w:rsid w:val="004C1E42"/>
    <w:rsid w:val="004C3514"/>
    <w:rsid w:val="004C3E34"/>
    <w:rsid w:val="004C4C24"/>
    <w:rsid w:val="004C51F8"/>
    <w:rsid w:val="004D0C7B"/>
    <w:rsid w:val="004D0F14"/>
    <w:rsid w:val="004D1E2F"/>
    <w:rsid w:val="004D3A53"/>
    <w:rsid w:val="004D5E75"/>
    <w:rsid w:val="004D627D"/>
    <w:rsid w:val="004D69BB"/>
    <w:rsid w:val="004D6B1F"/>
    <w:rsid w:val="004E153B"/>
    <w:rsid w:val="004E40E4"/>
    <w:rsid w:val="004E4A84"/>
    <w:rsid w:val="004F0923"/>
    <w:rsid w:val="004F1D90"/>
    <w:rsid w:val="004F22C6"/>
    <w:rsid w:val="004F24B9"/>
    <w:rsid w:val="004F323A"/>
    <w:rsid w:val="004F3A23"/>
    <w:rsid w:val="004F4016"/>
    <w:rsid w:val="004F46EA"/>
    <w:rsid w:val="004F4CE7"/>
    <w:rsid w:val="004F4EBB"/>
    <w:rsid w:val="004F4F9A"/>
    <w:rsid w:val="004F6775"/>
    <w:rsid w:val="004F6BC7"/>
    <w:rsid w:val="004F6C06"/>
    <w:rsid w:val="004F7F53"/>
    <w:rsid w:val="00501BAE"/>
    <w:rsid w:val="00501D92"/>
    <w:rsid w:val="0050269A"/>
    <w:rsid w:val="00504390"/>
    <w:rsid w:val="005052C6"/>
    <w:rsid w:val="0050738D"/>
    <w:rsid w:val="00507598"/>
    <w:rsid w:val="00511D1F"/>
    <w:rsid w:val="00512F12"/>
    <w:rsid w:val="00513A83"/>
    <w:rsid w:val="0051438B"/>
    <w:rsid w:val="00516816"/>
    <w:rsid w:val="00516D8F"/>
    <w:rsid w:val="00517B40"/>
    <w:rsid w:val="005200D0"/>
    <w:rsid w:val="00520341"/>
    <w:rsid w:val="005207C0"/>
    <w:rsid w:val="005218C7"/>
    <w:rsid w:val="00525254"/>
    <w:rsid w:val="0052590C"/>
    <w:rsid w:val="00525A85"/>
    <w:rsid w:val="005263A0"/>
    <w:rsid w:val="0052670F"/>
    <w:rsid w:val="00527DC1"/>
    <w:rsid w:val="00531077"/>
    <w:rsid w:val="00535DF1"/>
    <w:rsid w:val="00536006"/>
    <w:rsid w:val="00536032"/>
    <w:rsid w:val="00536665"/>
    <w:rsid w:val="00536B13"/>
    <w:rsid w:val="00537C3C"/>
    <w:rsid w:val="0054081D"/>
    <w:rsid w:val="0054145B"/>
    <w:rsid w:val="00542A1A"/>
    <w:rsid w:val="00543DF2"/>
    <w:rsid w:val="00544098"/>
    <w:rsid w:val="00544535"/>
    <w:rsid w:val="00550E4A"/>
    <w:rsid w:val="00553430"/>
    <w:rsid w:val="00554AD0"/>
    <w:rsid w:val="00555A4B"/>
    <w:rsid w:val="00555EB0"/>
    <w:rsid w:val="0056023A"/>
    <w:rsid w:val="00561EB3"/>
    <w:rsid w:val="0056363F"/>
    <w:rsid w:val="00564205"/>
    <w:rsid w:val="0056497B"/>
    <w:rsid w:val="00567821"/>
    <w:rsid w:val="005705CE"/>
    <w:rsid w:val="00571555"/>
    <w:rsid w:val="00582A2A"/>
    <w:rsid w:val="0058311A"/>
    <w:rsid w:val="00585235"/>
    <w:rsid w:val="00585CD8"/>
    <w:rsid w:val="00587511"/>
    <w:rsid w:val="00592BB5"/>
    <w:rsid w:val="0059436F"/>
    <w:rsid w:val="00595044"/>
    <w:rsid w:val="005957C8"/>
    <w:rsid w:val="005963D5"/>
    <w:rsid w:val="00596D8B"/>
    <w:rsid w:val="00597FCF"/>
    <w:rsid w:val="005A344C"/>
    <w:rsid w:val="005A5B17"/>
    <w:rsid w:val="005A603D"/>
    <w:rsid w:val="005A771E"/>
    <w:rsid w:val="005B2866"/>
    <w:rsid w:val="005B3130"/>
    <w:rsid w:val="005B4D33"/>
    <w:rsid w:val="005B4E82"/>
    <w:rsid w:val="005B544E"/>
    <w:rsid w:val="005B5ABD"/>
    <w:rsid w:val="005B64DE"/>
    <w:rsid w:val="005C2436"/>
    <w:rsid w:val="005C3D48"/>
    <w:rsid w:val="005C41B3"/>
    <w:rsid w:val="005C4960"/>
    <w:rsid w:val="005C4F37"/>
    <w:rsid w:val="005C4F7E"/>
    <w:rsid w:val="005C515D"/>
    <w:rsid w:val="005C62F5"/>
    <w:rsid w:val="005C662D"/>
    <w:rsid w:val="005C68CC"/>
    <w:rsid w:val="005C6946"/>
    <w:rsid w:val="005D1382"/>
    <w:rsid w:val="005D1998"/>
    <w:rsid w:val="005D2B9E"/>
    <w:rsid w:val="005D34D4"/>
    <w:rsid w:val="005D4EB1"/>
    <w:rsid w:val="005D5258"/>
    <w:rsid w:val="005D6C41"/>
    <w:rsid w:val="005D780A"/>
    <w:rsid w:val="005E199B"/>
    <w:rsid w:val="005E29D7"/>
    <w:rsid w:val="005E3419"/>
    <w:rsid w:val="005E3530"/>
    <w:rsid w:val="005E3DF2"/>
    <w:rsid w:val="005E470E"/>
    <w:rsid w:val="005F0531"/>
    <w:rsid w:val="005F1032"/>
    <w:rsid w:val="005F1A5A"/>
    <w:rsid w:val="005F255B"/>
    <w:rsid w:val="005F2B36"/>
    <w:rsid w:val="005F4C71"/>
    <w:rsid w:val="005F5A44"/>
    <w:rsid w:val="005F69E8"/>
    <w:rsid w:val="005F702C"/>
    <w:rsid w:val="00600972"/>
    <w:rsid w:val="0060135F"/>
    <w:rsid w:val="00602A54"/>
    <w:rsid w:val="006076B9"/>
    <w:rsid w:val="0061094E"/>
    <w:rsid w:val="0061120E"/>
    <w:rsid w:val="00613298"/>
    <w:rsid w:val="00613396"/>
    <w:rsid w:val="00613863"/>
    <w:rsid w:val="00613FAA"/>
    <w:rsid w:val="0061401F"/>
    <w:rsid w:val="00614FE2"/>
    <w:rsid w:val="00615A34"/>
    <w:rsid w:val="0061660B"/>
    <w:rsid w:val="00620C21"/>
    <w:rsid w:val="00621D67"/>
    <w:rsid w:val="0062219F"/>
    <w:rsid w:val="006243FB"/>
    <w:rsid w:val="006255C1"/>
    <w:rsid w:val="00625862"/>
    <w:rsid w:val="0062596E"/>
    <w:rsid w:val="0062648E"/>
    <w:rsid w:val="006274A8"/>
    <w:rsid w:val="00627F37"/>
    <w:rsid w:val="00630C70"/>
    <w:rsid w:val="00630CA9"/>
    <w:rsid w:val="006319E7"/>
    <w:rsid w:val="00631E26"/>
    <w:rsid w:val="00632F60"/>
    <w:rsid w:val="00633863"/>
    <w:rsid w:val="00634A08"/>
    <w:rsid w:val="00634C70"/>
    <w:rsid w:val="006351F3"/>
    <w:rsid w:val="006352AD"/>
    <w:rsid w:val="006412CF"/>
    <w:rsid w:val="00643158"/>
    <w:rsid w:val="006455C0"/>
    <w:rsid w:val="00645AB2"/>
    <w:rsid w:val="00651AD9"/>
    <w:rsid w:val="00651D66"/>
    <w:rsid w:val="0065240F"/>
    <w:rsid w:val="00652CD3"/>
    <w:rsid w:val="00653AEB"/>
    <w:rsid w:val="00654059"/>
    <w:rsid w:val="00654552"/>
    <w:rsid w:val="006547BF"/>
    <w:rsid w:val="006554C8"/>
    <w:rsid w:val="00660ECD"/>
    <w:rsid w:val="0066151B"/>
    <w:rsid w:val="006630C5"/>
    <w:rsid w:val="00665703"/>
    <w:rsid w:val="0066598D"/>
    <w:rsid w:val="00667861"/>
    <w:rsid w:val="006717A1"/>
    <w:rsid w:val="00671F6E"/>
    <w:rsid w:val="0067287D"/>
    <w:rsid w:val="00673742"/>
    <w:rsid w:val="00674F2D"/>
    <w:rsid w:val="006759B5"/>
    <w:rsid w:val="006771EF"/>
    <w:rsid w:val="0068037A"/>
    <w:rsid w:val="00680CD7"/>
    <w:rsid w:val="00680D98"/>
    <w:rsid w:val="00680FCB"/>
    <w:rsid w:val="00682241"/>
    <w:rsid w:val="006825E3"/>
    <w:rsid w:val="00682C77"/>
    <w:rsid w:val="006842F8"/>
    <w:rsid w:val="0068570C"/>
    <w:rsid w:val="00686246"/>
    <w:rsid w:val="006876EE"/>
    <w:rsid w:val="00687BFF"/>
    <w:rsid w:val="00687D89"/>
    <w:rsid w:val="00690AA3"/>
    <w:rsid w:val="00692637"/>
    <w:rsid w:val="006926CF"/>
    <w:rsid w:val="00692D0D"/>
    <w:rsid w:val="006953D7"/>
    <w:rsid w:val="006957CB"/>
    <w:rsid w:val="00696013"/>
    <w:rsid w:val="00696657"/>
    <w:rsid w:val="006A2374"/>
    <w:rsid w:val="006A26A6"/>
    <w:rsid w:val="006A2704"/>
    <w:rsid w:val="006A394E"/>
    <w:rsid w:val="006A419F"/>
    <w:rsid w:val="006A72E2"/>
    <w:rsid w:val="006A7672"/>
    <w:rsid w:val="006B0A7C"/>
    <w:rsid w:val="006B2176"/>
    <w:rsid w:val="006B3743"/>
    <w:rsid w:val="006B3782"/>
    <w:rsid w:val="006B38A7"/>
    <w:rsid w:val="006B4035"/>
    <w:rsid w:val="006B492D"/>
    <w:rsid w:val="006B4FE5"/>
    <w:rsid w:val="006B6383"/>
    <w:rsid w:val="006B69C6"/>
    <w:rsid w:val="006B6BCA"/>
    <w:rsid w:val="006B6EBF"/>
    <w:rsid w:val="006C0457"/>
    <w:rsid w:val="006C40E7"/>
    <w:rsid w:val="006C51EE"/>
    <w:rsid w:val="006C5356"/>
    <w:rsid w:val="006C76DB"/>
    <w:rsid w:val="006D0D50"/>
    <w:rsid w:val="006D1540"/>
    <w:rsid w:val="006D32B8"/>
    <w:rsid w:val="006D38E9"/>
    <w:rsid w:val="006D3BB6"/>
    <w:rsid w:val="006D44C4"/>
    <w:rsid w:val="006D53FB"/>
    <w:rsid w:val="006D6E41"/>
    <w:rsid w:val="006D72A1"/>
    <w:rsid w:val="006D78C7"/>
    <w:rsid w:val="006E0D2E"/>
    <w:rsid w:val="006E1FF5"/>
    <w:rsid w:val="006E29D6"/>
    <w:rsid w:val="006E4B86"/>
    <w:rsid w:val="006E5372"/>
    <w:rsid w:val="006E7C5F"/>
    <w:rsid w:val="006F09DC"/>
    <w:rsid w:val="006F13EE"/>
    <w:rsid w:val="006F1606"/>
    <w:rsid w:val="006F17FA"/>
    <w:rsid w:val="006F1AF0"/>
    <w:rsid w:val="006F3493"/>
    <w:rsid w:val="006F36DC"/>
    <w:rsid w:val="006F44FC"/>
    <w:rsid w:val="006F468A"/>
    <w:rsid w:val="0070021D"/>
    <w:rsid w:val="007019B9"/>
    <w:rsid w:val="007023CC"/>
    <w:rsid w:val="00703D3B"/>
    <w:rsid w:val="00704758"/>
    <w:rsid w:val="0070479E"/>
    <w:rsid w:val="007103C1"/>
    <w:rsid w:val="007113B4"/>
    <w:rsid w:val="007126F6"/>
    <w:rsid w:val="00712900"/>
    <w:rsid w:val="007143FE"/>
    <w:rsid w:val="007149DE"/>
    <w:rsid w:val="00715EE9"/>
    <w:rsid w:val="00715F1D"/>
    <w:rsid w:val="00716BE6"/>
    <w:rsid w:val="00717F91"/>
    <w:rsid w:val="00722571"/>
    <w:rsid w:val="00723907"/>
    <w:rsid w:val="0072488F"/>
    <w:rsid w:val="007249A7"/>
    <w:rsid w:val="00726408"/>
    <w:rsid w:val="00727A0F"/>
    <w:rsid w:val="007307F1"/>
    <w:rsid w:val="007311E6"/>
    <w:rsid w:val="0073142B"/>
    <w:rsid w:val="00731B9D"/>
    <w:rsid w:val="007335F1"/>
    <w:rsid w:val="00733B9B"/>
    <w:rsid w:val="007348B7"/>
    <w:rsid w:val="00735C92"/>
    <w:rsid w:val="00736C76"/>
    <w:rsid w:val="00737580"/>
    <w:rsid w:val="007377A5"/>
    <w:rsid w:val="007378BA"/>
    <w:rsid w:val="0073793D"/>
    <w:rsid w:val="00737CB2"/>
    <w:rsid w:val="007436D7"/>
    <w:rsid w:val="007466C7"/>
    <w:rsid w:val="00751BC5"/>
    <w:rsid w:val="00752482"/>
    <w:rsid w:val="00752F21"/>
    <w:rsid w:val="00755268"/>
    <w:rsid w:val="007571B0"/>
    <w:rsid w:val="00757FCC"/>
    <w:rsid w:val="00761A08"/>
    <w:rsid w:val="007621D7"/>
    <w:rsid w:val="00762D94"/>
    <w:rsid w:val="00763549"/>
    <w:rsid w:val="007657AC"/>
    <w:rsid w:val="00771ACA"/>
    <w:rsid w:val="00772CC9"/>
    <w:rsid w:val="00772DD8"/>
    <w:rsid w:val="007735B8"/>
    <w:rsid w:val="00774649"/>
    <w:rsid w:val="00776EFB"/>
    <w:rsid w:val="00777678"/>
    <w:rsid w:val="007810C4"/>
    <w:rsid w:val="007814AB"/>
    <w:rsid w:val="00783C87"/>
    <w:rsid w:val="00785015"/>
    <w:rsid w:val="00785186"/>
    <w:rsid w:val="00786122"/>
    <w:rsid w:val="00786415"/>
    <w:rsid w:val="00787CE7"/>
    <w:rsid w:val="00790944"/>
    <w:rsid w:val="00791002"/>
    <w:rsid w:val="00793F5C"/>
    <w:rsid w:val="00794BE6"/>
    <w:rsid w:val="0079533C"/>
    <w:rsid w:val="00796690"/>
    <w:rsid w:val="0079756F"/>
    <w:rsid w:val="007A09A4"/>
    <w:rsid w:val="007A25A4"/>
    <w:rsid w:val="007A2814"/>
    <w:rsid w:val="007A32B9"/>
    <w:rsid w:val="007A38C9"/>
    <w:rsid w:val="007A4669"/>
    <w:rsid w:val="007A491E"/>
    <w:rsid w:val="007A6679"/>
    <w:rsid w:val="007B02EC"/>
    <w:rsid w:val="007B0AE8"/>
    <w:rsid w:val="007B2DD3"/>
    <w:rsid w:val="007B62CB"/>
    <w:rsid w:val="007B77BB"/>
    <w:rsid w:val="007B7FBA"/>
    <w:rsid w:val="007C0429"/>
    <w:rsid w:val="007C11AB"/>
    <w:rsid w:val="007C11BB"/>
    <w:rsid w:val="007C2A09"/>
    <w:rsid w:val="007C3868"/>
    <w:rsid w:val="007C4151"/>
    <w:rsid w:val="007C4453"/>
    <w:rsid w:val="007C5066"/>
    <w:rsid w:val="007C6E6C"/>
    <w:rsid w:val="007C6EF3"/>
    <w:rsid w:val="007C74A8"/>
    <w:rsid w:val="007C7658"/>
    <w:rsid w:val="007C797B"/>
    <w:rsid w:val="007D1FE5"/>
    <w:rsid w:val="007D317D"/>
    <w:rsid w:val="007D47F6"/>
    <w:rsid w:val="007D5595"/>
    <w:rsid w:val="007E1284"/>
    <w:rsid w:val="007E17B6"/>
    <w:rsid w:val="007E339C"/>
    <w:rsid w:val="007E35B1"/>
    <w:rsid w:val="007E6590"/>
    <w:rsid w:val="007E75E7"/>
    <w:rsid w:val="007E7DCB"/>
    <w:rsid w:val="007F29A2"/>
    <w:rsid w:val="007F318C"/>
    <w:rsid w:val="007F4ADD"/>
    <w:rsid w:val="007F5AB6"/>
    <w:rsid w:val="007F77A1"/>
    <w:rsid w:val="007F7891"/>
    <w:rsid w:val="007F7906"/>
    <w:rsid w:val="00800282"/>
    <w:rsid w:val="00801D3F"/>
    <w:rsid w:val="0080417A"/>
    <w:rsid w:val="008075F0"/>
    <w:rsid w:val="00810BFE"/>
    <w:rsid w:val="00815EA6"/>
    <w:rsid w:val="0081611D"/>
    <w:rsid w:val="00816FC0"/>
    <w:rsid w:val="00821A2C"/>
    <w:rsid w:val="0082232F"/>
    <w:rsid w:val="008226F5"/>
    <w:rsid w:val="00823ED7"/>
    <w:rsid w:val="00824E2D"/>
    <w:rsid w:val="00825CC6"/>
    <w:rsid w:val="00825F34"/>
    <w:rsid w:val="008268B4"/>
    <w:rsid w:val="008270A6"/>
    <w:rsid w:val="008271BF"/>
    <w:rsid w:val="008333A0"/>
    <w:rsid w:val="00833A75"/>
    <w:rsid w:val="008351BA"/>
    <w:rsid w:val="0083686B"/>
    <w:rsid w:val="00841F42"/>
    <w:rsid w:val="00842EF1"/>
    <w:rsid w:val="00844229"/>
    <w:rsid w:val="00844261"/>
    <w:rsid w:val="00844A3D"/>
    <w:rsid w:val="0084538F"/>
    <w:rsid w:val="008473EB"/>
    <w:rsid w:val="00847C82"/>
    <w:rsid w:val="008510CD"/>
    <w:rsid w:val="00851372"/>
    <w:rsid w:val="0085291F"/>
    <w:rsid w:val="00854B38"/>
    <w:rsid w:val="00854BE0"/>
    <w:rsid w:val="00854CEC"/>
    <w:rsid w:val="00855F0F"/>
    <w:rsid w:val="00856892"/>
    <w:rsid w:val="00856CD5"/>
    <w:rsid w:val="00861E05"/>
    <w:rsid w:val="00862FF7"/>
    <w:rsid w:val="008631EA"/>
    <w:rsid w:val="00864A70"/>
    <w:rsid w:val="00864E2D"/>
    <w:rsid w:val="0086662A"/>
    <w:rsid w:val="00867CFB"/>
    <w:rsid w:val="00867DAF"/>
    <w:rsid w:val="00870B53"/>
    <w:rsid w:val="00871470"/>
    <w:rsid w:val="00872E73"/>
    <w:rsid w:val="008749D8"/>
    <w:rsid w:val="00874CC0"/>
    <w:rsid w:val="00876459"/>
    <w:rsid w:val="00876BE3"/>
    <w:rsid w:val="00880CE2"/>
    <w:rsid w:val="00882C80"/>
    <w:rsid w:val="00882E67"/>
    <w:rsid w:val="00883C0E"/>
    <w:rsid w:val="00890E47"/>
    <w:rsid w:val="00895548"/>
    <w:rsid w:val="008958B1"/>
    <w:rsid w:val="0089601E"/>
    <w:rsid w:val="008973AF"/>
    <w:rsid w:val="008A15B6"/>
    <w:rsid w:val="008A4824"/>
    <w:rsid w:val="008A517F"/>
    <w:rsid w:val="008A59CF"/>
    <w:rsid w:val="008A5C78"/>
    <w:rsid w:val="008A7ABC"/>
    <w:rsid w:val="008B028C"/>
    <w:rsid w:val="008B034F"/>
    <w:rsid w:val="008B0732"/>
    <w:rsid w:val="008B0874"/>
    <w:rsid w:val="008B20F9"/>
    <w:rsid w:val="008B2564"/>
    <w:rsid w:val="008B3CFE"/>
    <w:rsid w:val="008B5066"/>
    <w:rsid w:val="008B6BC1"/>
    <w:rsid w:val="008B7CB7"/>
    <w:rsid w:val="008B7D5A"/>
    <w:rsid w:val="008B7DF1"/>
    <w:rsid w:val="008C01E7"/>
    <w:rsid w:val="008C042F"/>
    <w:rsid w:val="008C0AE8"/>
    <w:rsid w:val="008C0D93"/>
    <w:rsid w:val="008C3380"/>
    <w:rsid w:val="008C44AD"/>
    <w:rsid w:val="008C7DA6"/>
    <w:rsid w:val="008D00AB"/>
    <w:rsid w:val="008D31E1"/>
    <w:rsid w:val="008D339B"/>
    <w:rsid w:val="008D47FA"/>
    <w:rsid w:val="008D4A6A"/>
    <w:rsid w:val="008D6E8F"/>
    <w:rsid w:val="008D7062"/>
    <w:rsid w:val="008E2F09"/>
    <w:rsid w:val="008E3A6E"/>
    <w:rsid w:val="008E3D83"/>
    <w:rsid w:val="008E3DF1"/>
    <w:rsid w:val="008E3F8E"/>
    <w:rsid w:val="008E5FC0"/>
    <w:rsid w:val="008E6C7B"/>
    <w:rsid w:val="008E6D82"/>
    <w:rsid w:val="008E7F24"/>
    <w:rsid w:val="008F08A7"/>
    <w:rsid w:val="008F0F00"/>
    <w:rsid w:val="008F2F64"/>
    <w:rsid w:val="008F5B97"/>
    <w:rsid w:val="008F6F54"/>
    <w:rsid w:val="00900DC7"/>
    <w:rsid w:val="009023D1"/>
    <w:rsid w:val="00902629"/>
    <w:rsid w:val="009035C9"/>
    <w:rsid w:val="00904622"/>
    <w:rsid w:val="00904ACB"/>
    <w:rsid w:val="00905C5B"/>
    <w:rsid w:val="0090750A"/>
    <w:rsid w:val="009152D6"/>
    <w:rsid w:val="0091552E"/>
    <w:rsid w:val="0091662D"/>
    <w:rsid w:val="0092162E"/>
    <w:rsid w:val="009219AB"/>
    <w:rsid w:val="009227B1"/>
    <w:rsid w:val="00922A62"/>
    <w:rsid w:val="009230A9"/>
    <w:rsid w:val="009237FE"/>
    <w:rsid w:val="00924F45"/>
    <w:rsid w:val="00924FD1"/>
    <w:rsid w:val="00926B46"/>
    <w:rsid w:val="00927D4F"/>
    <w:rsid w:val="00930A11"/>
    <w:rsid w:val="00930C63"/>
    <w:rsid w:val="00930FA0"/>
    <w:rsid w:val="009316E5"/>
    <w:rsid w:val="00932756"/>
    <w:rsid w:val="009340B1"/>
    <w:rsid w:val="0093468A"/>
    <w:rsid w:val="009357F8"/>
    <w:rsid w:val="00935D28"/>
    <w:rsid w:val="0093663E"/>
    <w:rsid w:val="00940271"/>
    <w:rsid w:val="009410BA"/>
    <w:rsid w:val="009411FB"/>
    <w:rsid w:val="0094287C"/>
    <w:rsid w:val="00943155"/>
    <w:rsid w:val="00944D86"/>
    <w:rsid w:val="00946039"/>
    <w:rsid w:val="009466A7"/>
    <w:rsid w:val="00946A30"/>
    <w:rsid w:val="009475E1"/>
    <w:rsid w:val="00950178"/>
    <w:rsid w:val="00950509"/>
    <w:rsid w:val="00951B88"/>
    <w:rsid w:val="00953B19"/>
    <w:rsid w:val="009544F8"/>
    <w:rsid w:val="009574AD"/>
    <w:rsid w:val="0096026C"/>
    <w:rsid w:val="009612A4"/>
    <w:rsid w:val="00961951"/>
    <w:rsid w:val="00961AC8"/>
    <w:rsid w:val="00964475"/>
    <w:rsid w:val="00965D33"/>
    <w:rsid w:val="00966039"/>
    <w:rsid w:val="0097467D"/>
    <w:rsid w:val="00975140"/>
    <w:rsid w:val="0097583F"/>
    <w:rsid w:val="00976FAD"/>
    <w:rsid w:val="00976FD1"/>
    <w:rsid w:val="00977D21"/>
    <w:rsid w:val="0098052F"/>
    <w:rsid w:val="009812EA"/>
    <w:rsid w:val="009822F1"/>
    <w:rsid w:val="0098394F"/>
    <w:rsid w:val="0098396D"/>
    <w:rsid w:val="00983A6C"/>
    <w:rsid w:val="00984FBA"/>
    <w:rsid w:val="009852AC"/>
    <w:rsid w:val="00986C47"/>
    <w:rsid w:val="0098792F"/>
    <w:rsid w:val="00990615"/>
    <w:rsid w:val="0099072B"/>
    <w:rsid w:val="00990E1C"/>
    <w:rsid w:val="00991931"/>
    <w:rsid w:val="0099593A"/>
    <w:rsid w:val="009A021D"/>
    <w:rsid w:val="009A100A"/>
    <w:rsid w:val="009A2A55"/>
    <w:rsid w:val="009A2DB3"/>
    <w:rsid w:val="009A3572"/>
    <w:rsid w:val="009A3767"/>
    <w:rsid w:val="009A4F5F"/>
    <w:rsid w:val="009A51D6"/>
    <w:rsid w:val="009A64E5"/>
    <w:rsid w:val="009B1422"/>
    <w:rsid w:val="009B24BE"/>
    <w:rsid w:val="009B3AFD"/>
    <w:rsid w:val="009B4059"/>
    <w:rsid w:val="009B5E63"/>
    <w:rsid w:val="009B6005"/>
    <w:rsid w:val="009C0639"/>
    <w:rsid w:val="009C1E0D"/>
    <w:rsid w:val="009C2114"/>
    <w:rsid w:val="009C26E6"/>
    <w:rsid w:val="009C28A0"/>
    <w:rsid w:val="009C42FB"/>
    <w:rsid w:val="009C4E05"/>
    <w:rsid w:val="009C7F4E"/>
    <w:rsid w:val="009D00F9"/>
    <w:rsid w:val="009D0D24"/>
    <w:rsid w:val="009D37FF"/>
    <w:rsid w:val="009D3A49"/>
    <w:rsid w:val="009D3BCD"/>
    <w:rsid w:val="009D40B9"/>
    <w:rsid w:val="009D5B4B"/>
    <w:rsid w:val="009D7016"/>
    <w:rsid w:val="009D7E30"/>
    <w:rsid w:val="009E0B8F"/>
    <w:rsid w:val="009E473F"/>
    <w:rsid w:val="009E526A"/>
    <w:rsid w:val="009E7EE3"/>
    <w:rsid w:val="009F052D"/>
    <w:rsid w:val="009F09DA"/>
    <w:rsid w:val="009F17A1"/>
    <w:rsid w:val="009F22E3"/>
    <w:rsid w:val="009F29DE"/>
    <w:rsid w:val="009F4829"/>
    <w:rsid w:val="009F55C8"/>
    <w:rsid w:val="009F5F94"/>
    <w:rsid w:val="009F7F33"/>
    <w:rsid w:val="00A01192"/>
    <w:rsid w:val="00A0180F"/>
    <w:rsid w:val="00A0385D"/>
    <w:rsid w:val="00A1029A"/>
    <w:rsid w:val="00A15731"/>
    <w:rsid w:val="00A16233"/>
    <w:rsid w:val="00A174D4"/>
    <w:rsid w:val="00A20D15"/>
    <w:rsid w:val="00A21D12"/>
    <w:rsid w:val="00A21FA7"/>
    <w:rsid w:val="00A22517"/>
    <w:rsid w:val="00A2398F"/>
    <w:rsid w:val="00A24370"/>
    <w:rsid w:val="00A2583F"/>
    <w:rsid w:val="00A27BF6"/>
    <w:rsid w:val="00A27DE9"/>
    <w:rsid w:val="00A27FBC"/>
    <w:rsid w:val="00A31995"/>
    <w:rsid w:val="00A31BBC"/>
    <w:rsid w:val="00A32165"/>
    <w:rsid w:val="00A32546"/>
    <w:rsid w:val="00A3395C"/>
    <w:rsid w:val="00A36248"/>
    <w:rsid w:val="00A374BF"/>
    <w:rsid w:val="00A37FC8"/>
    <w:rsid w:val="00A40F8C"/>
    <w:rsid w:val="00A41C21"/>
    <w:rsid w:val="00A421E5"/>
    <w:rsid w:val="00A423A7"/>
    <w:rsid w:val="00A430B7"/>
    <w:rsid w:val="00A437E0"/>
    <w:rsid w:val="00A47358"/>
    <w:rsid w:val="00A47A54"/>
    <w:rsid w:val="00A53A8E"/>
    <w:rsid w:val="00A55393"/>
    <w:rsid w:val="00A55A40"/>
    <w:rsid w:val="00A55C57"/>
    <w:rsid w:val="00A60F51"/>
    <w:rsid w:val="00A62A07"/>
    <w:rsid w:val="00A62EFB"/>
    <w:rsid w:val="00A645B6"/>
    <w:rsid w:val="00A647C5"/>
    <w:rsid w:val="00A66BD4"/>
    <w:rsid w:val="00A66FDD"/>
    <w:rsid w:val="00A706DC"/>
    <w:rsid w:val="00A713E4"/>
    <w:rsid w:val="00A71A7C"/>
    <w:rsid w:val="00A72F44"/>
    <w:rsid w:val="00A734AD"/>
    <w:rsid w:val="00A73A88"/>
    <w:rsid w:val="00A75562"/>
    <w:rsid w:val="00A75743"/>
    <w:rsid w:val="00A76CB4"/>
    <w:rsid w:val="00A82D22"/>
    <w:rsid w:val="00A83231"/>
    <w:rsid w:val="00A84D9C"/>
    <w:rsid w:val="00A86C30"/>
    <w:rsid w:val="00A8770B"/>
    <w:rsid w:val="00A910FF"/>
    <w:rsid w:val="00A94686"/>
    <w:rsid w:val="00A94D61"/>
    <w:rsid w:val="00A95549"/>
    <w:rsid w:val="00A959BA"/>
    <w:rsid w:val="00A96BD7"/>
    <w:rsid w:val="00A97A9A"/>
    <w:rsid w:val="00A97C58"/>
    <w:rsid w:val="00AA0793"/>
    <w:rsid w:val="00AA0AED"/>
    <w:rsid w:val="00AA40E7"/>
    <w:rsid w:val="00AA455D"/>
    <w:rsid w:val="00AA46E4"/>
    <w:rsid w:val="00AA4FD2"/>
    <w:rsid w:val="00AA5E72"/>
    <w:rsid w:val="00AA7211"/>
    <w:rsid w:val="00AB097E"/>
    <w:rsid w:val="00AB0ABA"/>
    <w:rsid w:val="00AB0E3D"/>
    <w:rsid w:val="00AB0F2A"/>
    <w:rsid w:val="00AB1C28"/>
    <w:rsid w:val="00AB450C"/>
    <w:rsid w:val="00AB455F"/>
    <w:rsid w:val="00AB488F"/>
    <w:rsid w:val="00AB4E3A"/>
    <w:rsid w:val="00AB57F5"/>
    <w:rsid w:val="00AB5E20"/>
    <w:rsid w:val="00AB7383"/>
    <w:rsid w:val="00AC0A96"/>
    <w:rsid w:val="00AC1DE9"/>
    <w:rsid w:val="00AC2F28"/>
    <w:rsid w:val="00AC2F96"/>
    <w:rsid w:val="00AC3B76"/>
    <w:rsid w:val="00AC3CEF"/>
    <w:rsid w:val="00AC52B2"/>
    <w:rsid w:val="00AC7357"/>
    <w:rsid w:val="00AC74BA"/>
    <w:rsid w:val="00AC7523"/>
    <w:rsid w:val="00AC7AE8"/>
    <w:rsid w:val="00AD00CD"/>
    <w:rsid w:val="00AD49C6"/>
    <w:rsid w:val="00AD4EFD"/>
    <w:rsid w:val="00AD5FC7"/>
    <w:rsid w:val="00AD7577"/>
    <w:rsid w:val="00AE12BB"/>
    <w:rsid w:val="00AE382E"/>
    <w:rsid w:val="00AE4900"/>
    <w:rsid w:val="00AE599B"/>
    <w:rsid w:val="00AE6558"/>
    <w:rsid w:val="00AE791E"/>
    <w:rsid w:val="00AF0C53"/>
    <w:rsid w:val="00AF262B"/>
    <w:rsid w:val="00AF2FC2"/>
    <w:rsid w:val="00AF3279"/>
    <w:rsid w:val="00AF6C75"/>
    <w:rsid w:val="00AF7B17"/>
    <w:rsid w:val="00B01BEF"/>
    <w:rsid w:val="00B025BC"/>
    <w:rsid w:val="00B0370C"/>
    <w:rsid w:val="00B043EE"/>
    <w:rsid w:val="00B05CFE"/>
    <w:rsid w:val="00B06466"/>
    <w:rsid w:val="00B06EE9"/>
    <w:rsid w:val="00B109D9"/>
    <w:rsid w:val="00B10A62"/>
    <w:rsid w:val="00B10C31"/>
    <w:rsid w:val="00B10DB6"/>
    <w:rsid w:val="00B12759"/>
    <w:rsid w:val="00B12F47"/>
    <w:rsid w:val="00B15CB0"/>
    <w:rsid w:val="00B20129"/>
    <w:rsid w:val="00B201BE"/>
    <w:rsid w:val="00B21AD8"/>
    <w:rsid w:val="00B21ED8"/>
    <w:rsid w:val="00B23102"/>
    <w:rsid w:val="00B237EB"/>
    <w:rsid w:val="00B23BDE"/>
    <w:rsid w:val="00B23D11"/>
    <w:rsid w:val="00B24460"/>
    <w:rsid w:val="00B24A77"/>
    <w:rsid w:val="00B24E7A"/>
    <w:rsid w:val="00B25107"/>
    <w:rsid w:val="00B27F69"/>
    <w:rsid w:val="00B30156"/>
    <w:rsid w:val="00B30660"/>
    <w:rsid w:val="00B32F7F"/>
    <w:rsid w:val="00B3300F"/>
    <w:rsid w:val="00B3391B"/>
    <w:rsid w:val="00B347FD"/>
    <w:rsid w:val="00B35433"/>
    <w:rsid w:val="00B36BCD"/>
    <w:rsid w:val="00B36C5E"/>
    <w:rsid w:val="00B3735E"/>
    <w:rsid w:val="00B43123"/>
    <w:rsid w:val="00B43B65"/>
    <w:rsid w:val="00B43D54"/>
    <w:rsid w:val="00B43D81"/>
    <w:rsid w:val="00B4736E"/>
    <w:rsid w:val="00B50BAB"/>
    <w:rsid w:val="00B50E60"/>
    <w:rsid w:val="00B5505C"/>
    <w:rsid w:val="00B55B97"/>
    <w:rsid w:val="00B60E36"/>
    <w:rsid w:val="00B621B8"/>
    <w:rsid w:val="00B62439"/>
    <w:rsid w:val="00B626F8"/>
    <w:rsid w:val="00B63BD6"/>
    <w:rsid w:val="00B6464C"/>
    <w:rsid w:val="00B64FAF"/>
    <w:rsid w:val="00B662E5"/>
    <w:rsid w:val="00B6679E"/>
    <w:rsid w:val="00B66C0E"/>
    <w:rsid w:val="00B66F74"/>
    <w:rsid w:val="00B67DE2"/>
    <w:rsid w:val="00B7047F"/>
    <w:rsid w:val="00B71E18"/>
    <w:rsid w:val="00B724B5"/>
    <w:rsid w:val="00B737F9"/>
    <w:rsid w:val="00B7489A"/>
    <w:rsid w:val="00B774D5"/>
    <w:rsid w:val="00B8014F"/>
    <w:rsid w:val="00B80431"/>
    <w:rsid w:val="00B82AA7"/>
    <w:rsid w:val="00B83638"/>
    <w:rsid w:val="00B84D2E"/>
    <w:rsid w:val="00B84F74"/>
    <w:rsid w:val="00B85378"/>
    <w:rsid w:val="00B9311C"/>
    <w:rsid w:val="00B932B6"/>
    <w:rsid w:val="00B9363C"/>
    <w:rsid w:val="00B95C8B"/>
    <w:rsid w:val="00B95E8D"/>
    <w:rsid w:val="00B97BB5"/>
    <w:rsid w:val="00BA017C"/>
    <w:rsid w:val="00BA0EC9"/>
    <w:rsid w:val="00BA1824"/>
    <w:rsid w:val="00BA1984"/>
    <w:rsid w:val="00BA472F"/>
    <w:rsid w:val="00BA5AB9"/>
    <w:rsid w:val="00BA6652"/>
    <w:rsid w:val="00BA6AF4"/>
    <w:rsid w:val="00BA7D0B"/>
    <w:rsid w:val="00BA7EB3"/>
    <w:rsid w:val="00BB337E"/>
    <w:rsid w:val="00BB45D3"/>
    <w:rsid w:val="00BB492A"/>
    <w:rsid w:val="00BB4CB8"/>
    <w:rsid w:val="00BB5182"/>
    <w:rsid w:val="00BB7738"/>
    <w:rsid w:val="00BB7B68"/>
    <w:rsid w:val="00BC00BB"/>
    <w:rsid w:val="00BC041A"/>
    <w:rsid w:val="00BC1925"/>
    <w:rsid w:val="00BC2D47"/>
    <w:rsid w:val="00BC3252"/>
    <w:rsid w:val="00BC340E"/>
    <w:rsid w:val="00BC6F26"/>
    <w:rsid w:val="00BD3AD1"/>
    <w:rsid w:val="00BD3DDC"/>
    <w:rsid w:val="00BD7567"/>
    <w:rsid w:val="00BD7918"/>
    <w:rsid w:val="00BE0264"/>
    <w:rsid w:val="00BE127F"/>
    <w:rsid w:val="00BE1542"/>
    <w:rsid w:val="00BE437F"/>
    <w:rsid w:val="00BE6DE1"/>
    <w:rsid w:val="00BF0867"/>
    <w:rsid w:val="00BF2259"/>
    <w:rsid w:val="00BF2CD9"/>
    <w:rsid w:val="00BF2E81"/>
    <w:rsid w:val="00BF6A54"/>
    <w:rsid w:val="00BF6BC2"/>
    <w:rsid w:val="00BF71B3"/>
    <w:rsid w:val="00BF74C4"/>
    <w:rsid w:val="00BF7C31"/>
    <w:rsid w:val="00C004DD"/>
    <w:rsid w:val="00C00BA3"/>
    <w:rsid w:val="00C00C3E"/>
    <w:rsid w:val="00C03677"/>
    <w:rsid w:val="00C05B5F"/>
    <w:rsid w:val="00C05B73"/>
    <w:rsid w:val="00C05CFF"/>
    <w:rsid w:val="00C06AAD"/>
    <w:rsid w:val="00C06BD5"/>
    <w:rsid w:val="00C11997"/>
    <w:rsid w:val="00C13489"/>
    <w:rsid w:val="00C17CD3"/>
    <w:rsid w:val="00C208F7"/>
    <w:rsid w:val="00C21523"/>
    <w:rsid w:val="00C21BA0"/>
    <w:rsid w:val="00C22AD7"/>
    <w:rsid w:val="00C23215"/>
    <w:rsid w:val="00C23B89"/>
    <w:rsid w:val="00C23D47"/>
    <w:rsid w:val="00C25E55"/>
    <w:rsid w:val="00C25EE7"/>
    <w:rsid w:val="00C260AA"/>
    <w:rsid w:val="00C27E8D"/>
    <w:rsid w:val="00C30799"/>
    <w:rsid w:val="00C311B0"/>
    <w:rsid w:val="00C311B3"/>
    <w:rsid w:val="00C32062"/>
    <w:rsid w:val="00C3263C"/>
    <w:rsid w:val="00C34D00"/>
    <w:rsid w:val="00C35CA1"/>
    <w:rsid w:val="00C35E74"/>
    <w:rsid w:val="00C36680"/>
    <w:rsid w:val="00C41B2D"/>
    <w:rsid w:val="00C42DDB"/>
    <w:rsid w:val="00C42EC5"/>
    <w:rsid w:val="00C430B5"/>
    <w:rsid w:val="00C442DF"/>
    <w:rsid w:val="00C44C19"/>
    <w:rsid w:val="00C451E9"/>
    <w:rsid w:val="00C465B3"/>
    <w:rsid w:val="00C4749E"/>
    <w:rsid w:val="00C4767D"/>
    <w:rsid w:val="00C478A7"/>
    <w:rsid w:val="00C479FC"/>
    <w:rsid w:val="00C51676"/>
    <w:rsid w:val="00C51AA0"/>
    <w:rsid w:val="00C51AE7"/>
    <w:rsid w:val="00C52041"/>
    <w:rsid w:val="00C53BB8"/>
    <w:rsid w:val="00C54050"/>
    <w:rsid w:val="00C54BBE"/>
    <w:rsid w:val="00C54D0F"/>
    <w:rsid w:val="00C54D79"/>
    <w:rsid w:val="00C550E7"/>
    <w:rsid w:val="00C56191"/>
    <w:rsid w:val="00C567F9"/>
    <w:rsid w:val="00C612CC"/>
    <w:rsid w:val="00C62D9E"/>
    <w:rsid w:val="00C64D9B"/>
    <w:rsid w:val="00C726D3"/>
    <w:rsid w:val="00C7299A"/>
    <w:rsid w:val="00C736D1"/>
    <w:rsid w:val="00C752FD"/>
    <w:rsid w:val="00C75636"/>
    <w:rsid w:val="00C75CB0"/>
    <w:rsid w:val="00C766CA"/>
    <w:rsid w:val="00C7679A"/>
    <w:rsid w:val="00C771C8"/>
    <w:rsid w:val="00C801C4"/>
    <w:rsid w:val="00C81A7F"/>
    <w:rsid w:val="00C827B9"/>
    <w:rsid w:val="00C82F8B"/>
    <w:rsid w:val="00C8483B"/>
    <w:rsid w:val="00C84CF7"/>
    <w:rsid w:val="00C85D9A"/>
    <w:rsid w:val="00C86E0F"/>
    <w:rsid w:val="00C8715F"/>
    <w:rsid w:val="00C9134E"/>
    <w:rsid w:val="00C915F6"/>
    <w:rsid w:val="00C92130"/>
    <w:rsid w:val="00C92645"/>
    <w:rsid w:val="00C928EC"/>
    <w:rsid w:val="00C9309D"/>
    <w:rsid w:val="00C941C0"/>
    <w:rsid w:val="00C95006"/>
    <w:rsid w:val="00C957CF"/>
    <w:rsid w:val="00C96716"/>
    <w:rsid w:val="00CA3C48"/>
    <w:rsid w:val="00CA4050"/>
    <w:rsid w:val="00CA56BF"/>
    <w:rsid w:val="00CA66AE"/>
    <w:rsid w:val="00CA6F86"/>
    <w:rsid w:val="00CA7945"/>
    <w:rsid w:val="00CA7E3D"/>
    <w:rsid w:val="00CB2295"/>
    <w:rsid w:val="00CB353D"/>
    <w:rsid w:val="00CB4A9A"/>
    <w:rsid w:val="00CB5091"/>
    <w:rsid w:val="00CB7B09"/>
    <w:rsid w:val="00CB7E7C"/>
    <w:rsid w:val="00CC1C33"/>
    <w:rsid w:val="00CC30E8"/>
    <w:rsid w:val="00CC5B0B"/>
    <w:rsid w:val="00CC733D"/>
    <w:rsid w:val="00CC7831"/>
    <w:rsid w:val="00CD001C"/>
    <w:rsid w:val="00CD0BC9"/>
    <w:rsid w:val="00CD2605"/>
    <w:rsid w:val="00CD27B4"/>
    <w:rsid w:val="00CD2EAC"/>
    <w:rsid w:val="00CD3121"/>
    <w:rsid w:val="00CD32C1"/>
    <w:rsid w:val="00CD332E"/>
    <w:rsid w:val="00CD403E"/>
    <w:rsid w:val="00CD47DD"/>
    <w:rsid w:val="00CD5C8D"/>
    <w:rsid w:val="00CE071D"/>
    <w:rsid w:val="00CE1302"/>
    <w:rsid w:val="00CE1614"/>
    <w:rsid w:val="00CE70C8"/>
    <w:rsid w:val="00CE7FD5"/>
    <w:rsid w:val="00CF0465"/>
    <w:rsid w:val="00CF2162"/>
    <w:rsid w:val="00CF246E"/>
    <w:rsid w:val="00CF27AC"/>
    <w:rsid w:val="00CF3D65"/>
    <w:rsid w:val="00CF4115"/>
    <w:rsid w:val="00CF744F"/>
    <w:rsid w:val="00CF7C67"/>
    <w:rsid w:val="00CF7DF1"/>
    <w:rsid w:val="00D00D50"/>
    <w:rsid w:val="00D025D3"/>
    <w:rsid w:val="00D03304"/>
    <w:rsid w:val="00D1048C"/>
    <w:rsid w:val="00D136B1"/>
    <w:rsid w:val="00D13C1E"/>
    <w:rsid w:val="00D1404D"/>
    <w:rsid w:val="00D1472F"/>
    <w:rsid w:val="00D14EE1"/>
    <w:rsid w:val="00D15EA6"/>
    <w:rsid w:val="00D209F4"/>
    <w:rsid w:val="00D21C71"/>
    <w:rsid w:val="00D21F13"/>
    <w:rsid w:val="00D22E86"/>
    <w:rsid w:val="00D23646"/>
    <w:rsid w:val="00D249B0"/>
    <w:rsid w:val="00D24AB0"/>
    <w:rsid w:val="00D24F1C"/>
    <w:rsid w:val="00D255AA"/>
    <w:rsid w:val="00D26B16"/>
    <w:rsid w:val="00D3294C"/>
    <w:rsid w:val="00D3335B"/>
    <w:rsid w:val="00D34F73"/>
    <w:rsid w:val="00D362DF"/>
    <w:rsid w:val="00D40C92"/>
    <w:rsid w:val="00D40FC9"/>
    <w:rsid w:val="00D43D7C"/>
    <w:rsid w:val="00D446B4"/>
    <w:rsid w:val="00D44BD6"/>
    <w:rsid w:val="00D45865"/>
    <w:rsid w:val="00D459CA"/>
    <w:rsid w:val="00D474B5"/>
    <w:rsid w:val="00D54187"/>
    <w:rsid w:val="00D547F5"/>
    <w:rsid w:val="00D55032"/>
    <w:rsid w:val="00D57441"/>
    <w:rsid w:val="00D579E1"/>
    <w:rsid w:val="00D61E95"/>
    <w:rsid w:val="00D6303B"/>
    <w:rsid w:val="00D6323B"/>
    <w:rsid w:val="00D6337D"/>
    <w:rsid w:val="00D671E6"/>
    <w:rsid w:val="00D6728D"/>
    <w:rsid w:val="00D701D4"/>
    <w:rsid w:val="00D70EDE"/>
    <w:rsid w:val="00D70F74"/>
    <w:rsid w:val="00D72627"/>
    <w:rsid w:val="00D72BE3"/>
    <w:rsid w:val="00D749BB"/>
    <w:rsid w:val="00D7515D"/>
    <w:rsid w:val="00D75D9E"/>
    <w:rsid w:val="00D771FC"/>
    <w:rsid w:val="00D84103"/>
    <w:rsid w:val="00D84688"/>
    <w:rsid w:val="00D84950"/>
    <w:rsid w:val="00D84E3A"/>
    <w:rsid w:val="00D8550E"/>
    <w:rsid w:val="00D86E54"/>
    <w:rsid w:val="00D90A47"/>
    <w:rsid w:val="00D90B03"/>
    <w:rsid w:val="00D90F51"/>
    <w:rsid w:val="00D92E2C"/>
    <w:rsid w:val="00D95E74"/>
    <w:rsid w:val="00DA09C2"/>
    <w:rsid w:val="00DA4980"/>
    <w:rsid w:val="00DA4D59"/>
    <w:rsid w:val="00DA57B4"/>
    <w:rsid w:val="00DA65DE"/>
    <w:rsid w:val="00DA6A9D"/>
    <w:rsid w:val="00DA6F2A"/>
    <w:rsid w:val="00DA718F"/>
    <w:rsid w:val="00DB04E2"/>
    <w:rsid w:val="00DB05F0"/>
    <w:rsid w:val="00DB4AEF"/>
    <w:rsid w:val="00DB4BFE"/>
    <w:rsid w:val="00DB6056"/>
    <w:rsid w:val="00DB60FB"/>
    <w:rsid w:val="00DB61B3"/>
    <w:rsid w:val="00DB6575"/>
    <w:rsid w:val="00DB6A0A"/>
    <w:rsid w:val="00DB7A56"/>
    <w:rsid w:val="00DB7CB5"/>
    <w:rsid w:val="00DC5B0B"/>
    <w:rsid w:val="00DC69F1"/>
    <w:rsid w:val="00DC71E4"/>
    <w:rsid w:val="00DC782C"/>
    <w:rsid w:val="00DD086B"/>
    <w:rsid w:val="00DD0E57"/>
    <w:rsid w:val="00DD20E4"/>
    <w:rsid w:val="00DD25DB"/>
    <w:rsid w:val="00DD3528"/>
    <w:rsid w:val="00DD3B37"/>
    <w:rsid w:val="00DD5B6B"/>
    <w:rsid w:val="00DD6680"/>
    <w:rsid w:val="00DE13D3"/>
    <w:rsid w:val="00DE3157"/>
    <w:rsid w:val="00DE4FDB"/>
    <w:rsid w:val="00DE5B7B"/>
    <w:rsid w:val="00DF013B"/>
    <w:rsid w:val="00DF08A5"/>
    <w:rsid w:val="00DF1B30"/>
    <w:rsid w:val="00DF28A4"/>
    <w:rsid w:val="00DF394B"/>
    <w:rsid w:val="00DF3CA9"/>
    <w:rsid w:val="00DF41CA"/>
    <w:rsid w:val="00DF7181"/>
    <w:rsid w:val="00E0083B"/>
    <w:rsid w:val="00E015A7"/>
    <w:rsid w:val="00E01E4C"/>
    <w:rsid w:val="00E0315F"/>
    <w:rsid w:val="00E03B37"/>
    <w:rsid w:val="00E03DFF"/>
    <w:rsid w:val="00E05974"/>
    <w:rsid w:val="00E06A8F"/>
    <w:rsid w:val="00E07046"/>
    <w:rsid w:val="00E0738D"/>
    <w:rsid w:val="00E073B8"/>
    <w:rsid w:val="00E07E4F"/>
    <w:rsid w:val="00E11248"/>
    <w:rsid w:val="00E1156A"/>
    <w:rsid w:val="00E1228E"/>
    <w:rsid w:val="00E12BEA"/>
    <w:rsid w:val="00E12C62"/>
    <w:rsid w:val="00E13139"/>
    <w:rsid w:val="00E149F8"/>
    <w:rsid w:val="00E16206"/>
    <w:rsid w:val="00E16303"/>
    <w:rsid w:val="00E2107C"/>
    <w:rsid w:val="00E22149"/>
    <w:rsid w:val="00E22655"/>
    <w:rsid w:val="00E23198"/>
    <w:rsid w:val="00E2321B"/>
    <w:rsid w:val="00E24881"/>
    <w:rsid w:val="00E266CF"/>
    <w:rsid w:val="00E27EBF"/>
    <w:rsid w:val="00E30B01"/>
    <w:rsid w:val="00E3101F"/>
    <w:rsid w:val="00E32019"/>
    <w:rsid w:val="00E3457E"/>
    <w:rsid w:val="00E3534B"/>
    <w:rsid w:val="00E4169B"/>
    <w:rsid w:val="00E439F5"/>
    <w:rsid w:val="00E43CB3"/>
    <w:rsid w:val="00E45387"/>
    <w:rsid w:val="00E46DEF"/>
    <w:rsid w:val="00E51B8A"/>
    <w:rsid w:val="00E52148"/>
    <w:rsid w:val="00E54FC3"/>
    <w:rsid w:val="00E55DC0"/>
    <w:rsid w:val="00E57099"/>
    <w:rsid w:val="00E5714A"/>
    <w:rsid w:val="00E61652"/>
    <w:rsid w:val="00E63048"/>
    <w:rsid w:val="00E63C69"/>
    <w:rsid w:val="00E66D23"/>
    <w:rsid w:val="00E66FF1"/>
    <w:rsid w:val="00E70004"/>
    <w:rsid w:val="00E70938"/>
    <w:rsid w:val="00E70DBF"/>
    <w:rsid w:val="00E71484"/>
    <w:rsid w:val="00E719B3"/>
    <w:rsid w:val="00E729CC"/>
    <w:rsid w:val="00E74DD3"/>
    <w:rsid w:val="00E75491"/>
    <w:rsid w:val="00E756A5"/>
    <w:rsid w:val="00E75D1F"/>
    <w:rsid w:val="00E768FC"/>
    <w:rsid w:val="00E7691A"/>
    <w:rsid w:val="00E806DB"/>
    <w:rsid w:val="00E82B45"/>
    <w:rsid w:val="00E83A3C"/>
    <w:rsid w:val="00E84A45"/>
    <w:rsid w:val="00E84F57"/>
    <w:rsid w:val="00E852AB"/>
    <w:rsid w:val="00E870EC"/>
    <w:rsid w:val="00E87647"/>
    <w:rsid w:val="00E9105A"/>
    <w:rsid w:val="00E9122A"/>
    <w:rsid w:val="00E923F7"/>
    <w:rsid w:val="00E92955"/>
    <w:rsid w:val="00E92DA3"/>
    <w:rsid w:val="00E93560"/>
    <w:rsid w:val="00E93DAA"/>
    <w:rsid w:val="00E943B1"/>
    <w:rsid w:val="00E94B12"/>
    <w:rsid w:val="00E95098"/>
    <w:rsid w:val="00E95729"/>
    <w:rsid w:val="00E97EE4"/>
    <w:rsid w:val="00EA10CB"/>
    <w:rsid w:val="00EA17DA"/>
    <w:rsid w:val="00EA1BDD"/>
    <w:rsid w:val="00EA50FD"/>
    <w:rsid w:val="00EA695D"/>
    <w:rsid w:val="00EA69F6"/>
    <w:rsid w:val="00EA7DAA"/>
    <w:rsid w:val="00EB0EF8"/>
    <w:rsid w:val="00EB1C5D"/>
    <w:rsid w:val="00EB2565"/>
    <w:rsid w:val="00EB46B8"/>
    <w:rsid w:val="00EB5125"/>
    <w:rsid w:val="00EB68A5"/>
    <w:rsid w:val="00EB77E0"/>
    <w:rsid w:val="00EC0649"/>
    <w:rsid w:val="00EC11A0"/>
    <w:rsid w:val="00EC1462"/>
    <w:rsid w:val="00EC2D79"/>
    <w:rsid w:val="00EC3D94"/>
    <w:rsid w:val="00EC7CEA"/>
    <w:rsid w:val="00ED319B"/>
    <w:rsid w:val="00ED359B"/>
    <w:rsid w:val="00ED3930"/>
    <w:rsid w:val="00ED5B88"/>
    <w:rsid w:val="00ED6BA0"/>
    <w:rsid w:val="00ED7E07"/>
    <w:rsid w:val="00EE1546"/>
    <w:rsid w:val="00EE17F7"/>
    <w:rsid w:val="00EE2252"/>
    <w:rsid w:val="00EE25DB"/>
    <w:rsid w:val="00EE4520"/>
    <w:rsid w:val="00EE5E62"/>
    <w:rsid w:val="00EE5EC2"/>
    <w:rsid w:val="00EE6D17"/>
    <w:rsid w:val="00EE6E18"/>
    <w:rsid w:val="00EE7AF9"/>
    <w:rsid w:val="00EF0908"/>
    <w:rsid w:val="00EF188B"/>
    <w:rsid w:val="00EF2A08"/>
    <w:rsid w:val="00EF3F2E"/>
    <w:rsid w:val="00EF58EC"/>
    <w:rsid w:val="00EF67A0"/>
    <w:rsid w:val="00EF6C41"/>
    <w:rsid w:val="00EF787F"/>
    <w:rsid w:val="00F02747"/>
    <w:rsid w:val="00F031B0"/>
    <w:rsid w:val="00F032C8"/>
    <w:rsid w:val="00F05532"/>
    <w:rsid w:val="00F10C1F"/>
    <w:rsid w:val="00F11B41"/>
    <w:rsid w:val="00F11B55"/>
    <w:rsid w:val="00F12B72"/>
    <w:rsid w:val="00F1327A"/>
    <w:rsid w:val="00F1390A"/>
    <w:rsid w:val="00F144C9"/>
    <w:rsid w:val="00F166D3"/>
    <w:rsid w:val="00F222A6"/>
    <w:rsid w:val="00F22613"/>
    <w:rsid w:val="00F239FA"/>
    <w:rsid w:val="00F23B03"/>
    <w:rsid w:val="00F24244"/>
    <w:rsid w:val="00F258F0"/>
    <w:rsid w:val="00F25C1C"/>
    <w:rsid w:val="00F31D7B"/>
    <w:rsid w:val="00F35C6C"/>
    <w:rsid w:val="00F36876"/>
    <w:rsid w:val="00F368F0"/>
    <w:rsid w:val="00F37386"/>
    <w:rsid w:val="00F377A6"/>
    <w:rsid w:val="00F424AA"/>
    <w:rsid w:val="00F4348E"/>
    <w:rsid w:val="00F447A9"/>
    <w:rsid w:val="00F456D3"/>
    <w:rsid w:val="00F46ABC"/>
    <w:rsid w:val="00F47DDC"/>
    <w:rsid w:val="00F50965"/>
    <w:rsid w:val="00F50EF5"/>
    <w:rsid w:val="00F528EA"/>
    <w:rsid w:val="00F52C03"/>
    <w:rsid w:val="00F52DBF"/>
    <w:rsid w:val="00F544B8"/>
    <w:rsid w:val="00F547A3"/>
    <w:rsid w:val="00F55E4F"/>
    <w:rsid w:val="00F55EEE"/>
    <w:rsid w:val="00F56515"/>
    <w:rsid w:val="00F57F67"/>
    <w:rsid w:val="00F60057"/>
    <w:rsid w:val="00F601BE"/>
    <w:rsid w:val="00F60EE7"/>
    <w:rsid w:val="00F624E2"/>
    <w:rsid w:val="00F631B3"/>
    <w:rsid w:val="00F64305"/>
    <w:rsid w:val="00F6474D"/>
    <w:rsid w:val="00F6606A"/>
    <w:rsid w:val="00F674EE"/>
    <w:rsid w:val="00F7007E"/>
    <w:rsid w:val="00F70412"/>
    <w:rsid w:val="00F713BE"/>
    <w:rsid w:val="00F7154E"/>
    <w:rsid w:val="00F71BC3"/>
    <w:rsid w:val="00F71E8E"/>
    <w:rsid w:val="00F72DB0"/>
    <w:rsid w:val="00F76060"/>
    <w:rsid w:val="00F77A67"/>
    <w:rsid w:val="00F8052E"/>
    <w:rsid w:val="00F82806"/>
    <w:rsid w:val="00F82B8B"/>
    <w:rsid w:val="00F82CF0"/>
    <w:rsid w:val="00F85150"/>
    <w:rsid w:val="00F8570B"/>
    <w:rsid w:val="00F85B36"/>
    <w:rsid w:val="00F870FF"/>
    <w:rsid w:val="00F8750A"/>
    <w:rsid w:val="00F87951"/>
    <w:rsid w:val="00F87F9B"/>
    <w:rsid w:val="00F90C42"/>
    <w:rsid w:val="00F90DCD"/>
    <w:rsid w:val="00F91808"/>
    <w:rsid w:val="00F92A99"/>
    <w:rsid w:val="00F92B9D"/>
    <w:rsid w:val="00F93027"/>
    <w:rsid w:val="00F9551C"/>
    <w:rsid w:val="00F96113"/>
    <w:rsid w:val="00F9697E"/>
    <w:rsid w:val="00F975F0"/>
    <w:rsid w:val="00F977FD"/>
    <w:rsid w:val="00FA1E98"/>
    <w:rsid w:val="00FA2361"/>
    <w:rsid w:val="00FA2505"/>
    <w:rsid w:val="00FA4E1F"/>
    <w:rsid w:val="00FA4F0C"/>
    <w:rsid w:val="00FA4FB3"/>
    <w:rsid w:val="00FA54C8"/>
    <w:rsid w:val="00FA757F"/>
    <w:rsid w:val="00FB14C2"/>
    <w:rsid w:val="00FB1FCF"/>
    <w:rsid w:val="00FB6074"/>
    <w:rsid w:val="00FB6820"/>
    <w:rsid w:val="00FB6DD7"/>
    <w:rsid w:val="00FB741F"/>
    <w:rsid w:val="00FC23EC"/>
    <w:rsid w:val="00FC3DCD"/>
    <w:rsid w:val="00FC4604"/>
    <w:rsid w:val="00FC62D3"/>
    <w:rsid w:val="00FC638E"/>
    <w:rsid w:val="00FC66DD"/>
    <w:rsid w:val="00FC69BE"/>
    <w:rsid w:val="00FC6EC9"/>
    <w:rsid w:val="00FC7E86"/>
    <w:rsid w:val="00FD160B"/>
    <w:rsid w:val="00FD16EE"/>
    <w:rsid w:val="00FD187B"/>
    <w:rsid w:val="00FD1CC9"/>
    <w:rsid w:val="00FD2A49"/>
    <w:rsid w:val="00FD32D3"/>
    <w:rsid w:val="00FD7195"/>
    <w:rsid w:val="00FE0B63"/>
    <w:rsid w:val="00FE123C"/>
    <w:rsid w:val="00FE2377"/>
    <w:rsid w:val="00FE277E"/>
    <w:rsid w:val="00FE34EB"/>
    <w:rsid w:val="00FE38E1"/>
    <w:rsid w:val="00FE4ED7"/>
    <w:rsid w:val="00FF3861"/>
    <w:rsid w:val="00FF407B"/>
    <w:rsid w:val="00FF6505"/>
    <w:rsid w:val="00FF71E6"/>
    <w:rsid w:val="00FF7C00"/>
    <w:rsid w:val="00FF7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6E96"/>
  <w15:docId w15:val="{C5900F1A-33D9-482B-B216-C7C0CA21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B1"/>
    <w:pPr>
      <w:spacing w:after="160" w:line="480" w:lineRule="auto"/>
    </w:pPr>
    <w:rPr>
      <w:rFonts w:ascii="Times New Roman" w:hAnsi="Times New Roman"/>
      <w:sz w:val="24"/>
      <w:szCs w:val="22"/>
      <w:lang w:val="et-EE" w:eastAsia="en-US"/>
    </w:rPr>
  </w:style>
  <w:style w:type="paragraph" w:styleId="Heading1">
    <w:name w:val="heading 1"/>
    <w:basedOn w:val="Normal"/>
    <w:next w:val="Normal"/>
    <w:link w:val="Heading1Char"/>
    <w:uiPriority w:val="9"/>
    <w:qFormat/>
    <w:rsid w:val="00536006"/>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536006"/>
    <w:pPr>
      <w:keepNext/>
      <w:keepLines/>
      <w:spacing w:before="40" w:after="0"/>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6006"/>
    <w:rPr>
      <w:rFonts w:ascii="Times New Roman" w:eastAsia="Times New Roman" w:hAnsi="Times New Roman" w:cs="Times New Roman"/>
      <w:b/>
      <w:sz w:val="24"/>
      <w:szCs w:val="32"/>
      <w:lang w:val="et-EE"/>
    </w:rPr>
  </w:style>
  <w:style w:type="character" w:customStyle="1" w:styleId="Heading2Char">
    <w:name w:val="Heading 2 Char"/>
    <w:link w:val="Heading2"/>
    <w:uiPriority w:val="9"/>
    <w:rsid w:val="00536006"/>
    <w:rPr>
      <w:rFonts w:ascii="Times New Roman" w:eastAsia="Times New Roman" w:hAnsi="Times New Roman" w:cs="Times New Roman"/>
      <w:b/>
      <w:sz w:val="24"/>
      <w:szCs w:val="26"/>
      <w:lang w:val="et-EE"/>
    </w:rPr>
  </w:style>
  <w:style w:type="paragraph" w:styleId="Header">
    <w:name w:val="header"/>
    <w:basedOn w:val="Normal"/>
    <w:link w:val="HeaderChar"/>
    <w:uiPriority w:val="99"/>
    <w:unhideWhenUsed/>
    <w:rsid w:val="00536006"/>
    <w:pPr>
      <w:tabs>
        <w:tab w:val="center" w:pos="4680"/>
        <w:tab w:val="right" w:pos="9360"/>
      </w:tabs>
      <w:spacing w:after="0" w:line="240" w:lineRule="auto"/>
    </w:pPr>
  </w:style>
  <w:style w:type="character" w:customStyle="1" w:styleId="HeaderChar">
    <w:name w:val="Header Char"/>
    <w:link w:val="Header"/>
    <w:uiPriority w:val="99"/>
    <w:rsid w:val="00536006"/>
    <w:rPr>
      <w:rFonts w:ascii="Times New Roman" w:hAnsi="Times New Roman"/>
      <w:sz w:val="24"/>
      <w:lang w:val="et-EE"/>
    </w:rPr>
  </w:style>
  <w:style w:type="paragraph" w:styleId="Footer">
    <w:name w:val="footer"/>
    <w:basedOn w:val="Normal"/>
    <w:link w:val="FooterChar"/>
    <w:uiPriority w:val="99"/>
    <w:unhideWhenUsed/>
    <w:rsid w:val="00536006"/>
    <w:pPr>
      <w:tabs>
        <w:tab w:val="center" w:pos="4680"/>
        <w:tab w:val="right" w:pos="9360"/>
      </w:tabs>
      <w:spacing w:after="0" w:line="240" w:lineRule="auto"/>
    </w:pPr>
  </w:style>
  <w:style w:type="character" w:customStyle="1" w:styleId="FooterChar">
    <w:name w:val="Footer Char"/>
    <w:link w:val="Footer"/>
    <w:uiPriority w:val="99"/>
    <w:rsid w:val="00536006"/>
    <w:rPr>
      <w:rFonts w:ascii="Times New Roman" w:hAnsi="Times New Roman"/>
      <w:sz w:val="24"/>
      <w:lang w:val="et-EE"/>
    </w:rPr>
  </w:style>
  <w:style w:type="paragraph" w:customStyle="1" w:styleId="Default">
    <w:name w:val="Default"/>
    <w:rsid w:val="00536006"/>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536006"/>
    <w:pPr>
      <w:spacing w:before="100" w:beforeAutospacing="1" w:after="100" w:afterAutospacing="1" w:line="240" w:lineRule="auto"/>
    </w:pPr>
    <w:rPr>
      <w:rFonts w:eastAsia="Times New Roman"/>
      <w:szCs w:val="24"/>
      <w:lang w:val="en-US"/>
    </w:rPr>
  </w:style>
  <w:style w:type="character" w:styleId="CommentReference">
    <w:name w:val="annotation reference"/>
    <w:uiPriority w:val="99"/>
    <w:semiHidden/>
    <w:unhideWhenUsed/>
    <w:rsid w:val="00536006"/>
    <w:rPr>
      <w:sz w:val="16"/>
      <w:szCs w:val="16"/>
    </w:rPr>
  </w:style>
  <w:style w:type="paragraph" w:styleId="CommentText">
    <w:name w:val="annotation text"/>
    <w:basedOn w:val="Normal"/>
    <w:link w:val="CommentTextChar"/>
    <w:uiPriority w:val="99"/>
    <w:unhideWhenUsed/>
    <w:rsid w:val="00536006"/>
    <w:pPr>
      <w:spacing w:line="240" w:lineRule="auto"/>
    </w:pPr>
    <w:rPr>
      <w:sz w:val="20"/>
      <w:szCs w:val="20"/>
    </w:rPr>
  </w:style>
  <w:style w:type="character" w:customStyle="1" w:styleId="CommentTextChar">
    <w:name w:val="Comment Text Char"/>
    <w:link w:val="CommentText"/>
    <w:uiPriority w:val="99"/>
    <w:rsid w:val="00536006"/>
    <w:rPr>
      <w:rFonts w:ascii="Times New Roman" w:hAnsi="Times New Roman"/>
      <w:sz w:val="20"/>
      <w:szCs w:val="20"/>
      <w:lang w:val="et-EE"/>
    </w:rPr>
  </w:style>
  <w:style w:type="paragraph" w:styleId="CommentSubject">
    <w:name w:val="annotation subject"/>
    <w:basedOn w:val="CommentText"/>
    <w:next w:val="CommentText"/>
    <w:link w:val="CommentSubjectChar"/>
    <w:uiPriority w:val="99"/>
    <w:semiHidden/>
    <w:unhideWhenUsed/>
    <w:rsid w:val="00536006"/>
    <w:rPr>
      <w:b/>
      <w:bCs/>
    </w:rPr>
  </w:style>
  <w:style w:type="character" w:customStyle="1" w:styleId="CommentSubjectChar">
    <w:name w:val="Comment Subject Char"/>
    <w:link w:val="CommentSubject"/>
    <w:uiPriority w:val="99"/>
    <w:semiHidden/>
    <w:rsid w:val="00536006"/>
    <w:rPr>
      <w:rFonts w:ascii="Times New Roman" w:hAnsi="Times New Roman"/>
      <w:b/>
      <w:bCs/>
      <w:sz w:val="20"/>
      <w:szCs w:val="20"/>
      <w:lang w:val="et-EE"/>
    </w:rPr>
  </w:style>
  <w:style w:type="paragraph" w:styleId="BalloonText">
    <w:name w:val="Balloon Text"/>
    <w:basedOn w:val="Normal"/>
    <w:link w:val="BalloonTextChar"/>
    <w:uiPriority w:val="99"/>
    <w:semiHidden/>
    <w:unhideWhenUsed/>
    <w:rsid w:val="005360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6006"/>
    <w:rPr>
      <w:rFonts w:ascii="Segoe UI" w:hAnsi="Segoe UI" w:cs="Segoe UI"/>
      <w:sz w:val="18"/>
      <w:szCs w:val="18"/>
      <w:lang w:val="et-EE"/>
    </w:rPr>
  </w:style>
  <w:style w:type="character" w:styleId="LineNumber">
    <w:name w:val="line number"/>
    <w:uiPriority w:val="99"/>
    <w:semiHidden/>
    <w:unhideWhenUsed/>
    <w:rsid w:val="00536006"/>
  </w:style>
  <w:style w:type="character" w:styleId="PlaceholderText">
    <w:name w:val="Placeholder Text"/>
    <w:uiPriority w:val="99"/>
    <w:semiHidden/>
    <w:rsid w:val="00536006"/>
    <w:rPr>
      <w:color w:val="808080"/>
    </w:rPr>
  </w:style>
  <w:style w:type="paragraph" w:styleId="ListParagraph">
    <w:name w:val="List Paragraph"/>
    <w:basedOn w:val="Normal"/>
    <w:uiPriority w:val="34"/>
    <w:qFormat/>
    <w:rsid w:val="00536006"/>
    <w:pPr>
      <w:ind w:left="720"/>
      <w:contextualSpacing/>
    </w:pPr>
  </w:style>
  <w:style w:type="paragraph" w:customStyle="1" w:styleId="aspStandardtext">
    <w:name w:val="asp_Standardtext"/>
    <w:basedOn w:val="Normal"/>
    <w:rsid w:val="00536006"/>
    <w:pPr>
      <w:overflowPunct w:val="0"/>
      <w:autoSpaceDE w:val="0"/>
      <w:autoSpaceDN w:val="0"/>
      <w:adjustRightInd w:val="0"/>
      <w:spacing w:before="60" w:after="60" w:line="300" w:lineRule="exact"/>
      <w:jc w:val="both"/>
      <w:textAlignment w:val="baseline"/>
    </w:pPr>
    <w:rPr>
      <w:rFonts w:ascii="Arial" w:eastAsia="Times New Roman" w:hAnsi="Arial" w:cs="Arial"/>
      <w:szCs w:val="24"/>
      <w:lang w:val="de-DE" w:eastAsia="de-DE"/>
    </w:rPr>
  </w:style>
  <w:style w:type="paragraph" w:customStyle="1" w:styleId="aspTitel">
    <w:name w:val="asp_Titel"/>
    <w:basedOn w:val="Heading1"/>
    <w:next w:val="Normal"/>
    <w:rsid w:val="00536006"/>
    <w:pPr>
      <w:keepNext w:val="0"/>
      <w:keepLines w:val="0"/>
      <w:overflowPunct w:val="0"/>
      <w:autoSpaceDE w:val="0"/>
      <w:autoSpaceDN w:val="0"/>
      <w:adjustRightInd w:val="0"/>
      <w:spacing w:before="0" w:after="240" w:line="360" w:lineRule="exact"/>
      <w:textAlignment w:val="baseline"/>
    </w:pPr>
    <w:rPr>
      <w:rFonts w:ascii="Arial" w:hAnsi="Arial" w:cs="Arial"/>
      <w:kern w:val="32"/>
      <w:sz w:val="28"/>
      <w:szCs w:val="20"/>
      <w:lang w:val="de-DE" w:eastAsia="de-DE"/>
    </w:rPr>
  </w:style>
  <w:style w:type="table" w:styleId="TableGrid">
    <w:name w:val="Table Grid"/>
    <w:basedOn w:val="TableNormal"/>
    <w:uiPriority w:val="39"/>
    <w:rsid w:val="0053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536006"/>
  </w:style>
  <w:style w:type="paragraph" w:styleId="Revision">
    <w:name w:val="Revision"/>
    <w:hidden/>
    <w:uiPriority w:val="99"/>
    <w:semiHidden/>
    <w:rsid w:val="00536006"/>
    <w:rPr>
      <w:rFonts w:ascii="Times New Roman" w:hAnsi="Times New Roman"/>
      <w:sz w:val="24"/>
      <w:szCs w:val="22"/>
      <w:lang w:val="et-EE" w:eastAsia="en-US"/>
    </w:rPr>
  </w:style>
  <w:style w:type="table" w:customStyle="1" w:styleId="TableGrid11">
    <w:name w:val="Table Grid11"/>
    <w:basedOn w:val="TableNormal"/>
    <w:next w:val="TableGrid"/>
    <w:uiPriority w:val="59"/>
    <w:rsid w:val="00961A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252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5254"/>
    <w:rPr>
      <w:rFonts w:ascii="Tahoma" w:hAnsi="Tahoma" w:cs="Tahoma"/>
      <w:sz w:val="16"/>
      <w:szCs w:val="16"/>
      <w:lang w:val="et-EE" w:eastAsia="en-US"/>
    </w:rPr>
  </w:style>
  <w:style w:type="character" w:styleId="Hyperlink">
    <w:name w:val="Hyperlink"/>
    <w:basedOn w:val="DefaultParagraphFont"/>
    <w:uiPriority w:val="99"/>
    <w:unhideWhenUsed/>
    <w:rsid w:val="00D21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10243">
      <w:bodyDiv w:val="1"/>
      <w:marLeft w:val="0"/>
      <w:marRight w:val="0"/>
      <w:marTop w:val="0"/>
      <w:marBottom w:val="0"/>
      <w:divBdr>
        <w:top w:val="none" w:sz="0" w:space="0" w:color="auto"/>
        <w:left w:val="none" w:sz="0" w:space="0" w:color="auto"/>
        <w:bottom w:val="none" w:sz="0" w:space="0" w:color="auto"/>
        <w:right w:val="none" w:sz="0" w:space="0" w:color="auto"/>
      </w:divBdr>
    </w:div>
    <w:div w:id="1473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2B14-6DA7-415B-B7AD-1671861F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10789</Words>
  <Characters>61498</Characters>
  <Application>Microsoft Office Word</Application>
  <DocSecurity>0</DocSecurity>
  <Lines>512</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c:creator>
  <cp:keywords/>
  <dc:description/>
  <cp:lastModifiedBy>Epro, Gaspar</cp:lastModifiedBy>
  <cp:revision>159</cp:revision>
  <dcterms:created xsi:type="dcterms:W3CDTF">2018-02-19T13:56:00Z</dcterms:created>
  <dcterms:modified xsi:type="dcterms:W3CDTF">2018-02-20T15:47:00Z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vt:lpwstr>
  </property>
  <property fmtid="{D5CDD505-2E9C-101B-9397-08002B2CF9AE}" pid="3" name="Mendeley Recent Style Name 0_1">
    <vt:lpwstr>AGE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http://www.zotero.org/styles/journal-of-applied-physiology</vt:lpwstr>
  </property>
  <property fmtid="{D5CDD505-2E9C-101B-9397-08002B2CF9AE}" pid="13" name="Mendeley Recent Style Name 5_1">
    <vt:lpwstr>Journal of Applied Physiology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http://www.zotero.org/styles/the-journal-of-experimental-biology</vt:lpwstr>
  </property>
  <property fmtid="{D5CDD505-2E9C-101B-9397-08002B2CF9AE}" pid="19" name="Mendeley Recent Style Name 8_1">
    <vt:lpwstr>The Journal of Experimental Biology</vt:lpwstr>
  </property>
  <property fmtid="{D5CDD505-2E9C-101B-9397-08002B2CF9AE}" pid="20" name="Mendeley Recent Style Id 9_1">
    <vt:lpwstr>http://www.zotero.org/styles/the-journals-of-gerontology-series-a</vt:lpwstr>
  </property>
  <property fmtid="{D5CDD505-2E9C-101B-9397-08002B2CF9AE}" pid="21" name="Mendeley Recent Style Name 9_1">
    <vt:lpwstr>The Journals of Gerontology, Series A: Biological Sciences and Medical Sciences</vt:lpwstr>
  </property>
</Properties>
</file>