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397C" w14:textId="14AE3B3D" w:rsidR="00BF6087" w:rsidRPr="00A25023" w:rsidRDefault="00BF6087" w:rsidP="00BF6087">
      <w:pPr>
        <w:spacing w:line="360" w:lineRule="auto"/>
        <w:rPr>
          <w:b/>
          <w:sz w:val="24"/>
          <w:szCs w:val="24"/>
        </w:rPr>
      </w:pPr>
      <w:r w:rsidRPr="00A25023">
        <w:rPr>
          <w:b/>
          <w:sz w:val="24"/>
          <w:szCs w:val="24"/>
        </w:rPr>
        <w:t>Title Page</w:t>
      </w:r>
    </w:p>
    <w:p w14:paraId="6E8B3C4F" w14:textId="23A17573" w:rsidR="00BF6087" w:rsidRPr="00A25023" w:rsidRDefault="00BF6087" w:rsidP="00BF6087">
      <w:pPr>
        <w:spacing w:line="360" w:lineRule="auto"/>
        <w:rPr>
          <w:sz w:val="24"/>
          <w:szCs w:val="24"/>
        </w:rPr>
      </w:pPr>
      <w:r w:rsidRPr="00A25023">
        <w:rPr>
          <w:sz w:val="24"/>
          <w:szCs w:val="24"/>
        </w:rPr>
        <w:t>Modelling the Inflammatory Bowel Disease Specialist Nurse Workforce</w:t>
      </w:r>
      <w:r w:rsidR="007745F1" w:rsidRPr="00A25023">
        <w:rPr>
          <w:sz w:val="24"/>
          <w:szCs w:val="24"/>
        </w:rPr>
        <w:t xml:space="preserve"> standards</w:t>
      </w:r>
      <w:r w:rsidRPr="00A25023">
        <w:rPr>
          <w:sz w:val="24"/>
          <w:szCs w:val="24"/>
        </w:rPr>
        <w:t xml:space="preserve"> </w:t>
      </w:r>
      <w:r w:rsidR="007745F1" w:rsidRPr="00A25023">
        <w:rPr>
          <w:sz w:val="24"/>
          <w:szCs w:val="24"/>
        </w:rPr>
        <w:t xml:space="preserve">by determination of optimum caseloads </w:t>
      </w:r>
      <w:r w:rsidRPr="00A25023">
        <w:rPr>
          <w:sz w:val="24"/>
          <w:szCs w:val="24"/>
        </w:rPr>
        <w:t>in the United Kingdom.</w:t>
      </w:r>
    </w:p>
    <w:p w14:paraId="6E95A2F9" w14:textId="77777777" w:rsidR="00BF6087" w:rsidRPr="00A25023" w:rsidRDefault="00BF6087" w:rsidP="00BF6087">
      <w:pPr>
        <w:spacing w:line="360" w:lineRule="auto"/>
        <w:rPr>
          <w:b/>
          <w:sz w:val="24"/>
          <w:szCs w:val="24"/>
        </w:rPr>
      </w:pPr>
      <w:r w:rsidRPr="00A25023">
        <w:rPr>
          <w:b/>
          <w:sz w:val="24"/>
          <w:szCs w:val="24"/>
        </w:rPr>
        <w:t>Authors</w:t>
      </w:r>
    </w:p>
    <w:p w14:paraId="7D9A2975" w14:textId="05EAD41B" w:rsidR="00BF6087" w:rsidRPr="00A25023" w:rsidRDefault="00BF6087" w:rsidP="00BF6087">
      <w:pPr>
        <w:spacing w:line="360" w:lineRule="auto"/>
        <w:rPr>
          <w:sz w:val="24"/>
          <w:szCs w:val="24"/>
          <w:vertAlign w:val="superscript"/>
        </w:rPr>
      </w:pPr>
      <w:r w:rsidRPr="00A25023">
        <w:rPr>
          <w:sz w:val="24"/>
          <w:szCs w:val="24"/>
        </w:rPr>
        <w:t>Alison Leary</w:t>
      </w:r>
      <w:r w:rsidRPr="00A25023">
        <w:rPr>
          <w:sz w:val="24"/>
          <w:szCs w:val="24"/>
          <w:vertAlign w:val="superscript"/>
        </w:rPr>
        <w:t>1</w:t>
      </w:r>
      <w:r w:rsidRPr="00A25023">
        <w:rPr>
          <w:sz w:val="24"/>
          <w:szCs w:val="24"/>
        </w:rPr>
        <w:t>, Isobel Mason</w:t>
      </w:r>
      <w:r w:rsidRPr="00A25023">
        <w:rPr>
          <w:sz w:val="24"/>
          <w:szCs w:val="24"/>
          <w:vertAlign w:val="superscript"/>
        </w:rPr>
        <w:t>2, 3</w:t>
      </w:r>
      <w:r w:rsidRPr="00A25023">
        <w:rPr>
          <w:sz w:val="24"/>
          <w:szCs w:val="24"/>
        </w:rPr>
        <w:t xml:space="preserve"> and Geoffrey Punshon</w:t>
      </w:r>
      <w:r w:rsidRPr="00A25023">
        <w:rPr>
          <w:sz w:val="24"/>
          <w:szCs w:val="24"/>
          <w:vertAlign w:val="superscript"/>
        </w:rPr>
        <w:t>1</w:t>
      </w:r>
    </w:p>
    <w:p w14:paraId="1E356937" w14:textId="77777777" w:rsidR="00BF6087" w:rsidRPr="00A25023" w:rsidRDefault="00BF6087" w:rsidP="00BF6087">
      <w:pPr>
        <w:spacing w:line="360" w:lineRule="auto"/>
        <w:rPr>
          <w:sz w:val="24"/>
          <w:szCs w:val="24"/>
        </w:rPr>
      </w:pPr>
      <w:r w:rsidRPr="00A25023">
        <w:rPr>
          <w:sz w:val="24"/>
          <w:szCs w:val="24"/>
          <w:vertAlign w:val="superscript"/>
        </w:rPr>
        <w:t>1</w:t>
      </w:r>
      <w:r w:rsidRPr="00A25023">
        <w:rPr>
          <w:sz w:val="24"/>
          <w:szCs w:val="24"/>
        </w:rPr>
        <w:t xml:space="preserve"> London South Bank University, School of Health and Social Care, London SE1 0AA</w:t>
      </w:r>
    </w:p>
    <w:p w14:paraId="02121244" w14:textId="5E01777D" w:rsidR="00BF6087" w:rsidRPr="00A25023" w:rsidRDefault="00BF6087" w:rsidP="00BF6087">
      <w:pPr>
        <w:spacing w:line="360" w:lineRule="auto"/>
        <w:rPr>
          <w:sz w:val="24"/>
          <w:szCs w:val="24"/>
        </w:rPr>
      </w:pPr>
      <w:r w:rsidRPr="00A25023">
        <w:rPr>
          <w:sz w:val="24"/>
          <w:szCs w:val="24"/>
        </w:rPr>
        <w:t xml:space="preserve"> </w:t>
      </w:r>
      <w:r w:rsidRPr="00A25023">
        <w:rPr>
          <w:sz w:val="24"/>
          <w:szCs w:val="24"/>
          <w:vertAlign w:val="superscript"/>
        </w:rPr>
        <w:t>2</w:t>
      </w:r>
      <w:r w:rsidRPr="00A25023">
        <w:rPr>
          <w:sz w:val="24"/>
          <w:szCs w:val="24"/>
        </w:rPr>
        <w:t xml:space="preserve"> Crohn’s and Colitis UK, St. Alban’s, Herts AL1 3AW</w:t>
      </w:r>
    </w:p>
    <w:p w14:paraId="1DB06A94" w14:textId="5D1DDF04" w:rsidR="00BF6087" w:rsidRPr="00A25023" w:rsidRDefault="00BF6087" w:rsidP="00BF6087">
      <w:pPr>
        <w:spacing w:line="360" w:lineRule="auto"/>
        <w:rPr>
          <w:sz w:val="24"/>
          <w:szCs w:val="24"/>
        </w:rPr>
      </w:pPr>
      <w:r w:rsidRPr="00A25023">
        <w:rPr>
          <w:sz w:val="24"/>
          <w:szCs w:val="24"/>
          <w:vertAlign w:val="superscript"/>
        </w:rPr>
        <w:t>3</w:t>
      </w:r>
      <w:r w:rsidRPr="00A25023">
        <w:rPr>
          <w:sz w:val="24"/>
          <w:szCs w:val="24"/>
        </w:rPr>
        <w:t xml:space="preserve"> Royal Free Hospital NHS Trust, London NW3 2QG</w:t>
      </w:r>
    </w:p>
    <w:p w14:paraId="0A535F6C" w14:textId="77777777" w:rsidR="00BF6087" w:rsidRPr="00A25023" w:rsidRDefault="00BF6087" w:rsidP="00BF6087">
      <w:pPr>
        <w:spacing w:line="360" w:lineRule="auto"/>
        <w:rPr>
          <w:b/>
          <w:sz w:val="24"/>
          <w:szCs w:val="24"/>
        </w:rPr>
      </w:pPr>
      <w:r w:rsidRPr="00A25023">
        <w:rPr>
          <w:b/>
          <w:sz w:val="24"/>
          <w:szCs w:val="24"/>
        </w:rPr>
        <w:t>Contact details</w:t>
      </w:r>
    </w:p>
    <w:p w14:paraId="3B8065DD" w14:textId="77777777" w:rsidR="00BF6087" w:rsidRPr="00A25023" w:rsidRDefault="00BF6087" w:rsidP="00BF6087">
      <w:pPr>
        <w:spacing w:line="360" w:lineRule="auto"/>
        <w:rPr>
          <w:sz w:val="24"/>
          <w:szCs w:val="24"/>
        </w:rPr>
      </w:pPr>
      <w:r w:rsidRPr="00A25023">
        <w:rPr>
          <w:sz w:val="24"/>
          <w:szCs w:val="24"/>
        </w:rPr>
        <w:t xml:space="preserve">Alison Leary email: </w:t>
      </w:r>
      <w:hyperlink r:id="rId6" w:history="1">
        <w:r w:rsidRPr="00A25023">
          <w:rPr>
            <w:rStyle w:val="Hyperlink"/>
            <w:sz w:val="24"/>
            <w:szCs w:val="24"/>
          </w:rPr>
          <w:t>alisonleary@yahoo.com</w:t>
        </w:r>
      </w:hyperlink>
      <w:r w:rsidRPr="00A25023">
        <w:rPr>
          <w:sz w:val="24"/>
          <w:szCs w:val="24"/>
        </w:rPr>
        <w:t xml:space="preserve">. </w:t>
      </w:r>
    </w:p>
    <w:p w14:paraId="47D09F86" w14:textId="77777777" w:rsidR="00BF6087" w:rsidRPr="00A25023" w:rsidRDefault="00BF6087" w:rsidP="00BF6087">
      <w:pPr>
        <w:spacing w:line="360" w:lineRule="auto"/>
        <w:rPr>
          <w:sz w:val="24"/>
          <w:szCs w:val="24"/>
        </w:rPr>
      </w:pPr>
      <w:r w:rsidRPr="00A25023">
        <w:rPr>
          <w:sz w:val="24"/>
          <w:szCs w:val="24"/>
        </w:rPr>
        <w:t xml:space="preserve">Isobel Mason email: </w:t>
      </w:r>
      <w:hyperlink r:id="rId7" w:history="1">
        <w:r w:rsidRPr="00A25023">
          <w:rPr>
            <w:rStyle w:val="Hyperlink"/>
            <w:sz w:val="24"/>
            <w:szCs w:val="24"/>
          </w:rPr>
          <w:t>Isobel.Mason@CrohnsandColitis.org,uk</w:t>
        </w:r>
      </w:hyperlink>
      <w:r w:rsidRPr="00A25023">
        <w:rPr>
          <w:sz w:val="24"/>
          <w:szCs w:val="24"/>
        </w:rPr>
        <w:t xml:space="preserve"> </w:t>
      </w:r>
    </w:p>
    <w:p w14:paraId="2984B6D7" w14:textId="77777777" w:rsidR="00BF6087" w:rsidRPr="00A25023" w:rsidRDefault="00BF6087" w:rsidP="00BF6087">
      <w:pPr>
        <w:spacing w:line="360" w:lineRule="auto"/>
        <w:rPr>
          <w:sz w:val="24"/>
          <w:szCs w:val="24"/>
        </w:rPr>
      </w:pPr>
      <w:r w:rsidRPr="00A25023">
        <w:rPr>
          <w:sz w:val="24"/>
          <w:szCs w:val="24"/>
        </w:rPr>
        <w:t xml:space="preserve">Geoffrey Punshon email: </w:t>
      </w:r>
      <w:r w:rsidRPr="00A25023">
        <w:t>punshongeoff@yahoo.co.uk</w:t>
      </w:r>
    </w:p>
    <w:p w14:paraId="636723CE" w14:textId="77777777" w:rsidR="00BF6087" w:rsidRPr="00A25023" w:rsidRDefault="00BF6087" w:rsidP="00BF6087">
      <w:pPr>
        <w:spacing w:line="360" w:lineRule="auto"/>
        <w:rPr>
          <w:b/>
          <w:sz w:val="24"/>
          <w:szCs w:val="24"/>
        </w:rPr>
      </w:pPr>
      <w:r w:rsidRPr="00A25023">
        <w:rPr>
          <w:b/>
          <w:sz w:val="24"/>
          <w:szCs w:val="24"/>
        </w:rPr>
        <w:t>Short Title</w:t>
      </w:r>
    </w:p>
    <w:p w14:paraId="06D57D8A" w14:textId="77777777" w:rsidR="00BF6087" w:rsidRPr="00A25023" w:rsidRDefault="00BF6087" w:rsidP="00BF6087">
      <w:pPr>
        <w:spacing w:line="360" w:lineRule="auto"/>
        <w:rPr>
          <w:sz w:val="24"/>
          <w:szCs w:val="24"/>
        </w:rPr>
      </w:pPr>
      <w:r w:rsidRPr="00A25023">
        <w:rPr>
          <w:sz w:val="24"/>
          <w:szCs w:val="24"/>
        </w:rPr>
        <w:t>Modelling the IBD Specialist Nursing Workforce</w:t>
      </w:r>
    </w:p>
    <w:p w14:paraId="473DD998" w14:textId="77777777" w:rsidR="00BF6087" w:rsidRPr="00A25023" w:rsidRDefault="00BF6087" w:rsidP="00BF6087">
      <w:pPr>
        <w:spacing w:line="360" w:lineRule="auto"/>
        <w:rPr>
          <w:b/>
          <w:sz w:val="24"/>
          <w:szCs w:val="24"/>
        </w:rPr>
      </w:pPr>
      <w:r w:rsidRPr="00A25023">
        <w:rPr>
          <w:b/>
          <w:sz w:val="24"/>
          <w:szCs w:val="24"/>
        </w:rPr>
        <w:t>Abbreviations</w:t>
      </w:r>
    </w:p>
    <w:p w14:paraId="2AD17A7B" w14:textId="72FF3223" w:rsidR="00BF6087" w:rsidRPr="00A25023" w:rsidRDefault="00BF6087" w:rsidP="00BF6087">
      <w:pPr>
        <w:spacing w:line="360" w:lineRule="auto"/>
        <w:rPr>
          <w:sz w:val="24"/>
          <w:szCs w:val="24"/>
        </w:rPr>
      </w:pPr>
      <w:r w:rsidRPr="00A25023">
        <w:rPr>
          <w:rFonts w:eastAsiaTheme="minorEastAsia"/>
          <w:sz w:val="24"/>
          <w:szCs w:val="24"/>
        </w:rPr>
        <w:t xml:space="preserve">Full Time Equivalent (FTE); </w:t>
      </w:r>
      <w:r w:rsidRPr="00A25023">
        <w:rPr>
          <w:sz w:val="24"/>
          <w:szCs w:val="24"/>
        </w:rPr>
        <w:t xml:space="preserve">Inflammatory Bowel Disease (IBD); Multi-Disciplinary Team (MDT); </w:t>
      </w:r>
      <w:r w:rsidR="00710D88" w:rsidRPr="00A25023">
        <w:rPr>
          <w:sz w:val="24"/>
          <w:szCs w:val="24"/>
        </w:rPr>
        <w:t xml:space="preserve">Nurse Specialists (NS); </w:t>
      </w:r>
      <w:r w:rsidRPr="00A25023">
        <w:rPr>
          <w:sz w:val="24"/>
          <w:szCs w:val="24"/>
        </w:rPr>
        <w:t>Registered Nurse (RN); Royal College of Nursing (RCN)</w:t>
      </w:r>
    </w:p>
    <w:p w14:paraId="4154877E" w14:textId="77777777" w:rsidR="00BF6087" w:rsidRPr="00A25023" w:rsidRDefault="00BF6087" w:rsidP="00BF6087">
      <w:pPr>
        <w:spacing w:line="360" w:lineRule="auto"/>
        <w:rPr>
          <w:b/>
          <w:sz w:val="24"/>
          <w:szCs w:val="24"/>
        </w:rPr>
      </w:pPr>
      <w:r w:rsidRPr="00A25023">
        <w:rPr>
          <w:b/>
          <w:sz w:val="24"/>
          <w:szCs w:val="24"/>
        </w:rPr>
        <w:t>Address for correspondence</w:t>
      </w:r>
    </w:p>
    <w:p w14:paraId="62DEB933" w14:textId="77777777" w:rsidR="00BF6087" w:rsidRPr="00A25023" w:rsidRDefault="00BF6087" w:rsidP="00BF6087">
      <w:pPr>
        <w:spacing w:line="360" w:lineRule="auto"/>
        <w:rPr>
          <w:sz w:val="24"/>
          <w:szCs w:val="24"/>
        </w:rPr>
      </w:pPr>
      <w:r w:rsidRPr="00A25023">
        <w:rPr>
          <w:sz w:val="24"/>
          <w:szCs w:val="24"/>
        </w:rPr>
        <w:t>Geoffrey Punshon. Address: London South Bank University, School of Health and Social Care, 103 Borough Road, London SE1 0AA UK. Email:</w:t>
      </w:r>
      <w:r w:rsidRPr="00A25023">
        <w:t xml:space="preserve"> punshongeoff@yahoo.co.uk</w:t>
      </w:r>
      <w:r w:rsidRPr="00A25023">
        <w:rPr>
          <w:sz w:val="24"/>
          <w:szCs w:val="24"/>
        </w:rPr>
        <w:t>. Telephone/Fax: +44 (0)207 928 8989.</w:t>
      </w:r>
    </w:p>
    <w:p w14:paraId="1573BDDC" w14:textId="14475CB8" w:rsidR="00BF6087" w:rsidRPr="00A25023" w:rsidRDefault="00BF6087">
      <w:r w:rsidRPr="00A25023">
        <w:br w:type="page"/>
      </w:r>
    </w:p>
    <w:p w14:paraId="10BCB060" w14:textId="1EE8D724" w:rsidR="00BF6087" w:rsidRPr="00A25023" w:rsidRDefault="00BF6087" w:rsidP="00BF6087">
      <w:pPr>
        <w:rPr>
          <w:b/>
          <w:sz w:val="24"/>
          <w:szCs w:val="24"/>
        </w:rPr>
      </w:pPr>
      <w:r w:rsidRPr="00A25023">
        <w:rPr>
          <w:b/>
          <w:sz w:val="24"/>
          <w:szCs w:val="24"/>
        </w:rPr>
        <w:lastRenderedPageBreak/>
        <w:t>Abstract</w:t>
      </w:r>
    </w:p>
    <w:p w14:paraId="392F061A" w14:textId="77777777" w:rsidR="00BF6087" w:rsidRPr="00A25023" w:rsidRDefault="00BF6087" w:rsidP="00BF6087">
      <w:pPr>
        <w:spacing w:line="480" w:lineRule="auto"/>
        <w:rPr>
          <w:b/>
          <w:sz w:val="24"/>
          <w:szCs w:val="24"/>
        </w:rPr>
      </w:pPr>
      <w:r w:rsidRPr="00A25023">
        <w:rPr>
          <w:b/>
          <w:sz w:val="24"/>
          <w:szCs w:val="24"/>
        </w:rPr>
        <w:t>Background and Aims</w:t>
      </w:r>
    </w:p>
    <w:p w14:paraId="5C09EF9B" w14:textId="08948039" w:rsidR="00BF6087" w:rsidRPr="00A25023" w:rsidRDefault="00BF6087" w:rsidP="00BF6087">
      <w:pPr>
        <w:spacing w:line="480" w:lineRule="auto"/>
        <w:rPr>
          <w:sz w:val="24"/>
          <w:szCs w:val="24"/>
        </w:rPr>
      </w:pPr>
      <w:r w:rsidRPr="00A25023">
        <w:rPr>
          <w:sz w:val="24"/>
          <w:szCs w:val="24"/>
        </w:rPr>
        <w:t xml:space="preserve">Crohn’s disease and ulcerative colitis are the most common forms of inflammatory bowel disease affecting 1 in 250 of the population in the UK. It is accepted that access to a specialist nurse service improves patient experience and outcome. National Standards for inflammatory bowel disease care (2013) defined the number of nurse specialists required at 1.5 </w:t>
      </w:r>
      <w:r w:rsidR="00591CB5" w:rsidRPr="00A25023">
        <w:rPr>
          <w:sz w:val="24"/>
          <w:szCs w:val="24"/>
        </w:rPr>
        <w:t>full time equivalent</w:t>
      </w:r>
      <w:r w:rsidRPr="00A25023">
        <w:rPr>
          <w:sz w:val="24"/>
          <w:szCs w:val="24"/>
        </w:rPr>
        <w:t xml:space="preserve"> per 250,000 population. The aim of this study was to determine if these standards were being met and to publish a new, robust validated standard optimising the UK nursing workforce model</w:t>
      </w:r>
      <w:r w:rsidR="00591CB5" w:rsidRPr="00A25023">
        <w:rPr>
          <w:sz w:val="24"/>
          <w:szCs w:val="24"/>
        </w:rPr>
        <w:t>.</w:t>
      </w:r>
    </w:p>
    <w:p w14:paraId="0439F730" w14:textId="77777777" w:rsidR="00BF6087" w:rsidRPr="00A25023" w:rsidRDefault="00BF6087" w:rsidP="00BF6087">
      <w:pPr>
        <w:spacing w:line="480" w:lineRule="auto"/>
        <w:rPr>
          <w:b/>
          <w:sz w:val="24"/>
          <w:szCs w:val="24"/>
        </w:rPr>
      </w:pPr>
      <w:r w:rsidRPr="00A25023">
        <w:rPr>
          <w:b/>
          <w:sz w:val="24"/>
          <w:szCs w:val="24"/>
        </w:rPr>
        <w:t>Methods</w:t>
      </w:r>
    </w:p>
    <w:p w14:paraId="3ECC92CD" w14:textId="57AAC8AC" w:rsidR="00BF6087" w:rsidRPr="00A25023" w:rsidRDefault="00BF6087" w:rsidP="00BF6087">
      <w:pPr>
        <w:spacing w:line="480" w:lineRule="auto"/>
        <w:rPr>
          <w:b/>
          <w:sz w:val="24"/>
          <w:szCs w:val="24"/>
        </w:rPr>
      </w:pPr>
      <w:r w:rsidRPr="00A25023">
        <w:rPr>
          <w:sz w:val="24"/>
          <w:szCs w:val="24"/>
        </w:rPr>
        <w:t xml:space="preserve">Existing national data and specific workload and service data was collected from 164 IBD specialist nurses who completed a questionnaire designed to collect information on activity and complexity of work both done and undone. </w:t>
      </w:r>
    </w:p>
    <w:p w14:paraId="49289C50" w14:textId="77777777" w:rsidR="00BF6087" w:rsidRPr="00A25023" w:rsidRDefault="00BF6087" w:rsidP="00BF6087">
      <w:pPr>
        <w:spacing w:line="480" w:lineRule="auto"/>
        <w:rPr>
          <w:b/>
          <w:sz w:val="24"/>
          <w:szCs w:val="24"/>
        </w:rPr>
      </w:pPr>
      <w:r w:rsidRPr="00A25023">
        <w:rPr>
          <w:b/>
          <w:sz w:val="24"/>
          <w:szCs w:val="24"/>
        </w:rPr>
        <w:t>Results</w:t>
      </w:r>
    </w:p>
    <w:p w14:paraId="36017ABC" w14:textId="7CA116F5" w:rsidR="00BF6087" w:rsidRPr="00A25023" w:rsidRDefault="00BF6087" w:rsidP="00BF6087">
      <w:pPr>
        <w:spacing w:line="480" w:lineRule="auto"/>
        <w:rPr>
          <w:sz w:val="24"/>
          <w:szCs w:val="24"/>
        </w:rPr>
      </w:pPr>
      <w:r w:rsidRPr="00A25023">
        <w:rPr>
          <w:sz w:val="24"/>
          <w:szCs w:val="24"/>
        </w:rPr>
        <w:t xml:space="preserve">Data was received from all of the UK. </w:t>
      </w:r>
      <w:r w:rsidR="00591CB5" w:rsidRPr="00A25023">
        <w:rPr>
          <w:sz w:val="24"/>
          <w:szCs w:val="24"/>
        </w:rPr>
        <w:t>Thirty-six percent of</w:t>
      </w:r>
      <w:r w:rsidRPr="00A25023">
        <w:rPr>
          <w:sz w:val="24"/>
          <w:szCs w:val="24"/>
        </w:rPr>
        <w:t xml:space="preserve"> respondents were specialist nurses in the field for 3 years or less. </w:t>
      </w:r>
      <w:r w:rsidR="00415427" w:rsidRPr="00A25023">
        <w:rPr>
          <w:sz w:val="24"/>
          <w:szCs w:val="24"/>
        </w:rPr>
        <w:t>A</w:t>
      </w:r>
      <w:r w:rsidRPr="00A25023">
        <w:rPr>
          <w:sz w:val="24"/>
          <w:szCs w:val="24"/>
        </w:rPr>
        <w:t xml:space="preserve"> higher caseload than the recommended level</w:t>
      </w:r>
      <w:r w:rsidR="00415427" w:rsidRPr="00A25023">
        <w:rPr>
          <w:sz w:val="24"/>
          <w:szCs w:val="24"/>
        </w:rPr>
        <w:t xml:space="preserve"> was reported by 63% of respondents</w:t>
      </w:r>
      <w:r w:rsidRPr="00A25023">
        <w:rPr>
          <w:sz w:val="24"/>
          <w:szCs w:val="24"/>
        </w:rPr>
        <w:t xml:space="preserve">. </w:t>
      </w:r>
      <w:r w:rsidR="00710D88" w:rsidRPr="00A25023">
        <w:rPr>
          <w:sz w:val="24"/>
          <w:szCs w:val="24"/>
        </w:rPr>
        <w:t>U</w:t>
      </w:r>
      <w:r w:rsidRPr="00A25023">
        <w:rPr>
          <w:sz w:val="24"/>
          <w:szCs w:val="24"/>
        </w:rPr>
        <w:t>npaid overtime</w:t>
      </w:r>
      <w:r w:rsidR="00415427" w:rsidRPr="00A25023">
        <w:rPr>
          <w:sz w:val="24"/>
          <w:szCs w:val="24"/>
        </w:rPr>
        <w:t xml:space="preserve"> was </w:t>
      </w:r>
      <w:r w:rsidR="00710D88" w:rsidRPr="00A25023">
        <w:rPr>
          <w:sz w:val="24"/>
          <w:szCs w:val="24"/>
        </w:rPr>
        <w:t>regularly carried out by 84%</w:t>
      </w:r>
      <w:r w:rsidR="002D6A3C" w:rsidRPr="00A25023">
        <w:rPr>
          <w:sz w:val="24"/>
          <w:szCs w:val="24"/>
        </w:rPr>
        <w:t>of respondents</w:t>
      </w:r>
      <w:r w:rsidRPr="00A25023">
        <w:rPr>
          <w:sz w:val="24"/>
          <w:szCs w:val="24"/>
        </w:rPr>
        <w:t xml:space="preserve">.  </w:t>
      </w:r>
      <w:r w:rsidR="002D6A3C" w:rsidRPr="00A25023">
        <w:rPr>
          <w:sz w:val="24"/>
          <w:szCs w:val="24"/>
        </w:rPr>
        <w:t xml:space="preserve">The IBD specialist nurse was involved in all areas of the patient pathway. </w:t>
      </w:r>
      <w:r w:rsidRPr="00A25023">
        <w:rPr>
          <w:sz w:val="24"/>
          <w:szCs w:val="24"/>
        </w:rPr>
        <w:t xml:space="preserve">Areas of work left undone were psychological interventions, prescribing medicines and physical assessments. </w:t>
      </w:r>
    </w:p>
    <w:p w14:paraId="71CE57AF" w14:textId="77777777" w:rsidR="00BF6087" w:rsidRPr="00A25023" w:rsidRDefault="00BF6087" w:rsidP="00BF6087">
      <w:pPr>
        <w:spacing w:line="480" w:lineRule="auto"/>
        <w:rPr>
          <w:b/>
          <w:sz w:val="24"/>
          <w:szCs w:val="24"/>
        </w:rPr>
      </w:pPr>
      <w:r w:rsidRPr="00A25023">
        <w:rPr>
          <w:b/>
          <w:sz w:val="24"/>
          <w:szCs w:val="24"/>
        </w:rPr>
        <w:t>Conclusions</w:t>
      </w:r>
    </w:p>
    <w:p w14:paraId="1406C92A" w14:textId="550B2988" w:rsidR="00BF6087" w:rsidRPr="00A25023" w:rsidRDefault="00BF6087" w:rsidP="00BF6087">
      <w:pPr>
        <w:spacing w:line="480" w:lineRule="auto"/>
        <w:rPr>
          <w:sz w:val="24"/>
          <w:szCs w:val="24"/>
        </w:rPr>
      </w:pPr>
      <w:r w:rsidRPr="00A25023">
        <w:rPr>
          <w:sz w:val="24"/>
          <w:szCs w:val="24"/>
        </w:rPr>
        <w:lastRenderedPageBreak/>
        <w:t xml:space="preserve">Compared to other specialties IBD specialist nurses are less experienced. It is recommended that the current standard be increased to 2.5 </w:t>
      </w:r>
      <w:r w:rsidR="00591CB5" w:rsidRPr="00A25023">
        <w:rPr>
          <w:sz w:val="24"/>
          <w:szCs w:val="24"/>
        </w:rPr>
        <w:t xml:space="preserve">full time equivalent </w:t>
      </w:r>
      <w:r w:rsidRPr="00A25023">
        <w:rPr>
          <w:sz w:val="24"/>
          <w:szCs w:val="24"/>
        </w:rPr>
        <w:t>specialist nurses per 250,000. patients to mitigate for the increasing complexity of the role, care and the “rookie” factor.</w:t>
      </w:r>
    </w:p>
    <w:p w14:paraId="63601C02" w14:textId="77777777" w:rsidR="00BF6087" w:rsidRPr="00A25023" w:rsidRDefault="00BF6087" w:rsidP="00BF6087">
      <w:pPr>
        <w:spacing w:line="480" w:lineRule="auto"/>
        <w:rPr>
          <w:sz w:val="24"/>
          <w:szCs w:val="24"/>
        </w:rPr>
      </w:pPr>
      <w:r w:rsidRPr="00A25023">
        <w:rPr>
          <w:b/>
          <w:sz w:val="24"/>
          <w:szCs w:val="24"/>
        </w:rPr>
        <w:t xml:space="preserve">Keywords: </w:t>
      </w:r>
      <w:r w:rsidRPr="00A25023">
        <w:rPr>
          <w:sz w:val="24"/>
          <w:szCs w:val="24"/>
        </w:rPr>
        <w:t>Inflammatory Bowel Disease, Specialist Nurse, Workforce Modelling</w:t>
      </w:r>
    </w:p>
    <w:p w14:paraId="1F6DFD91" w14:textId="6248B882" w:rsidR="00E01866" w:rsidRPr="00A25023" w:rsidRDefault="00BF6087">
      <w:pPr>
        <w:rPr>
          <w:sz w:val="24"/>
          <w:szCs w:val="24"/>
        </w:rPr>
      </w:pPr>
      <w:r w:rsidRPr="00A25023">
        <w:rPr>
          <w:sz w:val="24"/>
          <w:szCs w:val="24"/>
        </w:rPr>
        <w:br w:type="page"/>
      </w:r>
      <w:r w:rsidRPr="00A25023">
        <w:rPr>
          <w:sz w:val="24"/>
          <w:szCs w:val="24"/>
        </w:rPr>
        <w:lastRenderedPageBreak/>
        <w:t xml:space="preserve">Title: </w:t>
      </w:r>
      <w:r w:rsidR="00B03C18" w:rsidRPr="00A25023">
        <w:rPr>
          <w:sz w:val="24"/>
          <w:szCs w:val="24"/>
        </w:rPr>
        <w:t>Modelling the Inflammatory Bowel Disease Specialist Nurse Workforce</w:t>
      </w:r>
      <w:r w:rsidR="007745F1" w:rsidRPr="00A25023">
        <w:rPr>
          <w:sz w:val="24"/>
          <w:szCs w:val="24"/>
        </w:rPr>
        <w:t xml:space="preserve"> standards</w:t>
      </w:r>
      <w:r w:rsidR="00B03C18" w:rsidRPr="00A25023">
        <w:rPr>
          <w:sz w:val="24"/>
          <w:szCs w:val="24"/>
        </w:rPr>
        <w:t xml:space="preserve"> </w:t>
      </w:r>
      <w:r w:rsidR="007745F1" w:rsidRPr="00A25023">
        <w:rPr>
          <w:sz w:val="24"/>
          <w:szCs w:val="24"/>
        </w:rPr>
        <w:t xml:space="preserve">by determination of optimum caseloads </w:t>
      </w:r>
      <w:r w:rsidR="00B03C18" w:rsidRPr="00A25023">
        <w:rPr>
          <w:sz w:val="24"/>
          <w:szCs w:val="24"/>
        </w:rPr>
        <w:t>in the United Kingdom.</w:t>
      </w:r>
    </w:p>
    <w:p w14:paraId="40278AB2" w14:textId="77777777" w:rsidR="00B03C18" w:rsidRPr="00A25023" w:rsidRDefault="00B03C18">
      <w:pPr>
        <w:rPr>
          <w:b/>
          <w:sz w:val="24"/>
          <w:szCs w:val="24"/>
        </w:rPr>
      </w:pPr>
    </w:p>
    <w:p w14:paraId="4D73B19E" w14:textId="72752BEF" w:rsidR="003146B9" w:rsidRPr="00A25023" w:rsidRDefault="003146B9">
      <w:pPr>
        <w:rPr>
          <w:sz w:val="24"/>
          <w:szCs w:val="24"/>
        </w:rPr>
      </w:pPr>
      <w:r w:rsidRPr="00A25023">
        <w:rPr>
          <w:b/>
          <w:sz w:val="24"/>
          <w:szCs w:val="24"/>
        </w:rPr>
        <w:t>Introduction</w:t>
      </w:r>
    </w:p>
    <w:p w14:paraId="2C6326F3" w14:textId="3F3CE33E" w:rsidR="00042F6C" w:rsidRPr="00A25023" w:rsidRDefault="001C412D" w:rsidP="00BF6087">
      <w:pPr>
        <w:spacing w:line="360" w:lineRule="auto"/>
        <w:rPr>
          <w:rFonts w:eastAsiaTheme="minorEastAsia"/>
          <w:sz w:val="24"/>
          <w:szCs w:val="24"/>
        </w:rPr>
      </w:pPr>
      <w:r w:rsidRPr="00A25023">
        <w:rPr>
          <w:rFonts w:eastAsiaTheme="minorEastAsia"/>
          <w:sz w:val="24"/>
          <w:szCs w:val="24"/>
        </w:rPr>
        <w:t xml:space="preserve">One of the most important challenges </w:t>
      </w:r>
      <w:r w:rsidR="00042F6C" w:rsidRPr="00A25023">
        <w:rPr>
          <w:rFonts w:eastAsiaTheme="minorEastAsia"/>
          <w:sz w:val="24"/>
          <w:szCs w:val="24"/>
        </w:rPr>
        <w:t>for the NHS in the UK and healthcare worldwide is to accurately calculate both the expertise and amount of time nurses require to care for different patient groups in a variety of environments. It is difficult to do this because nursing, in common with most human activities, is complex</w:t>
      </w:r>
      <w:r w:rsidR="00042F6C" w:rsidRPr="00A25023">
        <w:rPr>
          <w:rFonts w:eastAsiaTheme="minorEastAsia"/>
          <w:sz w:val="24"/>
          <w:szCs w:val="24"/>
          <w:vertAlign w:val="superscript"/>
        </w:rPr>
        <w:t>1,2</w:t>
      </w:r>
      <w:r w:rsidR="00F828BD" w:rsidRPr="00A25023">
        <w:rPr>
          <w:rFonts w:eastAsiaTheme="minorEastAsia"/>
          <w:sz w:val="24"/>
          <w:szCs w:val="24"/>
        </w:rPr>
        <w:t xml:space="preserve"> and dynamic. As a result, clarity over which information is even relevant to a proposed model may be challenging</w:t>
      </w:r>
      <w:r w:rsidR="00F828BD" w:rsidRPr="00A25023">
        <w:rPr>
          <w:rFonts w:eastAsiaTheme="minorEastAsia"/>
          <w:sz w:val="24"/>
          <w:szCs w:val="24"/>
          <w:vertAlign w:val="superscript"/>
        </w:rPr>
        <w:t>3</w:t>
      </w:r>
      <w:r w:rsidR="00F828BD" w:rsidRPr="00A25023">
        <w:rPr>
          <w:rFonts w:eastAsiaTheme="minorEastAsia"/>
          <w:sz w:val="24"/>
          <w:szCs w:val="24"/>
        </w:rPr>
        <w:t>.</w:t>
      </w:r>
    </w:p>
    <w:p w14:paraId="5AD2750E" w14:textId="284531EE" w:rsidR="00F828BD" w:rsidRPr="00A25023" w:rsidRDefault="00F828BD" w:rsidP="001D5371">
      <w:pPr>
        <w:spacing w:line="360" w:lineRule="auto"/>
        <w:rPr>
          <w:rFonts w:eastAsiaTheme="minorEastAsia"/>
          <w:sz w:val="24"/>
          <w:szCs w:val="24"/>
        </w:rPr>
      </w:pPr>
      <w:r w:rsidRPr="00A25023">
        <w:rPr>
          <w:rFonts w:eastAsiaTheme="minorEastAsia"/>
          <w:sz w:val="24"/>
          <w:szCs w:val="24"/>
        </w:rPr>
        <w:t xml:space="preserve">Despite the complexity of nursing work most approaches to examining the issue of nursing resource are </w:t>
      </w:r>
      <w:r w:rsidR="007745F1" w:rsidRPr="00A25023">
        <w:rPr>
          <w:rFonts w:eastAsiaTheme="minorEastAsia"/>
          <w:sz w:val="24"/>
          <w:szCs w:val="24"/>
        </w:rPr>
        <w:t xml:space="preserve">deterministic in </w:t>
      </w:r>
      <w:r w:rsidRPr="00A25023">
        <w:rPr>
          <w:rFonts w:eastAsiaTheme="minorEastAsia"/>
          <w:sz w:val="24"/>
          <w:szCs w:val="24"/>
        </w:rPr>
        <w:t>nature and involve variat</w:t>
      </w:r>
      <w:r w:rsidR="002D7E71" w:rsidRPr="00A25023">
        <w:rPr>
          <w:rFonts w:eastAsiaTheme="minorEastAsia"/>
          <w:sz w:val="24"/>
          <w:szCs w:val="24"/>
        </w:rPr>
        <w:t>ions of time and motion models in which time is filled with a linear series of tasks</w:t>
      </w:r>
      <w:r w:rsidR="002D7E71" w:rsidRPr="00A25023">
        <w:rPr>
          <w:rFonts w:eastAsiaTheme="minorEastAsia"/>
          <w:sz w:val="24"/>
          <w:szCs w:val="24"/>
          <w:vertAlign w:val="superscript"/>
        </w:rPr>
        <w:t>4</w:t>
      </w:r>
      <w:r w:rsidR="002D7E71" w:rsidRPr="00A25023">
        <w:rPr>
          <w:rFonts w:eastAsiaTheme="minorEastAsia"/>
          <w:sz w:val="24"/>
          <w:szCs w:val="24"/>
        </w:rPr>
        <w:t>.</w:t>
      </w:r>
    </w:p>
    <w:p w14:paraId="6A71D25D" w14:textId="5C96BD7B" w:rsidR="001D5371" w:rsidRPr="00A25023" w:rsidRDefault="001D5371" w:rsidP="001D5371">
      <w:pPr>
        <w:spacing w:line="360" w:lineRule="auto"/>
        <w:rPr>
          <w:rFonts w:eastAsiaTheme="minorEastAsia"/>
          <w:sz w:val="24"/>
          <w:szCs w:val="24"/>
        </w:rPr>
      </w:pPr>
      <w:r w:rsidRPr="00A25023">
        <w:rPr>
          <w:rFonts w:eastAsiaTheme="minorEastAsia"/>
          <w:sz w:val="24"/>
          <w:szCs w:val="24"/>
        </w:rPr>
        <w:t xml:space="preserve">The two most common forms of </w:t>
      </w:r>
      <w:bookmarkStart w:id="0" w:name="_Hlk512164145"/>
      <w:r w:rsidRPr="00A25023">
        <w:rPr>
          <w:rFonts w:eastAsiaTheme="minorEastAsia"/>
          <w:sz w:val="24"/>
          <w:szCs w:val="24"/>
        </w:rPr>
        <w:t xml:space="preserve">Inflammatory Bowel Disease (IBD) </w:t>
      </w:r>
      <w:bookmarkEnd w:id="0"/>
      <w:r w:rsidRPr="00A25023">
        <w:rPr>
          <w:rFonts w:eastAsiaTheme="minorEastAsia"/>
          <w:sz w:val="24"/>
          <w:szCs w:val="24"/>
        </w:rPr>
        <w:t>in the UK are Crohn’s Disease and Ulcerative Colitis which taken together affect around 1 in 250 of the population</w:t>
      </w:r>
      <w:r w:rsidR="00756D52" w:rsidRPr="00A25023">
        <w:rPr>
          <w:rFonts w:eastAsiaTheme="minorEastAsia"/>
          <w:sz w:val="24"/>
          <w:szCs w:val="24"/>
          <w:vertAlign w:val="superscript"/>
        </w:rPr>
        <w:t>5</w:t>
      </w:r>
      <w:r w:rsidRPr="00A25023">
        <w:rPr>
          <w:rFonts w:eastAsiaTheme="minorEastAsia"/>
          <w:sz w:val="24"/>
          <w:szCs w:val="24"/>
        </w:rPr>
        <w:t>. IBD is currently a lifelong condition as there is currently no cure. Half of all newly diagnosed patients will be in their teens and twenties</w:t>
      </w:r>
      <w:r w:rsidR="00FB09F4" w:rsidRPr="00A25023">
        <w:rPr>
          <w:rFonts w:eastAsiaTheme="minorEastAsia"/>
          <w:sz w:val="24"/>
          <w:szCs w:val="24"/>
          <w:vertAlign w:val="superscript"/>
        </w:rPr>
        <w:t>5</w:t>
      </w:r>
      <w:r w:rsidRPr="00A25023">
        <w:rPr>
          <w:rFonts w:eastAsiaTheme="minorEastAsia"/>
          <w:sz w:val="24"/>
          <w:szCs w:val="24"/>
        </w:rPr>
        <w:t xml:space="preserve">. </w:t>
      </w:r>
    </w:p>
    <w:p w14:paraId="2BA01D11" w14:textId="0203A9BF" w:rsidR="001D5371" w:rsidRPr="00A25023" w:rsidRDefault="001D5371" w:rsidP="001D5371">
      <w:pPr>
        <w:spacing w:line="360" w:lineRule="auto"/>
        <w:rPr>
          <w:rFonts w:eastAsiaTheme="minorEastAsia"/>
          <w:sz w:val="24"/>
          <w:szCs w:val="24"/>
        </w:rPr>
      </w:pPr>
      <w:r w:rsidRPr="00A25023">
        <w:rPr>
          <w:rFonts w:eastAsiaTheme="minorEastAsia"/>
          <w:sz w:val="24"/>
          <w:szCs w:val="24"/>
        </w:rPr>
        <w:t xml:space="preserve">It is widely accepted that access to effective IBD nurse specialist </w:t>
      </w:r>
      <w:r w:rsidR="00710D88" w:rsidRPr="00A25023">
        <w:rPr>
          <w:rFonts w:eastAsiaTheme="minorEastAsia"/>
          <w:sz w:val="24"/>
          <w:szCs w:val="24"/>
        </w:rPr>
        <w:t xml:space="preserve">(NS) </w:t>
      </w:r>
      <w:r w:rsidRPr="00A25023">
        <w:rPr>
          <w:rFonts w:eastAsiaTheme="minorEastAsia"/>
          <w:sz w:val="24"/>
          <w:szCs w:val="24"/>
        </w:rPr>
        <w:t xml:space="preserve">services improves experience and </w:t>
      </w:r>
      <w:r w:rsidR="002477A7" w:rsidRPr="00A25023">
        <w:rPr>
          <w:rFonts w:eastAsiaTheme="minorEastAsia"/>
          <w:sz w:val="24"/>
          <w:szCs w:val="24"/>
        </w:rPr>
        <w:t>clinical outcomes for patients</w:t>
      </w:r>
      <w:r w:rsidR="00FB09F4" w:rsidRPr="00A25023">
        <w:rPr>
          <w:rFonts w:eastAsiaTheme="minorEastAsia"/>
          <w:sz w:val="24"/>
          <w:szCs w:val="24"/>
          <w:vertAlign w:val="superscript"/>
        </w:rPr>
        <w:t>6</w:t>
      </w:r>
      <w:r w:rsidRPr="00A25023">
        <w:rPr>
          <w:rFonts w:eastAsiaTheme="minorEastAsia"/>
          <w:sz w:val="24"/>
          <w:szCs w:val="24"/>
        </w:rPr>
        <w:t xml:space="preserve">. Patients often describe their IBD </w:t>
      </w:r>
      <w:r w:rsidR="00710D88" w:rsidRPr="00A25023">
        <w:rPr>
          <w:rFonts w:eastAsiaTheme="minorEastAsia"/>
          <w:sz w:val="24"/>
          <w:szCs w:val="24"/>
        </w:rPr>
        <w:t>NS</w:t>
      </w:r>
      <w:r w:rsidRPr="00A25023">
        <w:rPr>
          <w:rFonts w:eastAsiaTheme="minorEastAsia"/>
          <w:sz w:val="24"/>
          <w:szCs w:val="24"/>
        </w:rPr>
        <w:t xml:space="preserve"> service as a lifeline. The National Standards for IBD Care</w:t>
      </w:r>
      <w:r w:rsidR="00FB09F4" w:rsidRPr="00A25023">
        <w:rPr>
          <w:rFonts w:eastAsiaTheme="minorEastAsia"/>
          <w:sz w:val="24"/>
          <w:szCs w:val="24"/>
          <w:vertAlign w:val="superscript"/>
        </w:rPr>
        <w:t>7</w:t>
      </w:r>
      <w:r w:rsidRPr="00A25023">
        <w:rPr>
          <w:rFonts w:eastAsiaTheme="minorEastAsia"/>
          <w:sz w:val="24"/>
          <w:szCs w:val="24"/>
        </w:rPr>
        <w:t xml:space="preserve"> first defined the numbers of </w:t>
      </w:r>
      <w:r w:rsidR="00710D88" w:rsidRPr="00A25023">
        <w:rPr>
          <w:rFonts w:eastAsiaTheme="minorEastAsia"/>
          <w:sz w:val="24"/>
          <w:szCs w:val="24"/>
        </w:rPr>
        <w:t>NS</w:t>
      </w:r>
      <w:r w:rsidRPr="00A25023">
        <w:rPr>
          <w:rFonts w:eastAsiaTheme="minorEastAsia"/>
          <w:sz w:val="24"/>
          <w:szCs w:val="24"/>
        </w:rPr>
        <w:t xml:space="preserve"> required as 1.5 </w:t>
      </w:r>
      <w:bookmarkStart w:id="1" w:name="_Hlk512164174"/>
      <w:r w:rsidR="00223AF6" w:rsidRPr="00A25023">
        <w:rPr>
          <w:rFonts w:eastAsiaTheme="minorEastAsia"/>
          <w:sz w:val="24"/>
          <w:szCs w:val="24"/>
        </w:rPr>
        <w:t>full time equivalent (</w:t>
      </w:r>
      <w:r w:rsidRPr="00A25023">
        <w:rPr>
          <w:rFonts w:eastAsiaTheme="minorEastAsia"/>
          <w:sz w:val="24"/>
          <w:szCs w:val="24"/>
        </w:rPr>
        <w:t>FTE</w:t>
      </w:r>
      <w:r w:rsidR="00223AF6" w:rsidRPr="00A25023">
        <w:rPr>
          <w:rFonts w:eastAsiaTheme="minorEastAsia"/>
          <w:sz w:val="24"/>
          <w:szCs w:val="24"/>
        </w:rPr>
        <w:t>)</w:t>
      </w:r>
      <w:bookmarkEnd w:id="1"/>
      <w:r w:rsidRPr="00A25023">
        <w:rPr>
          <w:rFonts w:eastAsiaTheme="minorEastAsia"/>
          <w:sz w:val="24"/>
          <w:szCs w:val="24"/>
        </w:rPr>
        <w:t xml:space="preserve"> per 250,000 population</w:t>
      </w:r>
      <w:r w:rsidR="0065444B" w:rsidRPr="00A25023">
        <w:rPr>
          <w:rFonts w:eastAsiaTheme="minorEastAsia"/>
          <w:sz w:val="24"/>
          <w:szCs w:val="24"/>
        </w:rPr>
        <w:t>.</w:t>
      </w:r>
    </w:p>
    <w:p w14:paraId="3887E281" w14:textId="4F629C73" w:rsidR="003146B9" w:rsidRPr="00A25023" w:rsidRDefault="001D5371" w:rsidP="001D5371">
      <w:pPr>
        <w:spacing w:line="360" w:lineRule="auto"/>
        <w:rPr>
          <w:rFonts w:eastAsiaTheme="minorEastAsia"/>
          <w:sz w:val="24"/>
          <w:szCs w:val="24"/>
        </w:rPr>
      </w:pPr>
      <w:r w:rsidRPr="00A25023">
        <w:rPr>
          <w:rFonts w:eastAsiaTheme="minorEastAsia"/>
          <w:sz w:val="24"/>
          <w:szCs w:val="24"/>
        </w:rPr>
        <w:t>The current n</w:t>
      </w:r>
      <w:r w:rsidR="0020048E" w:rsidRPr="00A25023">
        <w:rPr>
          <w:rFonts w:eastAsiaTheme="minorEastAsia"/>
          <w:sz w:val="24"/>
          <w:szCs w:val="24"/>
        </w:rPr>
        <w:t>ational standards have been</w:t>
      </w:r>
      <w:r w:rsidRPr="00A25023">
        <w:rPr>
          <w:rFonts w:eastAsiaTheme="minorEastAsia"/>
          <w:sz w:val="24"/>
          <w:szCs w:val="24"/>
        </w:rPr>
        <w:t xml:space="preserve"> influential in increasing nursing numbers</w:t>
      </w:r>
      <w:r w:rsidR="00FB09F4" w:rsidRPr="00A25023">
        <w:rPr>
          <w:rFonts w:eastAsiaTheme="minorEastAsia"/>
          <w:sz w:val="24"/>
          <w:szCs w:val="24"/>
          <w:vertAlign w:val="superscript"/>
        </w:rPr>
        <w:t>7</w:t>
      </w:r>
      <w:r w:rsidR="00155D42" w:rsidRPr="00A25023">
        <w:rPr>
          <w:rFonts w:eastAsiaTheme="minorEastAsia"/>
          <w:sz w:val="24"/>
          <w:szCs w:val="24"/>
        </w:rPr>
        <w:t xml:space="preserve"> </w:t>
      </w:r>
      <w:r w:rsidRPr="00A25023">
        <w:rPr>
          <w:rFonts w:eastAsiaTheme="minorEastAsia"/>
          <w:sz w:val="24"/>
          <w:szCs w:val="24"/>
        </w:rPr>
        <w:t>howe</w:t>
      </w:r>
      <w:r w:rsidR="00C25DEA" w:rsidRPr="00A25023">
        <w:rPr>
          <w:rFonts w:eastAsiaTheme="minorEastAsia"/>
          <w:sz w:val="24"/>
          <w:szCs w:val="24"/>
        </w:rPr>
        <w:t>ver, they were a result of consensus rather than evidence</w:t>
      </w:r>
      <w:r w:rsidRPr="00A25023">
        <w:rPr>
          <w:rFonts w:eastAsiaTheme="minorEastAsia"/>
          <w:sz w:val="24"/>
          <w:szCs w:val="24"/>
        </w:rPr>
        <w:t xml:space="preserve">, and don’t reflect the complexity of </w:t>
      </w:r>
      <w:r w:rsidR="00710D88" w:rsidRPr="00A25023">
        <w:rPr>
          <w:rFonts w:eastAsiaTheme="minorEastAsia"/>
          <w:sz w:val="24"/>
          <w:szCs w:val="24"/>
        </w:rPr>
        <w:t>NS</w:t>
      </w:r>
      <w:r w:rsidRPr="00A25023">
        <w:rPr>
          <w:rFonts w:eastAsiaTheme="minorEastAsia"/>
          <w:sz w:val="24"/>
          <w:szCs w:val="24"/>
        </w:rPr>
        <w:t xml:space="preserve"> work.</w:t>
      </w:r>
    </w:p>
    <w:p w14:paraId="5FA43DE2" w14:textId="68635C29" w:rsidR="0020048E" w:rsidRPr="00A25023" w:rsidRDefault="0020048E" w:rsidP="001D5371">
      <w:pPr>
        <w:spacing w:line="360" w:lineRule="auto"/>
        <w:rPr>
          <w:rFonts w:eastAsiaTheme="minorEastAsia"/>
          <w:sz w:val="24"/>
          <w:szCs w:val="24"/>
        </w:rPr>
      </w:pPr>
      <w:r w:rsidRPr="00A25023">
        <w:rPr>
          <w:rFonts w:eastAsiaTheme="minorEastAsia"/>
          <w:sz w:val="24"/>
          <w:szCs w:val="24"/>
        </w:rPr>
        <w:t>Specialist nursing w</w:t>
      </w:r>
      <w:r w:rsidR="000E0E69" w:rsidRPr="00A25023">
        <w:rPr>
          <w:rFonts w:eastAsiaTheme="minorEastAsia"/>
          <w:sz w:val="24"/>
          <w:szCs w:val="24"/>
        </w:rPr>
        <w:t>ork varies</w:t>
      </w:r>
      <w:r w:rsidR="00187AA7" w:rsidRPr="00A25023">
        <w:rPr>
          <w:rFonts w:eastAsiaTheme="minorEastAsia"/>
          <w:sz w:val="24"/>
          <w:szCs w:val="24"/>
        </w:rPr>
        <w:t xml:space="preserve"> in the UK. The</w:t>
      </w:r>
      <w:r w:rsidR="000E0E69" w:rsidRPr="00A25023">
        <w:rPr>
          <w:rFonts w:eastAsiaTheme="minorEastAsia"/>
          <w:sz w:val="24"/>
          <w:szCs w:val="24"/>
        </w:rPr>
        <w:t xml:space="preserve"> level of practice and </w:t>
      </w:r>
      <w:r w:rsidRPr="00A25023">
        <w:rPr>
          <w:rFonts w:eastAsiaTheme="minorEastAsia"/>
          <w:sz w:val="24"/>
          <w:szCs w:val="24"/>
        </w:rPr>
        <w:t>job title for example are not a</w:t>
      </w:r>
      <w:r w:rsidR="007745F1" w:rsidRPr="00A25023">
        <w:rPr>
          <w:rFonts w:eastAsiaTheme="minorEastAsia"/>
          <w:sz w:val="24"/>
          <w:szCs w:val="24"/>
        </w:rPr>
        <w:t xml:space="preserve"> reliable</w:t>
      </w:r>
      <w:r w:rsidRPr="00A25023">
        <w:rPr>
          <w:rFonts w:eastAsiaTheme="minorEastAsia"/>
          <w:sz w:val="24"/>
          <w:szCs w:val="24"/>
        </w:rPr>
        <w:t xml:space="preserve"> proxy for complexity</w:t>
      </w:r>
      <w:r w:rsidR="000E0E69" w:rsidRPr="00A25023">
        <w:rPr>
          <w:rFonts w:eastAsiaTheme="minorEastAsia"/>
          <w:sz w:val="24"/>
          <w:szCs w:val="24"/>
        </w:rPr>
        <w:t xml:space="preserve"> of practice</w:t>
      </w:r>
      <w:r w:rsidR="00FB09F4" w:rsidRPr="00A25023">
        <w:rPr>
          <w:rFonts w:eastAsiaTheme="minorEastAsia"/>
          <w:sz w:val="24"/>
          <w:szCs w:val="24"/>
          <w:vertAlign w:val="superscript"/>
        </w:rPr>
        <w:t>8</w:t>
      </w:r>
      <w:r w:rsidR="000E0E69" w:rsidRPr="00A25023">
        <w:rPr>
          <w:rFonts w:eastAsiaTheme="minorEastAsia"/>
          <w:sz w:val="24"/>
          <w:szCs w:val="24"/>
        </w:rPr>
        <w:t xml:space="preserve">. This means that </w:t>
      </w:r>
      <w:r w:rsidR="00710D88" w:rsidRPr="00A25023">
        <w:rPr>
          <w:rFonts w:eastAsiaTheme="minorEastAsia"/>
          <w:sz w:val="24"/>
          <w:szCs w:val="24"/>
        </w:rPr>
        <w:t>NS</w:t>
      </w:r>
      <w:r w:rsidR="000E0E69" w:rsidRPr="00A25023">
        <w:rPr>
          <w:rFonts w:eastAsiaTheme="minorEastAsia"/>
          <w:sz w:val="24"/>
          <w:szCs w:val="24"/>
        </w:rPr>
        <w:t xml:space="preserve"> in the UK tend to work at a range of levels of complexity, offer a different range of interventions and do so within many different service arrangements. These factors can affect workload burden</w:t>
      </w:r>
      <w:r w:rsidR="00187AA7" w:rsidRPr="00A25023">
        <w:rPr>
          <w:rFonts w:eastAsiaTheme="minorEastAsia"/>
          <w:sz w:val="24"/>
          <w:szCs w:val="24"/>
        </w:rPr>
        <w:t>. Other factors include</w:t>
      </w:r>
      <w:r w:rsidR="000E0E69" w:rsidRPr="00A25023">
        <w:rPr>
          <w:rFonts w:eastAsiaTheme="minorEastAsia"/>
          <w:sz w:val="24"/>
          <w:szCs w:val="24"/>
        </w:rPr>
        <w:t xml:space="preserve"> complexity of patient needs</w:t>
      </w:r>
      <w:r w:rsidR="00FB09F4" w:rsidRPr="00A25023">
        <w:rPr>
          <w:rFonts w:eastAsiaTheme="minorEastAsia"/>
          <w:sz w:val="24"/>
          <w:szCs w:val="24"/>
          <w:vertAlign w:val="superscript"/>
        </w:rPr>
        <w:t>9</w:t>
      </w:r>
      <w:r w:rsidR="00187AA7" w:rsidRPr="00A25023">
        <w:rPr>
          <w:rFonts w:eastAsiaTheme="minorEastAsia"/>
          <w:sz w:val="24"/>
          <w:szCs w:val="24"/>
        </w:rPr>
        <w:t xml:space="preserve"> and </w:t>
      </w:r>
      <w:r w:rsidR="000E0E69" w:rsidRPr="00A25023">
        <w:rPr>
          <w:rFonts w:eastAsiaTheme="minorEastAsia"/>
          <w:sz w:val="24"/>
          <w:szCs w:val="24"/>
        </w:rPr>
        <w:t xml:space="preserve">access to members of the </w:t>
      </w:r>
      <w:bookmarkStart w:id="2" w:name="_Hlk512164224"/>
      <w:r w:rsidR="000E0E69" w:rsidRPr="00A25023">
        <w:rPr>
          <w:rFonts w:eastAsiaTheme="minorEastAsia"/>
          <w:sz w:val="24"/>
          <w:szCs w:val="24"/>
        </w:rPr>
        <w:t>multidisciplinary team</w:t>
      </w:r>
      <w:r w:rsidR="00FB09F4" w:rsidRPr="00A25023">
        <w:rPr>
          <w:rFonts w:eastAsiaTheme="minorEastAsia"/>
          <w:sz w:val="24"/>
          <w:szCs w:val="24"/>
          <w:vertAlign w:val="superscript"/>
        </w:rPr>
        <w:t>10</w:t>
      </w:r>
      <w:r w:rsidR="00223AF6" w:rsidRPr="00A25023">
        <w:rPr>
          <w:rFonts w:eastAsiaTheme="minorEastAsia"/>
          <w:sz w:val="24"/>
          <w:szCs w:val="24"/>
        </w:rPr>
        <w:t xml:space="preserve"> (MDT</w:t>
      </w:r>
      <w:bookmarkEnd w:id="2"/>
      <w:r w:rsidR="00223AF6" w:rsidRPr="00A25023">
        <w:rPr>
          <w:rFonts w:eastAsiaTheme="minorEastAsia"/>
          <w:sz w:val="24"/>
          <w:szCs w:val="24"/>
        </w:rPr>
        <w:t>)</w:t>
      </w:r>
      <w:r w:rsidR="00187AA7" w:rsidRPr="00A25023">
        <w:rPr>
          <w:rFonts w:eastAsiaTheme="minorEastAsia"/>
          <w:sz w:val="24"/>
          <w:szCs w:val="24"/>
        </w:rPr>
        <w:t>.</w:t>
      </w:r>
    </w:p>
    <w:p w14:paraId="494AB88A" w14:textId="5396DF19" w:rsidR="00CB63CA" w:rsidRPr="00A25023" w:rsidRDefault="00CB63CA" w:rsidP="001D5371">
      <w:pPr>
        <w:spacing w:line="360" w:lineRule="auto"/>
        <w:rPr>
          <w:rFonts w:eastAsiaTheme="minorEastAsia"/>
          <w:sz w:val="24"/>
          <w:szCs w:val="24"/>
        </w:rPr>
      </w:pPr>
      <w:r w:rsidRPr="00A25023">
        <w:rPr>
          <w:rFonts w:eastAsiaTheme="minorEastAsia"/>
          <w:sz w:val="24"/>
          <w:szCs w:val="24"/>
        </w:rPr>
        <w:lastRenderedPageBreak/>
        <w:t>In the UK the role of specialist IBD nurses was described by the Royal College of Nursing in 2007 providing guidance to developing best practice and for local service organisation.</w:t>
      </w:r>
      <w:r w:rsidR="003A24FF" w:rsidRPr="00A25023">
        <w:rPr>
          <w:rFonts w:eastAsiaTheme="minorEastAsia"/>
          <w:sz w:val="24"/>
          <w:szCs w:val="24"/>
        </w:rPr>
        <w:t xml:space="preserve"> The report outlines a number of knowledge and skills frameworks in a number of areas such as specialist knowledge, education, service development, management and leadership.</w:t>
      </w:r>
      <w:r w:rsidR="00437705" w:rsidRPr="00A25023">
        <w:rPr>
          <w:rFonts w:eastAsiaTheme="minorEastAsia"/>
          <w:sz w:val="24"/>
          <w:szCs w:val="24"/>
        </w:rPr>
        <w:t xml:space="preserve"> The</w:t>
      </w:r>
      <w:r w:rsidR="000E02FD" w:rsidRPr="00A25023">
        <w:rPr>
          <w:rFonts w:eastAsiaTheme="minorEastAsia"/>
          <w:sz w:val="24"/>
          <w:szCs w:val="24"/>
        </w:rPr>
        <w:t xml:space="preserve"> scope of practice of the role includes areas such as telephone advice lines, rapid access clinics, follow-up clinics, in-patient </w:t>
      </w:r>
      <w:r w:rsidR="007745F1" w:rsidRPr="00A25023">
        <w:rPr>
          <w:rFonts w:eastAsiaTheme="minorEastAsia"/>
          <w:sz w:val="24"/>
          <w:szCs w:val="24"/>
        </w:rPr>
        <w:t>care</w:t>
      </w:r>
      <w:r w:rsidR="000E02FD" w:rsidRPr="00A25023">
        <w:rPr>
          <w:rFonts w:eastAsiaTheme="minorEastAsia"/>
          <w:sz w:val="24"/>
          <w:szCs w:val="24"/>
        </w:rPr>
        <w:t>, managing an immuno</w:t>
      </w:r>
      <w:r w:rsidR="007745F1" w:rsidRPr="00A25023">
        <w:rPr>
          <w:rFonts w:eastAsiaTheme="minorEastAsia"/>
          <w:sz w:val="24"/>
          <w:szCs w:val="24"/>
        </w:rPr>
        <w:t>therapy</w:t>
      </w:r>
      <w:r w:rsidR="000E02FD" w:rsidRPr="00A25023">
        <w:rPr>
          <w:rFonts w:eastAsiaTheme="minorEastAsia"/>
          <w:sz w:val="24"/>
          <w:szCs w:val="24"/>
        </w:rPr>
        <w:t xml:space="preserve"> service and administering and </w:t>
      </w:r>
      <w:r w:rsidR="003A24FF" w:rsidRPr="00A25023">
        <w:rPr>
          <w:rFonts w:eastAsiaTheme="minorEastAsia"/>
          <w:sz w:val="24"/>
          <w:szCs w:val="24"/>
        </w:rPr>
        <w:t>monitoring therapies</w:t>
      </w:r>
      <w:r w:rsidR="005A0686" w:rsidRPr="00A25023">
        <w:rPr>
          <w:rFonts w:eastAsiaTheme="minorEastAsia"/>
          <w:sz w:val="24"/>
          <w:szCs w:val="24"/>
          <w:vertAlign w:val="superscript"/>
        </w:rPr>
        <w:t>6</w:t>
      </w:r>
      <w:r w:rsidR="003A24FF" w:rsidRPr="00A25023">
        <w:rPr>
          <w:rFonts w:eastAsiaTheme="minorEastAsia"/>
          <w:sz w:val="24"/>
          <w:szCs w:val="24"/>
        </w:rPr>
        <w:t>.</w:t>
      </w:r>
    </w:p>
    <w:p w14:paraId="399B29FC" w14:textId="77777777" w:rsidR="00710D88" w:rsidRPr="00A25023" w:rsidRDefault="00CF39AD" w:rsidP="001D1DAC">
      <w:pPr>
        <w:spacing w:line="360" w:lineRule="auto"/>
        <w:rPr>
          <w:rFonts w:eastAsiaTheme="minorEastAsia"/>
          <w:sz w:val="24"/>
          <w:szCs w:val="24"/>
        </w:rPr>
      </w:pPr>
      <w:r w:rsidRPr="00A25023">
        <w:rPr>
          <w:rFonts w:eastAsiaTheme="minorEastAsia"/>
          <w:sz w:val="24"/>
          <w:szCs w:val="24"/>
        </w:rPr>
        <w:t>In countries outside the UK</w:t>
      </w:r>
      <w:r w:rsidR="00A9288F" w:rsidRPr="00A25023">
        <w:rPr>
          <w:rFonts w:eastAsiaTheme="minorEastAsia"/>
          <w:sz w:val="24"/>
          <w:szCs w:val="24"/>
        </w:rPr>
        <w:t>,</w:t>
      </w:r>
      <w:r w:rsidRPr="00A25023">
        <w:rPr>
          <w:rFonts w:eastAsiaTheme="minorEastAsia"/>
          <w:sz w:val="24"/>
          <w:szCs w:val="24"/>
        </w:rPr>
        <w:t xml:space="preserve"> the role of nurses in caring for patients with IBD varies across Europe and the rest of the world</w:t>
      </w:r>
      <w:r w:rsidR="00A9288F" w:rsidRPr="00A25023">
        <w:rPr>
          <w:rFonts w:eastAsiaTheme="minorEastAsia"/>
          <w:sz w:val="24"/>
          <w:szCs w:val="24"/>
        </w:rPr>
        <w:t>.</w:t>
      </w:r>
      <w:r w:rsidR="002F59C7" w:rsidRPr="00A25023">
        <w:rPr>
          <w:rFonts w:eastAsiaTheme="minorEastAsia"/>
          <w:sz w:val="24"/>
          <w:szCs w:val="24"/>
        </w:rPr>
        <w:t xml:space="preserve"> </w:t>
      </w:r>
      <w:r w:rsidR="00A9288F" w:rsidRPr="00A25023">
        <w:rPr>
          <w:rFonts w:eastAsiaTheme="minorEastAsia"/>
          <w:sz w:val="24"/>
          <w:szCs w:val="24"/>
        </w:rPr>
        <w:t>A</w:t>
      </w:r>
      <w:r w:rsidRPr="00A25023">
        <w:rPr>
          <w:rFonts w:eastAsiaTheme="minorEastAsia"/>
          <w:sz w:val="24"/>
          <w:szCs w:val="24"/>
        </w:rPr>
        <w:t xml:space="preserve"> variety of systems of delivering care and differing levels of responsibility for nurses</w:t>
      </w:r>
      <w:r w:rsidR="00A9288F" w:rsidRPr="00A25023">
        <w:rPr>
          <w:rFonts w:eastAsiaTheme="minorEastAsia"/>
          <w:sz w:val="24"/>
          <w:szCs w:val="24"/>
        </w:rPr>
        <w:t xml:space="preserve"> exist</w:t>
      </w:r>
      <w:r w:rsidR="005A0686" w:rsidRPr="00A25023">
        <w:rPr>
          <w:rFonts w:eastAsiaTheme="minorEastAsia"/>
          <w:sz w:val="24"/>
          <w:szCs w:val="24"/>
          <w:vertAlign w:val="superscript"/>
        </w:rPr>
        <w:t>11</w:t>
      </w:r>
      <w:r w:rsidRPr="00A25023">
        <w:rPr>
          <w:rFonts w:eastAsiaTheme="minorEastAsia"/>
          <w:sz w:val="24"/>
          <w:szCs w:val="24"/>
        </w:rPr>
        <w:t xml:space="preserve">. </w:t>
      </w:r>
      <w:r w:rsidR="00B125BB" w:rsidRPr="00A25023">
        <w:rPr>
          <w:rFonts w:eastAsiaTheme="minorEastAsia"/>
          <w:sz w:val="24"/>
          <w:szCs w:val="24"/>
        </w:rPr>
        <w:t>In 2018 N-ECCO produced a second consensus statements on the European Nursing Roles in Caring for Patients with Crohn’s Disease or Ulcerative Colitis which made a number of statements regarding the role of the IBD nurse based on ‘ideal’ standards of care</w:t>
      </w:r>
      <w:r w:rsidR="000561B7" w:rsidRPr="00A25023">
        <w:rPr>
          <w:rFonts w:eastAsiaTheme="minorEastAsia"/>
          <w:sz w:val="24"/>
          <w:szCs w:val="24"/>
          <w:vertAlign w:val="superscript"/>
        </w:rPr>
        <w:t>12</w:t>
      </w:r>
      <w:r w:rsidR="00A61A05" w:rsidRPr="00A25023">
        <w:rPr>
          <w:rFonts w:eastAsiaTheme="minorEastAsia"/>
          <w:sz w:val="24"/>
          <w:szCs w:val="24"/>
        </w:rPr>
        <w:t>.</w:t>
      </w:r>
    </w:p>
    <w:p w14:paraId="3DED7F9E" w14:textId="46D37779" w:rsidR="00C25DEA" w:rsidRPr="00A25023" w:rsidRDefault="0065444B" w:rsidP="001D1DAC">
      <w:pPr>
        <w:spacing w:line="360" w:lineRule="auto"/>
        <w:rPr>
          <w:rFonts w:eastAsiaTheme="minorEastAsia"/>
          <w:sz w:val="24"/>
          <w:szCs w:val="24"/>
        </w:rPr>
      </w:pPr>
      <w:r w:rsidRPr="00A25023">
        <w:rPr>
          <w:rFonts w:eastAsiaTheme="minorEastAsia"/>
          <w:sz w:val="24"/>
          <w:szCs w:val="24"/>
        </w:rPr>
        <w:t>As in many areas of healthcare the workforce is modelled from the supply side rather than demand.</w:t>
      </w:r>
      <w:r w:rsidR="0020048E" w:rsidRPr="00A25023">
        <w:rPr>
          <w:rFonts w:eastAsiaTheme="minorEastAsia"/>
          <w:sz w:val="24"/>
          <w:szCs w:val="24"/>
        </w:rPr>
        <w:t xml:space="preserve"> Very little demand modelling can be found.</w:t>
      </w:r>
      <w:r w:rsidRPr="00A25023">
        <w:rPr>
          <w:rFonts w:eastAsiaTheme="minorEastAsia"/>
          <w:sz w:val="24"/>
          <w:szCs w:val="24"/>
        </w:rPr>
        <w:t xml:space="preserve"> </w:t>
      </w:r>
      <w:r w:rsidR="00C25DEA" w:rsidRPr="00A25023">
        <w:rPr>
          <w:rFonts w:eastAsiaTheme="minorEastAsia"/>
          <w:sz w:val="24"/>
          <w:szCs w:val="24"/>
        </w:rPr>
        <w:t xml:space="preserve">In order to model a future UK IBD nursing workforce, demand modelling was needed </w:t>
      </w:r>
      <w:r w:rsidRPr="00A25023">
        <w:rPr>
          <w:rFonts w:eastAsiaTheme="minorEastAsia"/>
          <w:sz w:val="24"/>
          <w:szCs w:val="24"/>
        </w:rPr>
        <w:t>to understand the need for the IBD nursing interventions.</w:t>
      </w:r>
      <w:r w:rsidR="0020048E" w:rsidRPr="00A25023">
        <w:rPr>
          <w:rFonts w:eastAsiaTheme="minorEastAsia"/>
          <w:sz w:val="24"/>
          <w:szCs w:val="24"/>
        </w:rPr>
        <w:t xml:space="preserve"> This includes understanding how the current workforce meets demand, what work is left undone, how much overtime (paid and unpaid) is required to meet demand and the available </w:t>
      </w:r>
      <w:r w:rsidR="00857003" w:rsidRPr="00A25023">
        <w:rPr>
          <w:rFonts w:eastAsiaTheme="minorEastAsia"/>
          <w:sz w:val="24"/>
          <w:szCs w:val="24"/>
        </w:rPr>
        <w:t>skill mix</w:t>
      </w:r>
      <w:r w:rsidR="0020048E" w:rsidRPr="00A25023">
        <w:rPr>
          <w:rFonts w:eastAsiaTheme="minorEastAsia"/>
          <w:sz w:val="24"/>
          <w:szCs w:val="24"/>
        </w:rPr>
        <w:t xml:space="preserve"> in terms of complexity.</w:t>
      </w:r>
    </w:p>
    <w:p w14:paraId="1156E49E" w14:textId="004B1AAF" w:rsidR="004C11BD" w:rsidRPr="00A25023" w:rsidRDefault="001D1DAC" w:rsidP="001D1DAC">
      <w:pPr>
        <w:spacing w:line="360" w:lineRule="auto"/>
        <w:rPr>
          <w:sz w:val="24"/>
          <w:szCs w:val="24"/>
        </w:rPr>
      </w:pPr>
      <w:r w:rsidRPr="00A25023">
        <w:rPr>
          <w:sz w:val="24"/>
          <w:szCs w:val="24"/>
        </w:rPr>
        <w:t>The aim of this study was to determine if the National IBD Standards for IBD NS were being met and to model the UK IBD nursing workforce.</w:t>
      </w:r>
    </w:p>
    <w:p w14:paraId="3E478DCD" w14:textId="4367217C" w:rsidR="00857003" w:rsidRPr="00A25023" w:rsidRDefault="003146B9" w:rsidP="001D1DAC">
      <w:pPr>
        <w:rPr>
          <w:b/>
          <w:sz w:val="24"/>
          <w:szCs w:val="24"/>
        </w:rPr>
      </w:pPr>
      <w:r w:rsidRPr="00A25023">
        <w:rPr>
          <w:b/>
          <w:sz w:val="24"/>
          <w:szCs w:val="24"/>
        </w:rPr>
        <w:t>Methods</w:t>
      </w:r>
      <w:r w:rsidR="001D5371" w:rsidRPr="00A25023">
        <w:rPr>
          <w:b/>
          <w:sz w:val="24"/>
          <w:szCs w:val="24"/>
        </w:rPr>
        <w:t xml:space="preserve"> and Data Collection</w:t>
      </w:r>
    </w:p>
    <w:p w14:paraId="7F2719AD" w14:textId="142358F4" w:rsidR="00857003" w:rsidRPr="00A25023" w:rsidRDefault="00123FC6" w:rsidP="001D5371">
      <w:pPr>
        <w:spacing w:line="360" w:lineRule="auto"/>
        <w:jc w:val="both"/>
        <w:rPr>
          <w:rFonts w:eastAsiaTheme="minorEastAsia" w:cs="Arial"/>
          <w:b/>
          <w:sz w:val="24"/>
          <w:szCs w:val="24"/>
        </w:rPr>
      </w:pPr>
      <w:r w:rsidRPr="00A25023">
        <w:rPr>
          <w:rFonts w:eastAsiaTheme="minorEastAsia" w:cs="Arial"/>
          <w:b/>
          <w:sz w:val="24"/>
          <w:szCs w:val="24"/>
        </w:rPr>
        <w:t>A</w:t>
      </w:r>
      <w:r w:rsidR="004C11BD" w:rsidRPr="00A25023">
        <w:rPr>
          <w:rFonts w:eastAsiaTheme="minorEastAsia" w:cs="Arial"/>
          <w:b/>
          <w:sz w:val="24"/>
          <w:szCs w:val="24"/>
        </w:rPr>
        <w:t xml:space="preserve"> </w:t>
      </w:r>
      <w:r w:rsidRPr="00A25023">
        <w:rPr>
          <w:rFonts w:eastAsiaTheme="minorEastAsia" w:cs="Arial"/>
          <w:b/>
          <w:sz w:val="24"/>
          <w:szCs w:val="24"/>
        </w:rPr>
        <w:t>priori dataset-</w:t>
      </w:r>
      <w:r w:rsidR="00A81EAE" w:rsidRPr="00A25023">
        <w:rPr>
          <w:rFonts w:eastAsiaTheme="minorEastAsia" w:cs="Arial"/>
          <w:b/>
          <w:sz w:val="24"/>
          <w:szCs w:val="24"/>
        </w:rPr>
        <w:t xml:space="preserve"> </w:t>
      </w:r>
      <w:r w:rsidRPr="00A25023">
        <w:rPr>
          <w:rFonts w:eastAsiaTheme="minorEastAsia" w:cs="Arial"/>
          <w:b/>
          <w:sz w:val="24"/>
          <w:szCs w:val="24"/>
        </w:rPr>
        <w:t xml:space="preserve">complexity </w:t>
      </w:r>
      <w:r w:rsidR="00F65DFE" w:rsidRPr="00A25023">
        <w:rPr>
          <w:rFonts w:eastAsiaTheme="minorEastAsia" w:cs="Arial"/>
          <w:b/>
          <w:sz w:val="24"/>
          <w:szCs w:val="24"/>
        </w:rPr>
        <w:t>and</w:t>
      </w:r>
      <w:r w:rsidRPr="00A25023">
        <w:rPr>
          <w:rFonts w:eastAsiaTheme="minorEastAsia" w:cs="Arial"/>
          <w:b/>
          <w:sz w:val="24"/>
          <w:szCs w:val="24"/>
        </w:rPr>
        <w:t xml:space="preserve"> factors that affect workload</w:t>
      </w:r>
    </w:p>
    <w:p w14:paraId="1AF1CB05" w14:textId="4F992947" w:rsidR="00857003" w:rsidRPr="00A25023" w:rsidRDefault="00857003" w:rsidP="00046390">
      <w:pPr>
        <w:spacing w:line="360" w:lineRule="auto"/>
        <w:rPr>
          <w:rFonts w:eastAsiaTheme="minorEastAsia" w:cs="Arial"/>
          <w:sz w:val="24"/>
          <w:szCs w:val="24"/>
        </w:rPr>
      </w:pPr>
      <w:r w:rsidRPr="00A25023">
        <w:rPr>
          <w:rFonts w:eastAsiaTheme="minorEastAsia" w:cs="Arial"/>
          <w:sz w:val="24"/>
          <w:szCs w:val="24"/>
        </w:rPr>
        <w:t xml:space="preserve">A curated dataset of around seventy million hours of advanced practice specialist work (n=18,000) since 2009 was accessed to look at patterns </w:t>
      </w:r>
      <w:r w:rsidR="004C11BD" w:rsidRPr="00A25023">
        <w:rPr>
          <w:rFonts w:eastAsiaTheme="minorEastAsia" w:cs="Arial"/>
          <w:sz w:val="24"/>
          <w:szCs w:val="24"/>
        </w:rPr>
        <w:t>and</w:t>
      </w:r>
      <w:r w:rsidRPr="00A25023">
        <w:rPr>
          <w:rFonts w:eastAsiaTheme="minorEastAsia" w:cs="Arial"/>
          <w:sz w:val="24"/>
          <w:szCs w:val="24"/>
        </w:rPr>
        <w:t xml:space="preserve"> workload of other</w:t>
      </w:r>
      <w:r w:rsidR="004C11BD" w:rsidRPr="00A25023">
        <w:rPr>
          <w:rFonts w:eastAsiaTheme="minorEastAsia" w:cs="Arial"/>
          <w:sz w:val="24"/>
          <w:szCs w:val="24"/>
        </w:rPr>
        <w:t xml:space="preserve"> specialists</w:t>
      </w:r>
      <w:r w:rsidRPr="00A25023">
        <w:rPr>
          <w:rFonts w:eastAsiaTheme="minorEastAsia" w:cs="Arial"/>
          <w:sz w:val="24"/>
          <w:szCs w:val="24"/>
        </w:rPr>
        <w:t xml:space="preserve"> working in long term conditions. These data reflect varying levels of complexity of work and have generated indicators of workload in order to use stochastic approaches to optimum caseload calculation.</w:t>
      </w:r>
      <w:r w:rsidR="00123FC6" w:rsidRPr="00A25023">
        <w:rPr>
          <w:rFonts w:eastAsiaTheme="minorEastAsia" w:cs="Arial"/>
          <w:sz w:val="24"/>
          <w:szCs w:val="24"/>
        </w:rPr>
        <w:t xml:space="preserve"> </w:t>
      </w:r>
      <w:r w:rsidR="002041F8" w:rsidRPr="00A25023">
        <w:rPr>
          <w:rFonts w:eastAsiaTheme="minorEastAsia" w:cs="Arial"/>
          <w:sz w:val="24"/>
          <w:szCs w:val="24"/>
        </w:rPr>
        <w:t xml:space="preserve">From this curated data set a number of </w:t>
      </w:r>
      <w:r w:rsidR="00E759DD" w:rsidRPr="00A25023">
        <w:rPr>
          <w:rFonts w:eastAsiaTheme="minorEastAsia" w:cs="Arial"/>
          <w:sz w:val="24"/>
          <w:szCs w:val="24"/>
        </w:rPr>
        <w:t xml:space="preserve">common </w:t>
      </w:r>
      <w:r w:rsidR="002041F8" w:rsidRPr="00A25023">
        <w:rPr>
          <w:rFonts w:eastAsiaTheme="minorEastAsia" w:cs="Arial"/>
          <w:sz w:val="24"/>
          <w:szCs w:val="24"/>
        </w:rPr>
        <w:t xml:space="preserve">factors </w:t>
      </w:r>
      <w:r w:rsidR="00E759DD" w:rsidRPr="00A25023">
        <w:rPr>
          <w:rFonts w:eastAsiaTheme="minorEastAsia" w:cs="Arial"/>
          <w:sz w:val="24"/>
          <w:szCs w:val="24"/>
        </w:rPr>
        <w:t>which typically influence NS workload were determined. Examples of such factors</w:t>
      </w:r>
      <w:r w:rsidR="002F59C7" w:rsidRPr="00A25023">
        <w:rPr>
          <w:rFonts w:eastAsiaTheme="minorEastAsia" w:cs="Arial"/>
          <w:sz w:val="24"/>
          <w:szCs w:val="24"/>
        </w:rPr>
        <w:t xml:space="preserve"> </w:t>
      </w:r>
      <w:r w:rsidR="00123FC6" w:rsidRPr="00A25023">
        <w:rPr>
          <w:rFonts w:eastAsiaTheme="minorEastAsia" w:cs="Arial"/>
          <w:sz w:val="24"/>
          <w:szCs w:val="24"/>
        </w:rPr>
        <w:t>include</w:t>
      </w:r>
      <w:r w:rsidR="00E759DD" w:rsidRPr="00A25023">
        <w:rPr>
          <w:rFonts w:eastAsiaTheme="minorEastAsia" w:cs="Arial"/>
          <w:sz w:val="24"/>
          <w:szCs w:val="24"/>
        </w:rPr>
        <w:t>d</w:t>
      </w:r>
      <w:r w:rsidR="00123FC6" w:rsidRPr="00A25023">
        <w:rPr>
          <w:rFonts w:eastAsiaTheme="minorEastAsia" w:cs="Arial"/>
          <w:sz w:val="24"/>
          <w:szCs w:val="24"/>
        </w:rPr>
        <w:t xml:space="preserve"> relationship</w:t>
      </w:r>
      <w:r w:rsidR="00E759DD" w:rsidRPr="00A25023">
        <w:rPr>
          <w:rFonts w:eastAsiaTheme="minorEastAsia" w:cs="Arial"/>
          <w:sz w:val="24"/>
          <w:szCs w:val="24"/>
        </w:rPr>
        <w:t>s</w:t>
      </w:r>
      <w:r w:rsidR="00123FC6" w:rsidRPr="00A25023">
        <w:rPr>
          <w:rFonts w:eastAsiaTheme="minorEastAsia" w:cs="Arial"/>
          <w:sz w:val="24"/>
          <w:szCs w:val="24"/>
        </w:rPr>
        <w:t xml:space="preserve"> with </w:t>
      </w:r>
      <w:r w:rsidR="004C11BD" w:rsidRPr="00A25023">
        <w:rPr>
          <w:rFonts w:eastAsiaTheme="minorEastAsia" w:cs="Arial"/>
          <w:sz w:val="24"/>
          <w:szCs w:val="24"/>
        </w:rPr>
        <w:t xml:space="preserve">other members of the </w:t>
      </w:r>
      <w:r w:rsidR="00E759DD" w:rsidRPr="00A25023">
        <w:rPr>
          <w:rFonts w:eastAsiaTheme="minorEastAsia" w:cs="Arial"/>
          <w:sz w:val="24"/>
          <w:szCs w:val="24"/>
        </w:rPr>
        <w:t xml:space="preserve">multidisciplinary </w:t>
      </w:r>
      <w:r w:rsidR="00123FC6" w:rsidRPr="00A25023">
        <w:rPr>
          <w:rFonts w:eastAsiaTheme="minorEastAsia" w:cs="Arial"/>
          <w:sz w:val="24"/>
          <w:szCs w:val="24"/>
        </w:rPr>
        <w:t>team</w:t>
      </w:r>
      <w:r w:rsidR="00FB09F4" w:rsidRPr="00A25023">
        <w:rPr>
          <w:rFonts w:eastAsiaTheme="minorEastAsia" w:cs="Arial"/>
          <w:sz w:val="24"/>
          <w:szCs w:val="24"/>
          <w:vertAlign w:val="superscript"/>
        </w:rPr>
        <w:t>10</w:t>
      </w:r>
      <w:r w:rsidR="00E759DD" w:rsidRPr="00A25023">
        <w:rPr>
          <w:rFonts w:eastAsiaTheme="minorEastAsia" w:cs="Arial"/>
          <w:sz w:val="24"/>
          <w:szCs w:val="24"/>
        </w:rPr>
        <w:t>,</w:t>
      </w:r>
      <w:r w:rsidR="00123FC6" w:rsidRPr="00A25023">
        <w:rPr>
          <w:rFonts w:eastAsiaTheme="minorEastAsia" w:cs="Arial"/>
          <w:sz w:val="24"/>
          <w:szCs w:val="24"/>
        </w:rPr>
        <w:t xml:space="preserve"> </w:t>
      </w:r>
      <w:r w:rsidR="00046390" w:rsidRPr="00A25023">
        <w:rPr>
          <w:rFonts w:eastAsiaTheme="minorEastAsia" w:cs="Arial"/>
          <w:sz w:val="24"/>
          <w:szCs w:val="24"/>
        </w:rPr>
        <w:t>complexity of caseload</w:t>
      </w:r>
      <w:r w:rsidR="00FB09F4" w:rsidRPr="00A25023">
        <w:rPr>
          <w:rFonts w:eastAsiaTheme="minorEastAsia" w:cs="Arial"/>
          <w:sz w:val="24"/>
          <w:szCs w:val="24"/>
          <w:vertAlign w:val="superscript"/>
        </w:rPr>
        <w:t>1</w:t>
      </w:r>
      <w:r w:rsidR="006C27F9" w:rsidRPr="00A25023">
        <w:rPr>
          <w:rFonts w:eastAsiaTheme="minorEastAsia" w:cs="Arial"/>
          <w:sz w:val="24"/>
          <w:szCs w:val="24"/>
          <w:vertAlign w:val="superscript"/>
        </w:rPr>
        <w:t>3</w:t>
      </w:r>
      <w:r w:rsidR="00E759DD" w:rsidRPr="00A25023">
        <w:rPr>
          <w:rFonts w:eastAsiaTheme="minorEastAsia" w:cs="Arial"/>
          <w:sz w:val="24"/>
          <w:szCs w:val="24"/>
        </w:rPr>
        <w:t>,</w:t>
      </w:r>
      <w:r w:rsidR="00046390" w:rsidRPr="00A25023">
        <w:rPr>
          <w:rFonts w:eastAsiaTheme="minorEastAsia" w:cs="Arial"/>
          <w:sz w:val="24"/>
          <w:szCs w:val="24"/>
        </w:rPr>
        <w:t xml:space="preserve"> </w:t>
      </w:r>
      <w:r w:rsidR="00046390" w:rsidRPr="00A25023">
        <w:rPr>
          <w:rFonts w:eastAsiaTheme="minorEastAsia" w:cs="Arial"/>
          <w:sz w:val="24"/>
          <w:szCs w:val="24"/>
        </w:rPr>
        <w:lastRenderedPageBreak/>
        <w:t xml:space="preserve">access to administrative </w:t>
      </w:r>
      <w:r w:rsidR="00E759DD" w:rsidRPr="00A25023">
        <w:rPr>
          <w:rFonts w:eastAsiaTheme="minorEastAsia" w:cs="Arial"/>
          <w:sz w:val="24"/>
          <w:szCs w:val="24"/>
        </w:rPr>
        <w:t>assistance</w:t>
      </w:r>
      <w:r w:rsidR="00FB09F4" w:rsidRPr="00A25023">
        <w:rPr>
          <w:rFonts w:eastAsiaTheme="minorEastAsia" w:cs="Arial"/>
          <w:sz w:val="24"/>
          <w:szCs w:val="24"/>
          <w:vertAlign w:val="superscript"/>
        </w:rPr>
        <w:t>1</w:t>
      </w:r>
      <w:r w:rsidR="006C27F9" w:rsidRPr="00A25023">
        <w:rPr>
          <w:rFonts w:eastAsiaTheme="minorEastAsia" w:cs="Arial"/>
          <w:sz w:val="24"/>
          <w:szCs w:val="24"/>
          <w:vertAlign w:val="superscript"/>
        </w:rPr>
        <w:t>4</w:t>
      </w:r>
      <w:proofErr w:type="gramStart"/>
      <w:r w:rsidR="00E759DD" w:rsidRPr="00A25023">
        <w:rPr>
          <w:rFonts w:eastAsiaTheme="minorEastAsia" w:cs="Arial"/>
          <w:sz w:val="24"/>
          <w:szCs w:val="24"/>
        </w:rPr>
        <w:t>,</w:t>
      </w:r>
      <w:r w:rsidR="00046390" w:rsidRPr="00A25023">
        <w:rPr>
          <w:rFonts w:eastAsiaTheme="minorEastAsia" w:cs="Arial"/>
          <w:sz w:val="24"/>
          <w:szCs w:val="24"/>
        </w:rPr>
        <w:t>access</w:t>
      </w:r>
      <w:proofErr w:type="gramEnd"/>
      <w:r w:rsidR="00046390" w:rsidRPr="00A25023">
        <w:rPr>
          <w:rFonts w:eastAsiaTheme="minorEastAsia" w:cs="Arial"/>
          <w:sz w:val="24"/>
          <w:szCs w:val="24"/>
        </w:rPr>
        <w:t xml:space="preserve"> to other services</w:t>
      </w:r>
      <w:r w:rsidR="00A940F5" w:rsidRPr="00A25023">
        <w:rPr>
          <w:rFonts w:eastAsiaTheme="minorEastAsia" w:cs="Arial"/>
          <w:sz w:val="24"/>
          <w:szCs w:val="24"/>
          <w:vertAlign w:val="superscript"/>
        </w:rPr>
        <w:t>1</w:t>
      </w:r>
      <w:r w:rsidR="006C27F9" w:rsidRPr="00A25023">
        <w:rPr>
          <w:rFonts w:eastAsiaTheme="minorEastAsia" w:cs="Arial"/>
          <w:sz w:val="24"/>
          <w:szCs w:val="24"/>
          <w:vertAlign w:val="superscript"/>
        </w:rPr>
        <w:t>5</w:t>
      </w:r>
      <w:r w:rsidR="00E759DD" w:rsidRPr="00A25023">
        <w:rPr>
          <w:rFonts w:eastAsiaTheme="minorEastAsia" w:cs="Arial"/>
          <w:sz w:val="24"/>
          <w:szCs w:val="24"/>
        </w:rPr>
        <w:t xml:space="preserve"> and</w:t>
      </w:r>
      <w:r w:rsidR="004C11BD" w:rsidRPr="00A25023">
        <w:rPr>
          <w:rFonts w:eastAsiaTheme="minorEastAsia" w:cs="Arial"/>
          <w:sz w:val="24"/>
          <w:szCs w:val="24"/>
        </w:rPr>
        <w:t xml:space="preserve"> </w:t>
      </w:r>
      <w:r w:rsidR="00046390" w:rsidRPr="00A25023">
        <w:rPr>
          <w:rFonts w:eastAsiaTheme="minorEastAsia" w:cs="Arial"/>
          <w:sz w:val="24"/>
          <w:szCs w:val="24"/>
        </w:rPr>
        <w:t xml:space="preserve">education </w:t>
      </w:r>
      <w:r w:rsidR="004C11BD" w:rsidRPr="00A25023">
        <w:rPr>
          <w:rFonts w:eastAsiaTheme="minorEastAsia" w:cs="Arial"/>
          <w:sz w:val="24"/>
          <w:szCs w:val="24"/>
        </w:rPr>
        <w:t>and</w:t>
      </w:r>
      <w:r w:rsidR="00046390" w:rsidRPr="00A25023">
        <w:rPr>
          <w:rFonts w:eastAsiaTheme="minorEastAsia" w:cs="Arial"/>
          <w:sz w:val="24"/>
          <w:szCs w:val="24"/>
        </w:rPr>
        <w:t xml:space="preserve"> experience</w:t>
      </w:r>
      <w:r w:rsidR="00A940F5" w:rsidRPr="00A25023">
        <w:rPr>
          <w:rFonts w:eastAsiaTheme="minorEastAsia" w:cs="Arial"/>
          <w:sz w:val="24"/>
          <w:szCs w:val="24"/>
          <w:vertAlign w:val="superscript"/>
        </w:rPr>
        <w:t>1</w:t>
      </w:r>
      <w:r w:rsidR="006C27F9" w:rsidRPr="00A25023">
        <w:rPr>
          <w:rFonts w:eastAsiaTheme="minorEastAsia" w:cs="Arial"/>
          <w:sz w:val="24"/>
          <w:szCs w:val="24"/>
          <w:vertAlign w:val="superscript"/>
        </w:rPr>
        <w:t>6</w:t>
      </w:r>
      <w:r w:rsidR="00155D42" w:rsidRPr="00A25023">
        <w:rPr>
          <w:rFonts w:eastAsiaTheme="minorEastAsia" w:cs="Arial"/>
          <w:sz w:val="24"/>
          <w:szCs w:val="24"/>
        </w:rPr>
        <w:t>.</w:t>
      </w:r>
      <w:r w:rsidR="00046390" w:rsidRPr="00A25023">
        <w:rPr>
          <w:rFonts w:eastAsiaTheme="minorEastAsia" w:cs="Arial"/>
          <w:sz w:val="24"/>
          <w:szCs w:val="24"/>
        </w:rPr>
        <w:t xml:space="preserve"> </w:t>
      </w:r>
      <w:r w:rsidR="00E759DD" w:rsidRPr="00A25023">
        <w:rPr>
          <w:rFonts w:eastAsiaTheme="minorEastAsia" w:cs="Arial"/>
          <w:sz w:val="24"/>
          <w:szCs w:val="24"/>
        </w:rPr>
        <w:t xml:space="preserve">To enable NS to  </w:t>
      </w:r>
      <w:r w:rsidR="00046390" w:rsidRPr="00A25023">
        <w:rPr>
          <w:rFonts w:eastAsiaTheme="minorEastAsia" w:cs="Arial"/>
          <w:sz w:val="24"/>
          <w:szCs w:val="24"/>
        </w:rPr>
        <w:t xml:space="preserve"> </w:t>
      </w:r>
      <w:r w:rsidR="005A3526" w:rsidRPr="00A25023">
        <w:rPr>
          <w:rFonts w:eastAsiaTheme="minorEastAsia" w:cs="Arial"/>
          <w:sz w:val="24"/>
          <w:szCs w:val="24"/>
        </w:rPr>
        <w:t>make independent decisions rathe</w:t>
      </w:r>
      <w:r w:rsidR="004B09B4" w:rsidRPr="00A25023">
        <w:rPr>
          <w:rFonts w:eastAsiaTheme="minorEastAsia" w:cs="Arial"/>
          <w:sz w:val="24"/>
          <w:szCs w:val="24"/>
        </w:rPr>
        <w:t>r</w:t>
      </w:r>
      <w:r w:rsidR="005A3526" w:rsidRPr="00A25023">
        <w:rPr>
          <w:rFonts w:eastAsiaTheme="minorEastAsia" w:cs="Arial"/>
          <w:sz w:val="24"/>
          <w:szCs w:val="24"/>
        </w:rPr>
        <w:t xml:space="preserve"> than “</w:t>
      </w:r>
      <w:r w:rsidR="00CB52E6" w:rsidRPr="00A25023">
        <w:rPr>
          <w:rFonts w:eastAsiaTheme="minorEastAsia" w:cs="Arial"/>
          <w:sz w:val="24"/>
          <w:szCs w:val="24"/>
        </w:rPr>
        <w:t>door hang</w:t>
      </w:r>
      <w:r w:rsidR="005A3526" w:rsidRPr="00A25023">
        <w:rPr>
          <w:rFonts w:eastAsiaTheme="minorEastAsia" w:cs="Arial"/>
          <w:sz w:val="24"/>
          <w:szCs w:val="24"/>
        </w:rPr>
        <w:t>” for the decisions of others</w:t>
      </w:r>
      <w:r w:rsidR="004B09B4" w:rsidRPr="00A25023">
        <w:rPr>
          <w:rFonts w:eastAsiaTheme="minorEastAsia" w:cs="Arial"/>
          <w:sz w:val="24"/>
          <w:szCs w:val="24"/>
        </w:rPr>
        <w:t xml:space="preserve"> </w:t>
      </w:r>
      <w:r w:rsidR="00E759DD" w:rsidRPr="00A25023">
        <w:rPr>
          <w:rFonts w:eastAsiaTheme="minorEastAsia" w:cs="Arial"/>
          <w:sz w:val="24"/>
          <w:szCs w:val="24"/>
        </w:rPr>
        <w:t xml:space="preserve">issues such as </w:t>
      </w:r>
      <w:r w:rsidR="004B09B4" w:rsidRPr="00A25023">
        <w:rPr>
          <w:rFonts w:eastAsiaTheme="minorEastAsia" w:cs="Arial"/>
          <w:sz w:val="24"/>
          <w:szCs w:val="24"/>
        </w:rPr>
        <w:t>access to non-medical prescribing</w:t>
      </w:r>
      <w:r w:rsidR="00A940F5" w:rsidRPr="00A25023">
        <w:rPr>
          <w:rFonts w:eastAsiaTheme="minorEastAsia" w:cs="Arial"/>
          <w:sz w:val="24"/>
          <w:szCs w:val="24"/>
          <w:vertAlign w:val="superscript"/>
        </w:rPr>
        <w:t>1</w:t>
      </w:r>
      <w:r w:rsidR="006C27F9" w:rsidRPr="00A25023">
        <w:rPr>
          <w:rFonts w:eastAsiaTheme="minorEastAsia" w:cs="Arial"/>
          <w:sz w:val="24"/>
          <w:szCs w:val="24"/>
          <w:vertAlign w:val="superscript"/>
        </w:rPr>
        <w:t>7</w:t>
      </w:r>
      <w:r w:rsidR="004B09B4" w:rsidRPr="00A25023">
        <w:rPr>
          <w:rFonts w:eastAsiaTheme="minorEastAsia" w:cs="Arial"/>
          <w:sz w:val="24"/>
          <w:szCs w:val="24"/>
        </w:rPr>
        <w:t xml:space="preserve"> </w:t>
      </w:r>
      <w:r w:rsidR="00E759DD" w:rsidRPr="00A25023">
        <w:rPr>
          <w:rFonts w:eastAsiaTheme="minorEastAsia" w:cs="Arial"/>
          <w:sz w:val="24"/>
          <w:szCs w:val="24"/>
        </w:rPr>
        <w:t>and</w:t>
      </w:r>
      <w:r w:rsidR="004B09B4" w:rsidRPr="00A25023">
        <w:rPr>
          <w:rFonts w:eastAsiaTheme="minorEastAsia" w:cs="Arial"/>
          <w:sz w:val="24"/>
          <w:szCs w:val="24"/>
        </w:rPr>
        <w:t xml:space="preserve"> </w:t>
      </w:r>
      <w:r w:rsidR="004C11BD" w:rsidRPr="00A25023">
        <w:rPr>
          <w:rFonts w:eastAsiaTheme="minorEastAsia" w:cs="Arial"/>
          <w:sz w:val="24"/>
          <w:szCs w:val="24"/>
        </w:rPr>
        <w:t xml:space="preserve">the </w:t>
      </w:r>
      <w:r w:rsidR="004B09B4" w:rsidRPr="00A25023">
        <w:rPr>
          <w:rFonts w:eastAsiaTheme="minorEastAsia" w:cs="Arial"/>
          <w:sz w:val="24"/>
          <w:szCs w:val="24"/>
        </w:rPr>
        <w:t xml:space="preserve">ability to </w:t>
      </w:r>
      <w:r w:rsidR="00E759DD" w:rsidRPr="00A25023">
        <w:rPr>
          <w:rFonts w:eastAsiaTheme="minorEastAsia" w:cs="Arial"/>
          <w:sz w:val="24"/>
          <w:szCs w:val="24"/>
        </w:rPr>
        <w:t xml:space="preserve">independently </w:t>
      </w:r>
      <w:r w:rsidR="004B09B4" w:rsidRPr="00A25023">
        <w:rPr>
          <w:rFonts w:eastAsiaTheme="minorEastAsia" w:cs="Arial"/>
          <w:sz w:val="24"/>
          <w:szCs w:val="24"/>
        </w:rPr>
        <w:t>request investigations</w:t>
      </w:r>
      <w:r w:rsidR="00E759DD" w:rsidRPr="00A25023">
        <w:rPr>
          <w:rFonts w:eastAsiaTheme="minorEastAsia" w:cs="Arial"/>
          <w:sz w:val="24"/>
          <w:szCs w:val="24"/>
        </w:rPr>
        <w:t xml:space="preserve"> were also significant factors</w:t>
      </w:r>
      <w:r w:rsidR="00642EB2" w:rsidRPr="00A25023">
        <w:rPr>
          <w:rFonts w:eastAsiaTheme="minorEastAsia" w:cs="Arial"/>
          <w:sz w:val="24"/>
          <w:szCs w:val="24"/>
        </w:rPr>
        <w:t>.</w:t>
      </w:r>
    </w:p>
    <w:p w14:paraId="0C121747" w14:textId="44543C7B" w:rsidR="001D5371" w:rsidRPr="00A25023" w:rsidRDefault="001D5371" w:rsidP="001D5371">
      <w:pPr>
        <w:spacing w:line="360" w:lineRule="auto"/>
        <w:jc w:val="both"/>
        <w:rPr>
          <w:rFonts w:eastAsiaTheme="minorEastAsia" w:cs="Arial"/>
          <w:b/>
          <w:sz w:val="24"/>
          <w:szCs w:val="24"/>
        </w:rPr>
      </w:pPr>
      <w:r w:rsidRPr="00A25023">
        <w:rPr>
          <w:rFonts w:eastAsiaTheme="minorEastAsia" w:cs="Arial"/>
          <w:b/>
          <w:sz w:val="24"/>
          <w:szCs w:val="24"/>
        </w:rPr>
        <w:t>Consensus workshop of expert opinion</w:t>
      </w:r>
      <w:r w:rsidR="00123FC6" w:rsidRPr="00A25023">
        <w:rPr>
          <w:rFonts w:eastAsiaTheme="minorEastAsia" w:cs="Arial"/>
          <w:b/>
          <w:sz w:val="24"/>
          <w:szCs w:val="24"/>
        </w:rPr>
        <w:t xml:space="preserve">-checking the assumptions </w:t>
      </w:r>
    </w:p>
    <w:p w14:paraId="2D13B4D1" w14:textId="3FFB27D2" w:rsidR="001D5371" w:rsidRPr="00A25023" w:rsidRDefault="001D5371" w:rsidP="001D5371">
      <w:pPr>
        <w:spacing w:line="360" w:lineRule="auto"/>
        <w:jc w:val="both"/>
        <w:rPr>
          <w:rFonts w:eastAsiaTheme="minorEastAsia" w:cs="Arial"/>
          <w:sz w:val="24"/>
          <w:szCs w:val="24"/>
        </w:rPr>
      </w:pPr>
      <w:r w:rsidRPr="00A25023">
        <w:rPr>
          <w:rFonts w:eastAsiaTheme="minorEastAsia" w:cs="Arial"/>
          <w:sz w:val="24"/>
          <w:szCs w:val="24"/>
        </w:rPr>
        <w:t xml:space="preserve">In order to use the existing a priori dataset and the on-line data collection tool it was necessary to check </w:t>
      </w:r>
      <w:r w:rsidR="004C11BD" w:rsidRPr="00A25023">
        <w:rPr>
          <w:rFonts w:eastAsiaTheme="minorEastAsia" w:cs="Arial"/>
          <w:sz w:val="24"/>
          <w:szCs w:val="24"/>
        </w:rPr>
        <w:t xml:space="preserve">the </w:t>
      </w:r>
      <w:r w:rsidRPr="00A25023">
        <w:rPr>
          <w:rFonts w:eastAsiaTheme="minorEastAsia" w:cs="Arial"/>
          <w:sz w:val="24"/>
          <w:szCs w:val="24"/>
        </w:rPr>
        <w:t>assumptions</w:t>
      </w:r>
      <w:r w:rsidR="004C11BD" w:rsidRPr="00A25023">
        <w:rPr>
          <w:rFonts w:eastAsiaTheme="minorEastAsia" w:cs="Arial"/>
          <w:sz w:val="24"/>
          <w:szCs w:val="24"/>
        </w:rPr>
        <w:t xml:space="preserve"> made</w:t>
      </w:r>
      <w:r w:rsidRPr="00A25023">
        <w:rPr>
          <w:rFonts w:eastAsiaTheme="minorEastAsia" w:cs="Arial"/>
          <w:sz w:val="24"/>
          <w:szCs w:val="24"/>
        </w:rPr>
        <w:t xml:space="preserve"> regarding the workload and activity of this group.</w:t>
      </w:r>
    </w:p>
    <w:p w14:paraId="4FC203F0" w14:textId="08849E37" w:rsidR="001D1DAC" w:rsidRPr="00A25023" w:rsidRDefault="001D5371" w:rsidP="001D5371">
      <w:pPr>
        <w:spacing w:line="360" w:lineRule="auto"/>
        <w:jc w:val="both"/>
        <w:rPr>
          <w:rFonts w:eastAsiaTheme="minorEastAsia" w:cs="Arial"/>
          <w:sz w:val="24"/>
          <w:szCs w:val="24"/>
        </w:rPr>
      </w:pPr>
      <w:r w:rsidRPr="00A25023">
        <w:rPr>
          <w:rFonts w:eastAsiaTheme="minorEastAsia" w:cs="Arial"/>
          <w:sz w:val="24"/>
          <w:szCs w:val="24"/>
        </w:rPr>
        <w:t xml:space="preserve">A consensus workshop of 15 IBD </w:t>
      </w:r>
      <w:r w:rsidR="00710D88" w:rsidRPr="00A25023">
        <w:rPr>
          <w:rFonts w:eastAsiaTheme="minorEastAsia" w:cs="Arial"/>
          <w:sz w:val="24"/>
          <w:szCs w:val="24"/>
        </w:rPr>
        <w:t>NS</w:t>
      </w:r>
      <w:r w:rsidRPr="00A25023">
        <w:rPr>
          <w:rFonts w:eastAsiaTheme="minorEastAsia" w:cs="Arial"/>
          <w:sz w:val="24"/>
          <w:szCs w:val="24"/>
        </w:rPr>
        <w:t xml:space="preserve"> from across the UK was convened to check and challenge assumptions</w:t>
      </w:r>
      <w:r w:rsidR="00857003" w:rsidRPr="00A25023">
        <w:rPr>
          <w:rFonts w:eastAsiaTheme="minorEastAsia" w:cs="Arial"/>
          <w:sz w:val="24"/>
          <w:szCs w:val="24"/>
        </w:rPr>
        <w:t xml:space="preserve"> drawn from the dataset</w:t>
      </w:r>
      <w:r w:rsidRPr="00A25023">
        <w:rPr>
          <w:rFonts w:eastAsiaTheme="minorEastAsia" w:cs="Arial"/>
          <w:sz w:val="24"/>
          <w:szCs w:val="24"/>
        </w:rPr>
        <w:t>.</w:t>
      </w:r>
      <w:r w:rsidR="0020048E" w:rsidRPr="00A25023">
        <w:rPr>
          <w:rFonts w:eastAsiaTheme="minorEastAsia" w:cs="Arial"/>
          <w:sz w:val="24"/>
          <w:szCs w:val="24"/>
        </w:rPr>
        <w:t xml:space="preserve"> The nurses were asked to explain their work in detail.</w:t>
      </w:r>
      <w:r w:rsidR="00426C51" w:rsidRPr="00A25023">
        <w:rPr>
          <w:rFonts w:eastAsiaTheme="minorEastAsia" w:cs="Arial"/>
          <w:sz w:val="24"/>
          <w:szCs w:val="24"/>
        </w:rPr>
        <w:t xml:space="preserve"> Areas examined included the </w:t>
      </w:r>
      <w:r w:rsidR="00D27AF6" w:rsidRPr="00A25023">
        <w:rPr>
          <w:rFonts w:eastAsiaTheme="minorEastAsia" w:cs="Arial"/>
          <w:sz w:val="24"/>
          <w:szCs w:val="24"/>
        </w:rPr>
        <w:t>work environment, physical and psychological domains, social issues, case management, administration and work left undone</w:t>
      </w:r>
      <w:r w:rsidR="002F59C7" w:rsidRPr="00A25023">
        <w:rPr>
          <w:rFonts w:eastAsiaTheme="minorEastAsia" w:cs="Arial"/>
          <w:sz w:val="24"/>
          <w:szCs w:val="24"/>
        </w:rPr>
        <w:t xml:space="preserve">. </w:t>
      </w:r>
      <w:r w:rsidR="0020048E" w:rsidRPr="00A25023">
        <w:rPr>
          <w:rFonts w:eastAsiaTheme="minorEastAsia" w:cs="Arial"/>
          <w:sz w:val="24"/>
          <w:szCs w:val="24"/>
        </w:rPr>
        <w:t xml:space="preserve">The IBD </w:t>
      </w:r>
      <w:r w:rsidR="00710D88" w:rsidRPr="00A25023">
        <w:rPr>
          <w:rFonts w:eastAsiaTheme="minorEastAsia" w:cs="Arial"/>
          <w:sz w:val="24"/>
          <w:szCs w:val="24"/>
        </w:rPr>
        <w:t>NS</w:t>
      </w:r>
      <w:r w:rsidR="0020048E" w:rsidRPr="00A25023">
        <w:rPr>
          <w:rFonts w:eastAsiaTheme="minorEastAsia" w:cs="Arial"/>
          <w:sz w:val="24"/>
          <w:szCs w:val="24"/>
        </w:rPr>
        <w:t xml:space="preserve"> had a similar work pattern to those in other long</w:t>
      </w:r>
      <w:r w:rsidR="004C11BD" w:rsidRPr="00A25023">
        <w:rPr>
          <w:rFonts w:eastAsiaTheme="minorEastAsia" w:cs="Arial"/>
          <w:sz w:val="24"/>
          <w:szCs w:val="24"/>
        </w:rPr>
        <w:t>-</w:t>
      </w:r>
      <w:r w:rsidR="0020048E" w:rsidRPr="00A25023">
        <w:rPr>
          <w:rFonts w:eastAsiaTheme="minorEastAsia" w:cs="Arial"/>
          <w:sz w:val="24"/>
          <w:szCs w:val="24"/>
        </w:rPr>
        <w:t xml:space="preserve">term conditions such as multiple sclerosis and rheumatology. </w:t>
      </w:r>
    </w:p>
    <w:p w14:paraId="44BD8655" w14:textId="667C75D9" w:rsidR="001D5371" w:rsidRPr="00A25023" w:rsidRDefault="00123FC6" w:rsidP="001D5371">
      <w:pPr>
        <w:spacing w:line="360" w:lineRule="auto"/>
        <w:jc w:val="both"/>
        <w:rPr>
          <w:rFonts w:eastAsiaTheme="minorEastAsia" w:cs="Arial"/>
          <w:b/>
          <w:sz w:val="24"/>
          <w:szCs w:val="24"/>
        </w:rPr>
      </w:pPr>
      <w:r w:rsidRPr="00A25023">
        <w:rPr>
          <w:rFonts w:eastAsiaTheme="minorEastAsia" w:cs="Arial"/>
          <w:b/>
          <w:sz w:val="24"/>
          <w:szCs w:val="24"/>
        </w:rPr>
        <w:t>Data collection specific to IBD</w:t>
      </w:r>
    </w:p>
    <w:p w14:paraId="25CE6C06" w14:textId="175829AC" w:rsidR="00642EB2" w:rsidRPr="00A25023" w:rsidRDefault="00642EB2" w:rsidP="001D5371">
      <w:pPr>
        <w:spacing w:after="0" w:line="360" w:lineRule="auto"/>
        <w:jc w:val="both"/>
        <w:rPr>
          <w:rFonts w:eastAsiaTheme="minorEastAsia" w:cs="Arial"/>
          <w:sz w:val="24"/>
          <w:szCs w:val="24"/>
        </w:rPr>
      </w:pPr>
      <w:r w:rsidRPr="00A25023">
        <w:rPr>
          <w:rFonts w:eastAsiaTheme="minorEastAsia" w:cs="Arial"/>
          <w:sz w:val="24"/>
          <w:szCs w:val="24"/>
        </w:rPr>
        <w:t>National data from the IBD audit</w:t>
      </w:r>
      <w:r w:rsidR="00FB09F4" w:rsidRPr="00A25023">
        <w:rPr>
          <w:rFonts w:eastAsiaTheme="minorEastAsia" w:cs="Arial"/>
          <w:sz w:val="24"/>
          <w:szCs w:val="24"/>
          <w:vertAlign w:val="superscript"/>
        </w:rPr>
        <w:t>6</w:t>
      </w:r>
      <w:r w:rsidRPr="00A25023">
        <w:rPr>
          <w:rFonts w:eastAsiaTheme="minorEastAsia" w:cs="Arial"/>
          <w:sz w:val="24"/>
          <w:szCs w:val="24"/>
        </w:rPr>
        <w:t xml:space="preserve"> regional data from Crohn</w:t>
      </w:r>
      <w:r w:rsidR="004C11BD" w:rsidRPr="00A25023">
        <w:rPr>
          <w:rFonts w:eastAsiaTheme="minorEastAsia" w:cs="Arial"/>
          <w:sz w:val="24"/>
          <w:szCs w:val="24"/>
        </w:rPr>
        <w:t>’</w:t>
      </w:r>
      <w:r w:rsidRPr="00A25023">
        <w:rPr>
          <w:rFonts w:eastAsiaTheme="minorEastAsia" w:cs="Arial"/>
          <w:sz w:val="24"/>
          <w:szCs w:val="24"/>
        </w:rPr>
        <w:t xml:space="preserve">s </w:t>
      </w:r>
      <w:r w:rsidR="004C11BD" w:rsidRPr="00A25023">
        <w:rPr>
          <w:rFonts w:eastAsiaTheme="minorEastAsia" w:cs="Arial"/>
          <w:sz w:val="24"/>
          <w:szCs w:val="24"/>
        </w:rPr>
        <w:t>and</w:t>
      </w:r>
      <w:r w:rsidRPr="00A25023">
        <w:rPr>
          <w:rFonts w:eastAsiaTheme="minorEastAsia" w:cs="Arial"/>
          <w:sz w:val="24"/>
          <w:szCs w:val="24"/>
        </w:rPr>
        <w:t xml:space="preserve"> Colitis UK on current workforce</w:t>
      </w:r>
      <w:r w:rsidR="006D6826" w:rsidRPr="00A25023">
        <w:rPr>
          <w:rFonts w:eastAsiaTheme="minorEastAsia" w:cs="Arial"/>
          <w:sz w:val="24"/>
          <w:szCs w:val="24"/>
          <w:vertAlign w:val="superscript"/>
        </w:rPr>
        <w:t>1</w:t>
      </w:r>
      <w:r w:rsidR="006C27F9" w:rsidRPr="00A25023">
        <w:rPr>
          <w:rFonts w:eastAsiaTheme="minorEastAsia" w:cs="Arial"/>
          <w:sz w:val="24"/>
          <w:szCs w:val="24"/>
          <w:vertAlign w:val="superscript"/>
        </w:rPr>
        <w:t>8</w:t>
      </w:r>
      <w:r w:rsidRPr="00A25023">
        <w:rPr>
          <w:rFonts w:eastAsiaTheme="minorEastAsia" w:cs="Arial"/>
          <w:sz w:val="24"/>
          <w:szCs w:val="24"/>
        </w:rPr>
        <w:t xml:space="preserve"> and population data on the incidence of IBD</w:t>
      </w:r>
      <w:r w:rsidR="006D6826" w:rsidRPr="00A25023">
        <w:rPr>
          <w:rFonts w:eastAsiaTheme="minorEastAsia" w:cs="Arial"/>
          <w:sz w:val="24"/>
          <w:szCs w:val="24"/>
          <w:vertAlign w:val="superscript"/>
        </w:rPr>
        <w:t>1</w:t>
      </w:r>
      <w:r w:rsidR="006C27F9" w:rsidRPr="00A25023">
        <w:rPr>
          <w:rFonts w:eastAsiaTheme="minorEastAsia" w:cs="Arial"/>
          <w:sz w:val="24"/>
          <w:szCs w:val="24"/>
          <w:vertAlign w:val="superscript"/>
        </w:rPr>
        <w:t>9</w:t>
      </w:r>
      <w:r w:rsidRPr="00A25023">
        <w:rPr>
          <w:rFonts w:eastAsiaTheme="minorEastAsia" w:cs="Arial"/>
          <w:sz w:val="24"/>
          <w:szCs w:val="24"/>
        </w:rPr>
        <w:t xml:space="preserve"> was used to model demand initially. </w:t>
      </w:r>
    </w:p>
    <w:p w14:paraId="35D745D8" w14:textId="7F5563FA" w:rsidR="001D5371" w:rsidRPr="00A25023" w:rsidRDefault="001D5371" w:rsidP="001D5371">
      <w:pPr>
        <w:spacing w:after="0" w:line="360" w:lineRule="auto"/>
        <w:jc w:val="both"/>
        <w:rPr>
          <w:rFonts w:eastAsiaTheme="minorEastAsia" w:cs="Arial"/>
          <w:sz w:val="24"/>
          <w:szCs w:val="24"/>
        </w:rPr>
      </w:pPr>
      <w:r w:rsidRPr="00A25023">
        <w:rPr>
          <w:rFonts w:eastAsiaTheme="minorEastAsia" w:cs="Arial"/>
          <w:sz w:val="24"/>
          <w:szCs w:val="24"/>
        </w:rPr>
        <w:t>A 24-item questionnaire, exploring demographic data, caseload and worklo</w:t>
      </w:r>
      <w:r w:rsidR="005F53CA" w:rsidRPr="00A25023">
        <w:rPr>
          <w:rFonts w:eastAsiaTheme="minorEastAsia" w:cs="Arial"/>
          <w:sz w:val="24"/>
          <w:szCs w:val="24"/>
        </w:rPr>
        <w:t>ad</w:t>
      </w:r>
      <w:r w:rsidRPr="00A25023">
        <w:rPr>
          <w:rFonts w:eastAsiaTheme="minorEastAsia" w:cs="Arial"/>
          <w:sz w:val="24"/>
          <w:szCs w:val="24"/>
        </w:rPr>
        <w:t xml:space="preserve"> was developed for this population by consensus using clinical, patient and academic experts based on </w:t>
      </w:r>
      <w:r w:rsidR="002F59C7" w:rsidRPr="00A25023">
        <w:rPr>
          <w:rFonts w:eastAsiaTheme="minorEastAsia" w:cs="Arial"/>
          <w:sz w:val="24"/>
          <w:szCs w:val="24"/>
        </w:rPr>
        <w:t>a</w:t>
      </w:r>
      <w:r w:rsidRPr="00A25023">
        <w:rPr>
          <w:rFonts w:eastAsiaTheme="minorEastAsia" w:cs="Arial"/>
          <w:sz w:val="24"/>
          <w:szCs w:val="24"/>
        </w:rPr>
        <w:t xml:space="preserve"> previously </w:t>
      </w:r>
      <w:r w:rsidR="002F59C7" w:rsidRPr="00A25023">
        <w:rPr>
          <w:rFonts w:eastAsiaTheme="minorEastAsia" w:cs="Arial"/>
          <w:sz w:val="24"/>
          <w:szCs w:val="24"/>
        </w:rPr>
        <w:t>employed</w:t>
      </w:r>
      <w:r w:rsidRPr="00A25023">
        <w:rPr>
          <w:rFonts w:eastAsiaTheme="minorEastAsia" w:cs="Arial"/>
          <w:sz w:val="24"/>
          <w:szCs w:val="24"/>
        </w:rPr>
        <w:t xml:space="preserve"> </w:t>
      </w:r>
      <w:r w:rsidR="00A9288F" w:rsidRPr="00A25023">
        <w:rPr>
          <w:rFonts w:eastAsiaTheme="minorEastAsia" w:cs="Arial"/>
          <w:sz w:val="24"/>
          <w:szCs w:val="24"/>
        </w:rPr>
        <w:t>national stud</w:t>
      </w:r>
      <w:r w:rsidR="006C27F9" w:rsidRPr="00A25023">
        <w:rPr>
          <w:rFonts w:eastAsiaTheme="minorEastAsia" w:cs="Arial"/>
          <w:sz w:val="24"/>
          <w:szCs w:val="24"/>
        </w:rPr>
        <w:t>y</w:t>
      </w:r>
      <w:r w:rsidR="00B04491" w:rsidRPr="00A25023">
        <w:rPr>
          <w:rFonts w:eastAsiaTheme="minorEastAsia" w:cs="Arial"/>
          <w:sz w:val="24"/>
          <w:szCs w:val="24"/>
          <w:vertAlign w:val="superscript"/>
        </w:rPr>
        <w:t>10</w:t>
      </w:r>
      <w:r w:rsidRPr="00A25023">
        <w:rPr>
          <w:rFonts w:eastAsiaTheme="minorEastAsia" w:cs="Arial"/>
          <w:sz w:val="24"/>
          <w:szCs w:val="24"/>
        </w:rPr>
        <w:t>. The questionnaire was designed to gather data on activity and complexity of specialist nursing services provided including work left undone and used a format similar to the national optimum caseload modelling project</w:t>
      </w:r>
      <w:r w:rsidR="00CB52E6" w:rsidRPr="00A25023">
        <w:rPr>
          <w:rFonts w:eastAsiaTheme="minorEastAsia" w:cs="Arial"/>
          <w:sz w:val="24"/>
          <w:szCs w:val="24"/>
          <w:vertAlign w:val="superscript"/>
        </w:rPr>
        <w:t>1</w:t>
      </w:r>
      <w:r w:rsidR="006C27F9" w:rsidRPr="00A25023">
        <w:rPr>
          <w:rFonts w:eastAsiaTheme="minorEastAsia" w:cs="Arial"/>
          <w:sz w:val="24"/>
          <w:szCs w:val="24"/>
          <w:vertAlign w:val="superscript"/>
        </w:rPr>
        <w:t>5</w:t>
      </w:r>
      <w:r w:rsidRPr="00A25023">
        <w:rPr>
          <w:rFonts w:eastAsiaTheme="minorEastAsia" w:cs="Arial"/>
          <w:sz w:val="24"/>
          <w:szCs w:val="24"/>
        </w:rPr>
        <w:t>. This was transferred to an online survey tool (administered using a Survey Monkey secure account). The survey link was distributed thro</w:t>
      </w:r>
      <w:r w:rsidR="00642EB2" w:rsidRPr="00A25023">
        <w:rPr>
          <w:rFonts w:eastAsiaTheme="minorEastAsia" w:cs="Arial"/>
          <w:sz w:val="24"/>
          <w:szCs w:val="24"/>
        </w:rPr>
        <w:t xml:space="preserve">ugh the </w:t>
      </w:r>
      <w:bookmarkStart w:id="3" w:name="_Hlk512164298"/>
      <w:r w:rsidR="00642EB2" w:rsidRPr="00A25023">
        <w:rPr>
          <w:rFonts w:eastAsiaTheme="minorEastAsia" w:cs="Arial"/>
          <w:sz w:val="24"/>
          <w:szCs w:val="24"/>
        </w:rPr>
        <w:t>R</w:t>
      </w:r>
      <w:r w:rsidR="00223AF6" w:rsidRPr="00A25023">
        <w:rPr>
          <w:rFonts w:eastAsiaTheme="minorEastAsia" w:cs="Arial"/>
          <w:sz w:val="24"/>
          <w:szCs w:val="24"/>
        </w:rPr>
        <w:t xml:space="preserve">oyal </w:t>
      </w:r>
      <w:r w:rsidR="00642EB2" w:rsidRPr="00A25023">
        <w:rPr>
          <w:rFonts w:eastAsiaTheme="minorEastAsia" w:cs="Arial"/>
          <w:sz w:val="24"/>
          <w:szCs w:val="24"/>
        </w:rPr>
        <w:t>C</w:t>
      </w:r>
      <w:r w:rsidR="00223AF6" w:rsidRPr="00A25023">
        <w:rPr>
          <w:rFonts w:eastAsiaTheme="minorEastAsia" w:cs="Arial"/>
          <w:sz w:val="24"/>
          <w:szCs w:val="24"/>
        </w:rPr>
        <w:t xml:space="preserve">ollege of </w:t>
      </w:r>
      <w:r w:rsidR="00642EB2" w:rsidRPr="00A25023">
        <w:rPr>
          <w:rFonts w:eastAsiaTheme="minorEastAsia" w:cs="Arial"/>
          <w:sz w:val="24"/>
          <w:szCs w:val="24"/>
        </w:rPr>
        <w:t>N</w:t>
      </w:r>
      <w:r w:rsidR="00223AF6" w:rsidRPr="00A25023">
        <w:rPr>
          <w:rFonts w:eastAsiaTheme="minorEastAsia" w:cs="Arial"/>
          <w:sz w:val="24"/>
          <w:szCs w:val="24"/>
        </w:rPr>
        <w:t>ursing (RCN)</w:t>
      </w:r>
      <w:r w:rsidR="00642EB2" w:rsidRPr="00A25023">
        <w:rPr>
          <w:rFonts w:eastAsiaTheme="minorEastAsia" w:cs="Arial"/>
          <w:sz w:val="24"/>
          <w:szCs w:val="24"/>
        </w:rPr>
        <w:t xml:space="preserve"> </w:t>
      </w:r>
      <w:bookmarkEnd w:id="3"/>
      <w:r w:rsidR="00642EB2" w:rsidRPr="00A25023">
        <w:rPr>
          <w:rFonts w:eastAsiaTheme="minorEastAsia" w:cs="Arial"/>
          <w:sz w:val="24"/>
          <w:szCs w:val="24"/>
        </w:rPr>
        <w:t>IBD Nursing Network and other professional</w:t>
      </w:r>
      <w:r w:rsidRPr="00A25023">
        <w:rPr>
          <w:rFonts w:eastAsiaTheme="minorEastAsia" w:cs="Arial"/>
          <w:sz w:val="24"/>
          <w:szCs w:val="24"/>
        </w:rPr>
        <w:t xml:space="preserve"> mailing lists during February 2017. </w:t>
      </w:r>
      <w:r w:rsidR="00FE302F" w:rsidRPr="00A25023">
        <w:rPr>
          <w:rFonts w:eastAsiaTheme="minorEastAsia" w:cs="Arial"/>
          <w:sz w:val="24"/>
          <w:szCs w:val="24"/>
        </w:rPr>
        <w:t>One hundred and sixty</w:t>
      </w:r>
      <w:r w:rsidR="00BC739B" w:rsidRPr="00A25023">
        <w:rPr>
          <w:rFonts w:eastAsiaTheme="minorEastAsia" w:cs="Arial"/>
          <w:sz w:val="24"/>
          <w:szCs w:val="24"/>
        </w:rPr>
        <w:t>-</w:t>
      </w:r>
      <w:r w:rsidR="00FE302F" w:rsidRPr="00A25023">
        <w:rPr>
          <w:rFonts w:eastAsiaTheme="minorEastAsia" w:cs="Arial"/>
          <w:sz w:val="24"/>
          <w:szCs w:val="24"/>
        </w:rPr>
        <w:t xml:space="preserve">four </w:t>
      </w:r>
      <w:r w:rsidRPr="00A25023">
        <w:rPr>
          <w:rFonts w:eastAsiaTheme="minorEastAsia" w:cs="Arial"/>
          <w:sz w:val="24"/>
          <w:szCs w:val="24"/>
        </w:rPr>
        <w:t>participants</w:t>
      </w:r>
      <w:r w:rsidR="00803B83" w:rsidRPr="00A25023">
        <w:rPr>
          <w:rFonts w:eastAsiaTheme="minorEastAsia" w:cs="Arial"/>
          <w:sz w:val="24"/>
          <w:szCs w:val="24"/>
        </w:rPr>
        <w:t xml:space="preserve"> responded to the questionnaire. A single response</w:t>
      </w:r>
      <w:r w:rsidRPr="00A25023">
        <w:rPr>
          <w:rFonts w:eastAsiaTheme="minorEastAsia" w:cs="Arial"/>
          <w:sz w:val="24"/>
          <w:szCs w:val="24"/>
        </w:rPr>
        <w:t xml:space="preserve"> could only </w:t>
      </w:r>
      <w:r w:rsidR="00803B83" w:rsidRPr="00A25023">
        <w:rPr>
          <w:rFonts w:eastAsiaTheme="minorEastAsia" w:cs="Arial"/>
          <w:sz w:val="24"/>
          <w:szCs w:val="24"/>
        </w:rPr>
        <w:t xml:space="preserve">be </w:t>
      </w:r>
      <w:r w:rsidRPr="00A25023">
        <w:rPr>
          <w:rFonts w:eastAsiaTheme="minorEastAsia" w:cs="Arial"/>
          <w:sz w:val="24"/>
          <w:szCs w:val="24"/>
        </w:rPr>
        <w:t>submit</w:t>
      </w:r>
      <w:r w:rsidR="00803B83" w:rsidRPr="00A25023">
        <w:rPr>
          <w:rFonts w:eastAsiaTheme="minorEastAsia" w:cs="Arial"/>
          <w:sz w:val="24"/>
          <w:szCs w:val="24"/>
        </w:rPr>
        <w:t>ted</w:t>
      </w:r>
      <w:r w:rsidRPr="00A25023">
        <w:rPr>
          <w:rFonts w:eastAsiaTheme="minorEastAsia" w:cs="Arial"/>
          <w:sz w:val="24"/>
          <w:szCs w:val="24"/>
        </w:rPr>
        <w:t xml:space="preserve"> from each computer. Analysis of the survey took place in March 2017.</w:t>
      </w:r>
    </w:p>
    <w:p w14:paraId="1E9F3694" w14:textId="77777777" w:rsidR="001D5371" w:rsidRPr="00A25023" w:rsidRDefault="001D5371" w:rsidP="001D5371">
      <w:pPr>
        <w:spacing w:line="360" w:lineRule="auto"/>
        <w:jc w:val="both"/>
        <w:rPr>
          <w:rFonts w:eastAsiaTheme="minorEastAsia" w:cs="Arial"/>
          <w:b/>
          <w:sz w:val="24"/>
          <w:szCs w:val="24"/>
        </w:rPr>
      </w:pPr>
      <w:r w:rsidRPr="00A25023">
        <w:rPr>
          <w:rFonts w:eastAsiaTheme="minorEastAsia" w:cs="Arial"/>
          <w:b/>
          <w:sz w:val="24"/>
          <w:szCs w:val="24"/>
        </w:rPr>
        <w:t>Data analysis</w:t>
      </w:r>
    </w:p>
    <w:p w14:paraId="5CFD8DB3" w14:textId="38BC4864" w:rsidR="003146B9" w:rsidRPr="00A25023" w:rsidRDefault="001D5371" w:rsidP="001D5371">
      <w:pPr>
        <w:spacing w:line="360" w:lineRule="auto"/>
        <w:jc w:val="both"/>
        <w:rPr>
          <w:rFonts w:eastAsiaTheme="minorEastAsia"/>
          <w:sz w:val="24"/>
          <w:szCs w:val="24"/>
        </w:rPr>
      </w:pPr>
      <w:r w:rsidRPr="00A25023">
        <w:rPr>
          <w:rFonts w:eastAsiaTheme="minorEastAsia" w:cs="Arial"/>
          <w:sz w:val="24"/>
          <w:szCs w:val="24"/>
        </w:rPr>
        <w:t xml:space="preserve">Data were exported into Excel and modelled using descriptive statistics for example demographics, pay band and length of service, workload, interventions delivered, work left </w:t>
      </w:r>
      <w:r w:rsidRPr="00A25023">
        <w:rPr>
          <w:rFonts w:eastAsiaTheme="minorEastAsia" w:cs="Arial"/>
          <w:sz w:val="24"/>
          <w:szCs w:val="24"/>
        </w:rPr>
        <w:lastRenderedPageBreak/>
        <w:t>undone and educational background.  Free text comments were analysed using thematic content analysis</w:t>
      </w:r>
      <w:r w:rsidR="006C27F9" w:rsidRPr="00A25023">
        <w:rPr>
          <w:rFonts w:eastAsiaTheme="minorEastAsia" w:cs="Arial"/>
          <w:sz w:val="24"/>
          <w:szCs w:val="24"/>
          <w:vertAlign w:val="superscript"/>
        </w:rPr>
        <w:t>20</w:t>
      </w:r>
      <w:r w:rsidRPr="00A25023">
        <w:rPr>
          <w:rFonts w:eastAsiaTheme="minorEastAsia" w:cs="Arial"/>
          <w:sz w:val="24"/>
          <w:szCs w:val="24"/>
        </w:rPr>
        <w:t xml:space="preserve">. </w:t>
      </w:r>
      <w:r w:rsidRPr="00A25023">
        <w:rPr>
          <w:rFonts w:eastAsiaTheme="minorEastAsia"/>
          <w:sz w:val="24"/>
          <w:szCs w:val="24"/>
        </w:rPr>
        <w:t>Thematic content analysis is the approach best suited to free text questions in an otherwise quantitative questionnaire as it does not rely on interpretation of data but instead reflects a ‘low hovering over the data’.</w:t>
      </w:r>
    </w:p>
    <w:p w14:paraId="7574E588" w14:textId="77777777" w:rsidR="002D7E71" w:rsidRPr="00A25023" w:rsidRDefault="002D7E71" w:rsidP="002D7E71">
      <w:pPr>
        <w:spacing w:line="360" w:lineRule="auto"/>
        <w:jc w:val="both"/>
        <w:rPr>
          <w:rFonts w:eastAsiaTheme="minorEastAsia" w:cstheme="minorHAnsi"/>
          <w:b/>
          <w:sz w:val="24"/>
          <w:szCs w:val="24"/>
        </w:rPr>
      </w:pPr>
      <w:r w:rsidRPr="00A25023">
        <w:rPr>
          <w:rFonts w:eastAsiaTheme="minorEastAsia"/>
          <w:b/>
          <w:sz w:val="24"/>
          <w:szCs w:val="24"/>
        </w:rPr>
        <w:t>Caseload calculations</w:t>
      </w:r>
    </w:p>
    <w:p w14:paraId="20967A1C" w14:textId="38DCD6AB" w:rsidR="002D7E71" w:rsidRPr="00A25023" w:rsidRDefault="002D7E71" w:rsidP="002D7E71">
      <w:pPr>
        <w:spacing w:line="360" w:lineRule="auto"/>
        <w:rPr>
          <w:rFonts w:eastAsiaTheme="minorEastAsia"/>
          <w:sz w:val="24"/>
          <w:szCs w:val="24"/>
        </w:rPr>
      </w:pPr>
      <w:r w:rsidRPr="00A25023">
        <w:rPr>
          <w:rFonts w:eastAsiaTheme="minorEastAsia"/>
          <w:sz w:val="24"/>
          <w:szCs w:val="24"/>
        </w:rPr>
        <w:t xml:space="preserve">Responses to the Survey Monkey workload questionnaire were received from 164 nurses who completed the questionnaire in whole or in part. The total population of </w:t>
      </w:r>
      <w:r w:rsidR="00710D88" w:rsidRPr="00A25023">
        <w:rPr>
          <w:rFonts w:eastAsiaTheme="minorEastAsia"/>
          <w:sz w:val="24"/>
          <w:szCs w:val="24"/>
        </w:rPr>
        <w:t>NS</w:t>
      </w:r>
      <w:r w:rsidRPr="00A25023">
        <w:rPr>
          <w:rFonts w:eastAsiaTheme="minorEastAsia"/>
          <w:sz w:val="24"/>
          <w:szCs w:val="24"/>
        </w:rPr>
        <w:t xml:space="preserve"> in the UK is around 300 by headcount (FTE is unknown) so this equates to a 55% response rate.</w:t>
      </w:r>
    </w:p>
    <w:p w14:paraId="202215FD" w14:textId="7ADF3B5A" w:rsidR="00123FC6" w:rsidRPr="00A25023" w:rsidRDefault="00123FC6" w:rsidP="001D5371">
      <w:pPr>
        <w:spacing w:line="360" w:lineRule="auto"/>
        <w:jc w:val="both"/>
        <w:rPr>
          <w:rFonts w:eastAsiaTheme="minorEastAsia"/>
          <w:b/>
          <w:sz w:val="24"/>
          <w:szCs w:val="24"/>
        </w:rPr>
      </w:pPr>
      <w:r w:rsidRPr="00A25023">
        <w:rPr>
          <w:rFonts w:eastAsiaTheme="minorEastAsia"/>
          <w:b/>
          <w:sz w:val="24"/>
          <w:szCs w:val="24"/>
        </w:rPr>
        <w:t>Results</w:t>
      </w:r>
    </w:p>
    <w:p w14:paraId="28C90837" w14:textId="7A12F616" w:rsidR="00574BAD" w:rsidRPr="00A25023" w:rsidRDefault="00574BAD" w:rsidP="001D5371">
      <w:pPr>
        <w:spacing w:line="360" w:lineRule="auto"/>
        <w:jc w:val="both"/>
        <w:rPr>
          <w:rFonts w:eastAsiaTheme="minorEastAsia"/>
          <w:b/>
          <w:sz w:val="24"/>
          <w:szCs w:val="24"/>
        </w:rPr>
      </w:pPr>
      <w:r w:rsidRPr="00A25023">
        <w:rPr>
          <w:rFonts w:eastAsiaTheme="minorEastAsia"/>
          <w:b/>
          <w:sz w:val="24"/>
          <w:szCs w:val="24"/>
        </w:rPr>
        <w:t>Respondent’s Demographic Data</w:t>
      </w:r>
      <w:r w:rsidR="00A9288F" w:rsidRPr="00A25023">
        <w:rPr>
          <w:rFonts w:eastAsiaTheme="minorEastAsia"/>
          <w:b/>
          <w:sz w:val="24"/>
          <w:szCs w:val="24"/>
        </w:rPr>
        <w:t xml:space="preserve"> and </w:t>
      </w:r>
      <w:r w:rsidR="00B75476" w:rsidRPr="00A25023">
        <w:rPr>
          <w:rFonts w:eastAsiaTheme="minorEastAsia"/>
          <w:b/>
          <w:sz w:val="24"/>
          <w:szCs w:val="24"/>
        </w:rPr>
        <w:t>E</w:t>
      </w:r>
      <w:r w:rsidR="00A9288F" w:rsidRPr="00A25023">
        <w:rPr>
          <w:rFonts w:eastAsiaTheme="minorEastAsia"/>
          <w:b/>
          <w:sz w:val="24"/>
          <w:szCs w:val="24"/>
        </w:rPr>
        <w:t>pidemiology of IBD in the UK</w:t>
      </w:r>
    </w:p>
    <w:p w14:paraId="5FE52144" w14:textId="77777777" w:rsidR="00574BAD" w:rsidRPr="00A25023" w:rsidRDefault="00574BAD" w:rsidP="001D5371">
      <w:pPr>
        <w:spacing w:line="360" w:lineRule="auto"/>
        <w:jc w:val="both"/>
        <w:rPr>
          <w:rFonts w:eastAsiaTheme="minorEastAsia"/>
          <w:sz w:val="24"/>
          <w:szCs w:val="24"/>
        </w:rPr>
      </w:pPr>
      <w:r w:rsidRPr="00A25023">
        <w:rPr>
          <w:rFonts w:eastAsiaTheme="minorEastAsia"/>
          <w:sz w:val="24"/>
          <w:szCs w:val="24"/>
        </w:rPr>
        <w:t>The country of practice, number of hospital sites covered, length of time working with IBD patients, patient population, area of IBD practice and educational qualifications are summarised in Table 1.</w:t>
      </w:r>
    </w:p>
    <w:p w14:paraId="1FD5B257" w14:textId="4477A925" w:rsidR="00152950" w:rsidRPr="00A25023" w:rsidRDefault="00574BAD" w:rsidP="00B75476">
      <w:pPr>
        <w:spacing w:line="360" w:lineRule="auto"/>
        <w:jc w:val="center"/>
        <w:rPr>
          <w:rFonts w:eastAsiaTheme="minorEastAsia"/>
          <w:sz w:val="24"/>
          <w:szCs w:val="24"/>
        </w:rPr>
      </w:pPr>
      <w:r w:rsidRPr="00A25023">
        <w:rPr>
          <w:rFonts w:eastAsiaTheme="minorEastAsia"/>
          <w:b/>
          <w:i/>
          <w:sz w:val="24"/>
          <w:szCs w:val="24"/>
        </w:rPr>
        <w:t>Insert Table 1 here</w:t>
      </w:r>
    </w:p>
    <w:p w14:paraId="2C4AD040" w14:textId="2EA53B43" w:rsidR="00152950" w:rsidRPr="00A25023" w:rsidRDefault="00152950" w:rsidP="00152950">
      <w:pPr>
        <w:spacing w:line="360" w:lineRule="auto"/>
        <w:rPr>
          <w:rFonts w:eastAsiaTheme="minorEastAsia"/>
          <w:b/>
          <w:sz w:val="24"/>
          <w:szCs w:val="24"/>
        </w:rPr>
      </w:pPr>
      <w:r w:rsidRPr="00A25023">
        <w:rPr>
          <w:rFonts w:eastAsiaTheme="minorEastAsia"/>
          <w:b/>
          <w:sz w:val="24"/>
          <w:szCs w:val="24"/>
        </w:rPr>
        <w:t>Time Spent Providing Care for IBD Patients</w:t>
      </w:r>
    </w:p>
    <w:p w14:paraId="4D23E7EA" w14:textId="22E74641" w:rsidR="00152950" w:rsidRPr="00A25023" w:rsidRDefault="00152950" w:rsidP="00152950">
      <w:pPr>
        <w:spacing w:line="360" w:lineRule="auto"/>
        <w:rPr>
          <w:rFonts w:eastAsiaTheme="minorEastAsia"/>
          <w:sz w:val="24"/>
          <w:szCs w:val="24"/>
        </w:rPr>
      </w:pPr>
      <w:r w:rsidRPr="00A25023">
        <w:rPr>
          <w:rFonts w:eastAsiaTheme="minorEastAsia"/>
          <w:sz w:val="24"/>
          <w:szCs w:val="24"/>
        </w:rPr>
        <w:t>To determine how much of their time was spent caring for IBD patients’ respondents were asked to estimate the percentage of time they spent providing care for IBD patients.</w:t>
      </w:r>
      <w:r w:rsidR="00C11A4B" w:rsidRPr="00A25023">
        <w:rPr>
          <w:rFonts w:eastAsiaTheme="minorEastAsia"/>
          <w:sz w:val="24"/>
          <w:szCs w:val="24"/>
        </w:rPr>
        <w:t xml:space="preserve"> </w:t>
      </w:r>
      <w:r w:rsidR="00C1668E" w:rsidRPr="00A25023">
        <w:rPr>
          <w:rFonts w:eastAsiaTheme="minorEastAsia"/>
          <w:sz w:val="24"/>
          <w:szCs w:val="24"/>
        </w:rPr>
        <w:t>Thirty-one percent</w:t>
      </w:r>
      <w:r w:rsidR="00C11A4B" w:rsidRPr="00A25023">
        <w:rPr>
          <w:rFonts w:eastAsiaTheme="minorEastAsia"/>
          <w:sz w:val="24"/>
          <w:szCs w:val="24"/>
        </w:rPr>
        <w:t xml:space="preserve"> (51/164) respondents spent 100% of their time caring for IBD patients. </w:t>
      </w:r>
      <w:r w:rsidR="00C1668E" w:rsidRPr="00A25023">
        <w:rPr>
          <w:rFonts w:eastAsiaTheme="minorEastAsia"/>
          <w:sz w:val="24"/>
          <w:szCs w:val="24"/>
        </w:rPr>
        <w:t>Fifty-one percent</w:t>
      </w:r>
      <w:r w:rsidR="00C11A4B" w:rsidRPr="00A25023">
        <w:rPr>
          <w:rFonts w:eastAsiaTheme="minorEastAsia"/>
          <w:sz w:val="24"/>
          <w:szCs w:val="24"/>
        </w:rPr>
        <w:t xml:space="preserve"> (83/164) spent 80% of their time, 14% (23/164) 50% of their time and 4% (7/164) 30% of their time.</w:t>
      </w:r>
      <w:r w:rsidRPr="00A25023">
        <w:rPr>
          <w:rFonts w:eastAsiaTheme="minorEastAsia"/>
          <w:sz w:val="24"/>
          <w:szCs w:val="24"/>
        </w:rPr>
        <w:t xml:space="preserve"> No respondents spent less than 30% of their time working with IBD patients. </w:t>
      </w:r>
    </w:p>
    <w:p w14:paraId="13102B9C" w14:textId="4E297955" w:rsidR="00152950" w:rsidRPr="00A25023" w:rsidRDefault="00152950" w:rsidP="00152950">
      <w:pPr>
        <w:spacing w:line="360" w:lineRule="auto"/>
        <w:rPr>
          <w:rFonts w:eastAsiaTheme="minorEastAsia"/>
          <w:b/>
          <w:sz w:val="24"/>
          <w:szCs w:val="24"/>
        </w:rPr>
      </w:pPr>
      <w:r w:rsidRPr="00A25023">
        <w:rPr>
          <w:rFonts w:eastAsiaTheme="minorEastAsia"/>
          <w:b/>
          <w:sz w:val="24"/>
          <w:szCs w:val="24"/>
        </w:rPr>
        <w:t>Contracted Hours of Work</w:t>
      </w:r>
    </w:p>
    <w:p w14:paraId="6E65A968" w14:textId="30AD3621" w:rsidR="00152950" w:rsidRPr="00A25023" w:rsidRDefault="00152950" w:rsidP="001D5A84">
      <w:pPr>
        <w:spacing w:line="360" w:lineRule="auto"/>
        <w:rPr>
          <w:rFonts w:eastAsiaTheme="minorEastAsia"/>
          <w:sz w:val="24"/>
          <w:szCs w:val="24"/>
        </w:rPr>
      </w:pPr>
      <w:r w:rsidRPr="00A25023">
        <w:rPr>
          <w:rFonts w:eastAsiaTheme="minorEastAsia"/>
          <w:sz w:val="24"/>
          <w:szCs w:val="24"/>
        </w:rPr>
        <w:t xml:space="preserve">Respondents were asked to state their contracted hours of work. </w:t>
      </w:r>
      <w:r w:rsidR="00C1668E" w:rsidRPr="00A25023">
        <w:rPr>
          <w:rFonts w:eastAsiaTheme="minorEastAsia"/>
          <w:sz w:val="24"/>
          <w:szCs w:val="24"/>
        </w:rPr>
        <w:t>Seventy-two percent</w:t>
      </w:r>
      <w:r w:rsidRPr="00A25023">
        <w:rPr>
          <w:rFonts w:eastAsiaTheme="minorEastAsia"/>
          <w:sz w:val="24"/>
          <w:szCs w:val="24"/>
        </w:rPr>
        <w:t xml:space="preserve"> of respondents were contracted to work 36 to 37.5 hours per week. </w:t>
      </w:r>
      <w:r w:rsidR="00C1668E" w:rsidRPr="00A25023">
        <w:rPr>
          <w:rFonts w:eastAsiaTheme="minorEastAsia"/>
          <w:sz w:val="24"/>
          <w:szCs w:val="24"/>
        </w:rPr>
        <w:t>Nine percent</w:t>
      </w:r>
      <w:r w:rsidRPr="00A25023">
        <w:rPr>
          <w:rFonts w:eastAsiaTheme="minorEastAsia"/>
          <w:sz w:val="24"/>
          <w:szCs w:val="24"/>
        </w:rPr>
        <w:t xml:space="preserve"> worked 26 to 30 hours, 6% worked 21 to 25 hours, 6% more than 37.5 hours, 4% 31 to 35 hours, 2% 7.5 to 15 hours</w:t>
      </w:r>
      <w:r w:rsidR="002D7E71" w:rsidRPr="00A25023">
        <w:rPr>
          <w:rFonts w:eastAsiaTheme="minorEastAsia"/>
          <w:sz w:val="24"/>
          <w:szCs w:val="24"/>
        </w:rPr>
        <w:t xml:space="preserve"> and 1% 16 to 20 hours</w:t>
      </w:r>
      <w:r w:rsidRPr="00A25023">
        <w:rPr>
          <w:rFonts w:eastAsiaTheme="minorEastAsia"/>
          <w:sz w:val="24"/>
          <w:szCs w:val="24"/>
        </w:rPr>
        <w:t xml:space="preserve">. </w:t>
      </w:r>
      <w:r w:rsidR="001D5A84" w:rsidRPr="00A25023">
        <w:rPr>
          <w:rFonts w:eastAsiaTheme="minorEastAsia"/>
          <w:sz w:val="24"/>
          <w:szCs w:val="24"/>
        </w:rPr>
        <w:t>In total this represents</w:t>
      </w:r>
      <w:r w:rsidR="005F29CF" w:rsidRPr="00A25023">
        <w:rPr>
          <w:rFonts w:eastAsiaTheme="minorEastAsia"/>
          <w:sz w:val="24"/>
          <w:szCs w:val="24"/>
        </w:rPr>
        <w:t xml:space="preserve"> approximately</w:t>
      </w:r>
      <w:r w:rsidR="001D5A84" w:rsidRPr="00A25023">
        <w:rPr>
          <w:rFonts w:eastAsiaTheme="minorEastAsia"/>
          <w:sz w:val="24"/>
          <w:szCs w:val="24"/>
        </w:rPr>
        <w:t xml:space="preserve"> 149 FTE for the 161 respondents</w:t>
      </w:r>
      <w:r w:rsidR="00C11A4B" w:rsidRPr="00A25023">
        <w:rPr>
          <w:rFonts w:eastAsiaTheme="minorEastAsia"/>
          <w:sz w:val="24"/>
          <w:szCs w:val="24"/>
        </w:rPr>
        <w:t xml:space="preserve"> to this question</w:t>
      </w:r>
      <w:r w:rsidR="001D5A84" w:rsidRPr="00A25023">
        <w:rPr>
          <w:rFonts w:eastAsiaTheme="minorEastAsia"/>
          <w:sz w:val="24"/>
          <w:szCs w:val="24"/>
        </w:rPr>
        <w:t>.</w:t>
      </w:r>
    </w:p>
    <w:p w14:paraId="04590E83" w14:textId="77777777" w:rsidR="00710D88" w:rsidRPr="00A25023" w:rsidRDefault="00710D88" w:rsidP="00152950">
      <w:pPr>
        <w:spacing w:line="360" w:lineRule="auto"/>
        <w:rPr>
          <w:rFonts w:eastAsiaTheme="minorEastAsia"/>
          <w:b/>
          <w:sz w:val="24"/>
          <w:szCs w:val="24"/>
        </w:rPr>
      </w:pPr>
    </w:p>
    <w:p w14:paraId="56827CC0" w14:textId="0B2422D5" w:rsidR="00152950" w:rsidRPr="00A25023" w:rsidRDefault="00152950" w:rsidP="00152950">
      <w:pPr>
        <w:spacing w:line="360" w:lineRule="auto"/>
        <w:rPr>
          <w:rFonts w:eastAsiaTheme="minorEastAsia"/>
          <w:b/>
          <w:sz w:val="24"/>
          <w:szCs w:val="24"/>
        </w:rPr>
      </w:pPr>
      <w:r w:rsidRPr="00A25023">
        <w:rPr>
          <w:rFonts w:eastAsiaTheme="minorEastAsia"/>
          <w:b/>
          <w:sz w:val="24"/>
          <w:szCs w:val="24"/>
        </w:rPr>
        <w:lastRenderedPageBreak/>
        <w:t>Unpaid Overtime Worked per Week</w:t>
      </w:r>
    </w:p>
    <w:p w14:paraId="66F8C8CF" w14:textId="5A2AC061" w:rsidR="00152950" w:rsidRPr="00A25023" w:rsidRDefault="00152950" w:rsidP="00152950">
      <w:pPr>
        <w:spacing w:line="360" w:lineRule="auto"/>
        <w:rPr>
          <w:rFonts w:eastAsiaTheme="minorEastAsia"/>
          <w:sz w:val="24"/>
          <w:szCs w:val="24"/>
        </w:rPr>
      </w:pPr>
      <w:r w:rsidRPr="00A25023">
        <w:rPr>
          <w:rFonts w:eastAsiaTheme="minorEastAsia"/>
          <w:sz w:val="24"/>
          <w:szCs w:val="24"/>
        </w:rPr>
        <w:t xml:space="preserve">To ascertain how much unpaid overtime (including working through meal breaks) respondents carried out regularly per week they were given five options to choose from. </w:t>
      </w:r>
      <w:r w:rsidR="00C1668E" w:rsidRPr="00A25023">
        <w:rPr>
          <w:rFonts w:eastAsiaTheme="minorEastAsia"/>
          <w:sz w:val="24"/>
          <w:szCs w:val="24"/>
        </w:rPr>
        <w:t>Sixteen percent</w:t>
      </w:r>
      <w:r w:rsidRPr="00A25023">
        <w:rPr>
          <w:rFonts w:eastAsiaTheme="minorEastAsia"/>
          <w:sz w:val="24"/>
          <w:szCs w:val="24"/>
        </w:rPr>
        <w:t xml:space="preserve"> </w:t>
      </w:r>
      <w:r w:rsidR="00C11A4B" w:rsidRPr="00A25023">
        <w:rPr>
          <w:rFonts w:eastAsiaTheme="minorEastAsia"/>
          <w:sz w:val="24"/>
          <w:szCs w:val="24"/>
        </w:rPr>
        <w:t xml:space="preserve">(25/160) </w:t>
      </w:r>
      <w:r w:rsidRPr="00A25023">
        <w:rPr>
          <w:rFonts w:eastAsiaTheme="minorEastAsia"/>
          <w:sz w:val="24"/>
          <w:szCs w:val="24"/>
        </w:rPr>
        <w:t xml:space="preserve">of respondents reported that they carried out no regular unpaid overtime. </w:t>
      </w:r>
      <w:r w:rsidR="00C1668E" w:rsidRPr="00A25023">
        <w:rPr>
          <w:rFonts w:eastAsiaTheme="minorEastAsia"/>
          <w:sz w:val="24"/>
          <w:szCs w:val="24"/>
        </w:rPr>
        <w:t>Thirty-two percent</w:t>
      </w:r>
      <w:r w:rsidRPr="00A25023">
        <w:rPr>
          <w:rFonts w:eastAsiaTheme="minorEastAsia"/>
          <w:sz w:val="24"/>
          <w:szCs w:val="24"/>
        </w:rPr>
        <w:t xml:space="preserve"> </w:t>
      </w:r>
      <w:r w:rsidR="00C11A4B" w:rsidRPr="00A25023">
        <w:rPr>
          <w:rFonts w:eastAsiaTheme="minorEastAsia"/>
          <w:sz w:val="24"/>
          <w:szCs w:val="24"/>
        </w:rPr>
        <w:t xml:space="preserve">(51/160) </w:t>
      </w:r>
      <w:r w:rsidRPr="00A25023">
        <w:rPr>
          <w:rFonts w:eastAsiaTheme="minorEastAsia"/>
          <w:sz w:val="24"/>
          <w:szCs w:val="24"/>
        </w:rPr>
        <w:t>carried out between 1 and 3 hours’ unpaid work, 36%</w:t>
      </w:r>
      <w:r w:rsidR="00C11A4B" w:rsidRPr="00A25023">
        <w:rPr>
          <w:rFonts w:eastAsiaTheme="minorEastAsia"/>
          <w:sz w:val="24"/>
          <w:szCs w:val="24"/>
        </w:rPr>
        <w:t xml:space="preserve"> (57/160)</w:t>
      </w:r>
      <w:r w:rsidRPr="00A25023">
        <w:rPr>
          <w:rFonts w:eastAsiaTheme="minorEastAsia"/>
          <w:sz w:val="24"/>
          <w:szCs w:val="24"/>
        </w:rPr>
        <w:t xml:space="preserve"> 4 to 7 hours, 10% </w:t>
      </w:r>
      <w:r w:rsidR="00C11A4B" w:rsidRPr="00A25023">
        <w:rPr>
          <w:rFonts w:eastAsiaTheme="minorEastAsia"/>
          <w:sz w:val="24"/>
          <w:szCs w:val="24"/>
        </w:rPr>
        <w:t xml:space="preserve">(16/160) </w:t>
      </w:r>
      <w:r w:rsidRPr="00A25023">
        <w:rPr>
          <w:rFonts w:eastAsiaTheme="minorEastAsia"/>
          <w:sz w:val="24"/>
          <w:szCs w:val="24"/>
        </w:rPr>
        <w:t>7 to 10 hours and 7%</w:t>
      </w:r>
      <w:r w:rsidR="00C11A4B" w:rsidRPr="00A25023">
        <w:rPr>
          <w:rFonts w:eastAsiaTheme="minorEastAsia"/>
          <w:sz w:val="24"/>
          <w:szCs w:val="24"/>
        </w:rPr>
        <w:t xml:space="preserve"> (11/160)</w:t>
      </w:r>
      <w:r w:rsidRPr="00A25023">
        <w:rPr>
          <w:rFonts w:eastAsiaTheme="minorEastAsia"/>
          <w:sz w:val="24"/>
          <w:szCs w:val="24"/>
        </w:rPr>
        <w:t xml:space="preserve"> more than 10 hours. . </w:t>
      </w:r>
      <w:r w:rsidR="00C11A4B" w:rsidRPr="00A25023">
        <w:rPr>
          <w:rFonts w:eastAsiaTheme="minorEastAsia"/>
          <w:sz w:val="24"/>
          <w:szCs w:val="24"/>
        </w:rPr>
        <w:t>This equates to approximately 661 hours of unpaid overtime worked per week in total by respon</w:t>
      </w:r>
      <w:r w:rsidR="009E468A" w:rsidRPr="00A25023">
        <w:rPr>
          <w:rFonts w:eastAsiaTheme="minorEastAsia"/>
          <w:sz w:val="24"/>
          <w:szCs w:val="24"/>
        </w:rPr>
        <w:t>den</w:t>
      </w:r>
      <w:r w:rsidR="00C11A4B" w:rsidRPr="00A25023">
        <w:rPr>
          <w:rFonts w:eastAsiaTheme="minorEastAsia"/>
          <w:sz w:val="24"/>
          <w:szCs w:val="24"/>
        </w:rPr>
        <w:t xml:space="preserve">ts as a whole (assuming median values of 2, 5.5, 8.5 and 10 hours extra for the four categories reporting unpaid overtime) </w:t>
      </w:r>
      <w:r w:rsidR="00247EC4" w:rsidRPr="00A25023">
        <w:rPr>
          <w:rFonts w:eastAsiaTheme="minorEastAsia"/>
          <w:sz w:val="24"/>
          <w:szCs w:val="24"/>
        </w:rPr>
        <w:t xml:space="preserve">or 4.13 hours each </w:t>
      </w:r>
      <w:r w:rsidR="00C11A4B" w:rsidRPr="00A25023">
        <w:rPr>
          <w:rFonts w:eastAsiaTheme="minorEastAsia"/>
          <w:sz w:val="24"/>
          <w:szCs w:val="24"/>
        </w:rPr>
        <w:t>which is equivalent to</w:t>
      </w:r>
      <w:r w:rsidR="001D5A84" w:rsidRPr="00A25023">
        <w:rPr>
          <w:rFonts w:eastAsiaTheme="minorEastAsia"/>
          <w:sz w:val="24"/>
          <w:szCs w:val="24"/>
        </w:rPr>
        <w:t xml:space="preserve"> </w:t>
      </w:r>
      <w:r w:rsidR="005F29CF" w:rsidRPr="00A25023">
        <w:rPr>
          <w:rFonts w:eastAsiaTheme="minorEastAsia"/>
          <w:sz w:val="24"/>
          <w:szCs w:val="24"/>
        </w:rPr>
        <w:t xml:space="preserve">approximately </w:t>
      </w:r>
      <w:r w:rsidR="001D5A84" w:rsidRPr="00A25023">
        <w:rPr>
          <w:rFonts w:eastAsiaTheme="minorEastAsia"/>
          <w:sz w:val="24"/>
          <w:szCs w:val="24"/>
        </w:rPr>
        <w:t>17.6 FTE unpaid overtime being worked</w:t>
      </w:r>
      <w:r w:rsidR="00C11A4B" w:rsidRPr="00A25023">
        <w:rPr>
          <w:rFonts w:eastAsiaTheme="minorEastAsia"/>
          <w:sz w:val="24"/>
          <w:szCs w:val="24"/>
        </w:rPr>
        <w:t xml:space="preserve"> per week</w:t>
      </w:r>
      <w:r w:rsidR="009E468A" w:rsidRPr="00A25023">
        <w:rPr>
          <w:rFonts w:eastAsiaTheme="minorEastAsia"/>
          <w:sz w:val="24"/>
          <w:szCs w:val="24"/>
        </w:rPr>
        <w:t xml:space="preserve"> in total</w:t>
      </w:r>
      <w:r w:rsidR="001D5A84" w:rsidRPr="00A25023">
        <w:rPr>
          <w:rFonts w:eastAsiaTheme="minorEastAsia"/>
          <w:sz w:val="24"/>
          <w:szCs w:val="24"/>
        </w:rPr>
        <w:t>.</w:t>
      </w:r>
    </w:p>
    <w:p w14:paraId="46B02CFC" w14:textId="69AE848A" w:rsidR="00152950" w:rsidRPr="00A25023" w:rsidRDefault="00152950" w:rsidP="00152950">
      <w:pPr>
        <w:spacing w:line="360" w:lineRule="auto"/>
        <w:rPr>
          <w:rFonts w:eastAsiaTheme="minorEastAsia"/>
          <w:b/>
          <w:sz w:val="24"/>
          <w:szCs w:val="24"/>
        </w:rPr>
      </w:pPr>
      <w:r w:rsidRPr="00A25023">
        <w:rPr>
          <w:rFonts w:eastAsiaTheme="minorEastAsia"/>
          <w:b/>
          <w:sz w:val="24"/>
          <w:szCs w:val="24"/>
        </w:rPr>
        <w:t>Administrative Support Provided to Respondents</w:t>
      </w:r>
    </w:p>
    <w:p w14:paraId="6FBA908B" w14:textId="77777777" w:rsidR="00152950" w:rsidRPr="00A25023" w:rsidRDefault="00152950" w:rsidP="00152950">
      <w:pPr>
        <w:spacing w:line="360" w:lineRule="auto"/>
        <w:rPr>
          <w:rFonts w:eastAsiaTheme="minorEastAsia"/>
          <w:sz w:val="24"/>
          <w:szCs w:val="24"/>
        </w:rPr>
      </w:pPr>
      <w:r w:rsidRPr="00A25023">
        <w:rPr>
          <w:rFonts w:eastAsiaTheme="minorEastAsia"/>
          <w:sz w:val="24"/>
          <w:szCs w:val="24"/>
        </w:rPr>
        <w:t xml:space="preserve">Respondents were asked how much administrative support (help with typing letters or doing routine non-clinical administration) they received each week. </w:t>
      </w:r>
    </w:p>
    <w:p w14:paraId="63480BE5" w14:textId="011FDD84" w:rsidR="001D5A84" w:rsidRPr="00A25023" w:rsidRDefault="00C1668E" w:rsidP="00152950">
      <w:pPr>
        <w:spacing w:line="360" w:lineRule="auto"/>
        <w:rPr>
          <w:rFonts w:eastAsiaTheme="minorEastAsia"/>
          <w:sz w:val="24"/>
          <w:szCs w:val="24"/>
        </w:rPr>
      </w:pPr>
      <w:r w:rsidRPr="00A25023">
        <w:rPr>
          <w:rFonts w:eastAsiaTheme="minorEastAsia"/>
          <w:sz w:val="24"/>
          <w:szCs w:val="24"/>
        </w:rPr>
        <w:t>Sixteen percent</w:t>
      </w:r>
      <w:r w:rsidR="001D5A84" w:rsidRPr="00A25023">
        <w:rPr>
          <w:rFonts w:eastAsiaTheme="minorEastAsia"/>
          <w:sz w:val="24"/>
          <w:szCs w:val="24"/>
        </w:rPr>
        <w:t xml:space="preserve"> responded that they received no admin support at all. A further 45% responded that they only received admin support for clinic letters.</w:t>
      </w:r>
    </w:p>
    <w:p w14:paraId="58139A9B" w14:textId="013749D7" w:rsidR="00152950" w:rsidRPr="00A25023" w:rsidRDefault="00152950" w:rsidP="00152950">
      <w:pPr>
        <w:spacing w:line="360" w:lineRule="auto"/>
        <w:rPr>
          <w:rFonts w:eastAsiaTheme="minorEastAsia"/>
          <w:sz w:val="24"/>
          <w:szCs w:val="24"/>
        </w:rPr>
      </w:pPr>
      <w:r w:rsidRPr="00A25023">
        <w:rPr>
          <w:rFonts w:eastAsiaTheme="minorEastAsia"/>
          <w:sz w:val="24"/>
          <w:szCs w:val="24"/>
        </w:rPr>
        <w:t>Of the respondents who did receive admin support to use as they wished 4% received between 1 and 5 hours’ support, 9% between 6 and 12 hours, 7% 13 to 20 hours and 19% more t</w:t>
      </w:r>
      <w:r w:rsidR="009E468A" w:rsidRPr="00A25023">
        <w:rPr>
          <w:rFonts w:eastAsiaTheme="minorEastAsia"/>
          <w:sz w:val="24"/>
          <w:szCs w:val="24"/>
        </w:rPr>
        <w:t>han 20 hours per week</w:t>
      </w:r>
      <w:r w:rsidRPr="00A25023">
        <w:rPr>
          <w:rFonts w:eastAsiaTheme="minorEastAsia"/>
          <w:sz w:val="24"/>
          <w:szCs w:val="24"/>
        </w:rPr>
        <w:t>.</w:t>
      </w:r>
    </w:p>
    <w:p w14:paraId="0A6654F8" w14:textId="66C9271A" w:rsidR="00152950" w:rsidRPr="00A25023" w:rsidRDefault="00152950" w:rsidP="009E468A">
      <w:pPr>
        <w:spacing w:line="360" w:lineRule="auto"/>
        <w:jc w:val="both"/>
        <w:rPr>
          <w:rFonts w:eastAsiaTheme="minorEastAsia"/>
          <w:sz w:val="24"/>
          <w:szCs w:val="24"/>
        </w:rPr>
      </w:pPr>
      <w:r w:rsidRPr="00A25023">
        <w:rPr>
          <w:rFonts w:eastAsiaTheme="minorEastAsia"/>
          <w:b/>
          <w:sz w:val="24"/>
          <w:szCs w:val="24"/>
        </w:rPr>
        <w:t>Unfilled and Frozen Vacancies</w:t>
      </w:r>
    </w:p>
    <w:p w14:paraId="12D672A8" w14:textId="6095A1F5" w:rsidR="00152950" w:rsidRPr="00A25023" w:rsidRDefault="00152950" w:rsidP="00152950">
      <w:pPr>
        <w:spacing w:line="360" w:lineRule="auto"/>
        <w:rPr>
          <w:rFonts w:eastAsiaTheme="minorEastAsia"/>
          <w:sz w:val="24"/>
          <w:szCs w:val="24"/>
        </w:rPr>
      </w:pPr>
      <w:r w:rsidRPr="00A25023">
        <w:rPr>
          <w:rFonts w:eastAsiaTheme="minorEastAsia"/>
          <w:sz w:val="24"/>
          <w:szCs w:val="24"/>
        </w:rPr>
        <w:t xml:space="preserve">To ascertain the level of unfilled and frozen posts respondents were asked how many, if any, posts were unfilled in their speciality. </w:t>
      </w:r>
      <w:r w:rsidR="00C1668E" w:rsidRPr="00A25023">
        <w:rPr>
          <w:rFonts w:eastAsiaTheme="minorEastAsia"/>
          <w:sz w:val="24"/>
          <w:szCs w:val="24"/>
        </w:rPr>
        <w:t>Seventy-seven percent</w:t>
      </w:r>
      <w:r w:rsidRPr="00A25023">
        <w:rPr>
          <w:rFonts w:eastAsiaTheme="minorEastAsia"/>
          <w:sz w:val="24"/>
          <w:szCs w:val="24"/>
        </w:rPr>
        <w:t xml:space="preserve"> of respondents had no unfilled posts. 5% of respondents had less than one FTE unfilled while 15% had one FTE unfilled. Finally, 3% of respondents had two FTE unfilled. No respondents reported any frozen posts. </w:t>
      </w:r>
    </w:p>
    <w:p w14:paraId="42D44194" w14:textId="75BFD449" w:rsidR="00152950" w:rsidRPr="00A25023" w:rsidRDefault="001D5A84" w:rsidP="009E468A">
      <w:pPr>
        <w:spacing w:line="360" w:lineRule="auto"/>
        <w:rPr>
          <w:rFonts w:eastAsiaTheme="minorEastAsia"/>
          <w:sz w:val="24"/>
          <w:szCs w:val="24"/>
        </w:rPr>
      </w:pPr>
      <w:r w:rsidRPr="00A25023">
        <w:rPr>
          <w:rFonts w:eastAsiaTheme="minorEastAsia"/>
          <w:sz w:val="24"/>
          <w:szCs w:val="24"/>
        </w:rPr>
        <w:t>This equates to approximately 24.5 FTE posts unfilled in total from this population.</w:t>
      </w:r>
    </w:p>
    <w:p w14:paraId="6A96E031" w14:textId="468E82DB" w:rsidR="00152950" w:rsidRPr="00A25023" w:rsidRDefault="00152950" w:rsidP="00152950">
      <w:pPr>
        <w:spacing w:line="360" w:lineRule="auto"/>
        <w:jc w:val="both"/>
        <w:rPr>
          <w:rFonts w:eastAsiaTheme="minorEastAsia"/>
          <w:b/>
          <w:sz w:val="24"/>
          <w:szCs w:val="24"/>
        </w:rPr>
      </w:pPr>
      <w:r w:rsidRPr="00A25023">
        <w:rPr>
          <w:rFonts w:eastAsiaTheme="minorEastAsia"/>
          <w:b/>
          <w:sz w:val="24"/>
          <w:szCs w:val="24"/>
        </w:rPr>
        <w:t>Respondents Estimated Caseload</w:t>
      </w:r>
    </w:p>
    <w:p w14:paraId="3923BAA0" w14:textId="72F62F12" w:rsidR="00152950" w:rsidRPr="00A25023" w:rsidRDefault="00152950" w:rsidP="00152950">
      <w:pPr>
        <w:spacing w:line="360" w:lineRule="auto"/>
        <w:rPr>
          <w:rFonts w:eastAsiaTheme="minorEastAsia"/>
          <w:sz w:val="24"/>
          <w:szCs w:val="24"/>
        </w:rPr>
      </w:pPr>
      <w:r w:rsidRPr="00A25023">
        <w:rPr>
          <w:rFonts w:eastAsiaTheme="minorEastAsia"/>
          <w:sz w:val="24"/>
          <w:szCs w:val="24"/>
        </w:rPr>
        <w:t>Respondents were asked to estimate their individual caseload. 63% of respondents had caseloads over 700 patients while only 25% had cas</w:t>
      </w:r>
      <w:r w:rsidR="009E468A" w:rsidRPr="00A25023">
        <w:rPr>
          <w:rFonts w:eastAsiaTheme="minorEastAsia"/>
          <w:sz w:val="24"/>
          <w:szCs w:val="24"/>
        </w:rPr>
        <w:t xml:space="preserve">eloads of 500 or less (Figure </w:t>
      </w:r>
      <w:r w:rsidR="00C1668E" w:rsidRPr="00A25023">
        <w:rPr>
          <w:rFonts w:eastAsiaTheme="minorEastAsia"/>
          <w:sz w:val="24"/>
          <w:szCs w:val="24"/>
        </w:rPr>
        <w:t>1</w:t>
      </w:r>
      <w:r w:rsidRPr="00A25023">
        <w:rPr>
          <w:rFonts w:eastAsiaTheme="minorEastAsia"/>
          <w:sz w:val="24"/>
          <w:szCs w:val="24"/>
        </w:rPr>
        <w:t xml:space="preserve">). Taken as </w:t>
      </w:r>
      <w:r w:rsidRPr="00A25023">
        <w:rPr>
          <w:rFonts w:eastAsiaTheme="minorEastAsia"/>
          <w:sz w:val="24"/>
          <w:szCs w:val="24"/>
        </w:rPr>
        <w:lastRenderedPageBreak/>
        <w:t xml:space="preserve">a whole this represents an approximate total caseload of 146,150 patients for all 148 respondents. </w:t>
      </w:r>
    </w:p>
    <w:p w14:paraId="6C727FA3" w14:textId="6978A90B" w:rsidR="00152950" w:rsidRPr="00A25023" w:rsidRDefault="00AF7289" w:rsidP="00AF7289">
      <w:pPr>
        <w:jc w:val="center"/>
        <w:rPr>
          <w:rFonts w:eastAsiaTheme="minorEastAsia"/>
          <w:b/>
          <w:i/>
          <w:sz w:val="24"/>
          <w:szCs w:val="24"/>
        </w:rPr>
      </w:pPr>
      <w:r w:rsidRPr="00A25023">
        <w:rPr>
          <w:rFonts w:eastAsiaTheme="minorEastAsia"/>
          <w:b/>
          <w:i/>
          <w:sz w:val="24"/>
          <w:szCs w:val="24"/>
        </w:rPr>
        <w:t xml:space="preserve">Insert Figure </w:t>
      </w:r>
      <w:r w:rsidR="00C1668E" w:rsidRPr="00A25023">
        <w:rPr>
          <w:rFonts w:eastAsiaTheme="minorEastAsia"/>
          <w:b/>
          <w:i/>
          <w:sz w:val="24"/>
          <w:szCs w:val="24"/>
        </w:rPr>
        <w:t>1</w:t>
      </w:r>
      <w:r w:rsidRPr="00A25023">
        <w:rPr>
          <w:rFonts w:eastAsiaTheme="minorEastAsia"/>
          <w:b/>
          <w:i/>
          <w:sz w:val="24"/>
          <w:szCs w:val="24"/>
        </w:rPr>
        <w:t xml:space="preserve"> here</w:t>
      </w:r>
    </w:p>
    <w:p w14:paraId="73A5315A" w14:textId="5020BF7A" w:rsidR="009E468A" w:rsidRPr="00A25023" w:rsidRDefault="009E468A" w:rsidP="009E468A">
      <w:pPr>
        <w:spacing w:after="0" w:line="240" w:lineRule="auto"/>
        <w:rPr>
          <w:rFonts w:eastAsiaTheme="minorEastAsia"/>
          <w:b/>
          <w:sz w:val="24"/>
          <w:szCs w:val="24"/>
        </w:rPr>
      </w:pPr>
    </w:p>
    <w:p w14:paraId="375C1EC0" w14:textId="2BAF0024" w:rsidR="00152950" w:rsidRPr="00A25023" w:rsidRDefault="00152950" w:rsidP="001D1DAC">
      <w:pPr>
        <w:spacing w:after="0" w:line="360" w:lineRule="auto"/>
        <w:rPr>
          <w:rFonts w:eastAsiaTheme="minorEastAsia"/>
          <w:b/>
          <w:sz w:val="24"/>
          <w:szCs w:val="24"/>
        </w:rPr>
      </w:pPr>
      <w:r w:rsidRPr="00A25023">
        <w:rPr>
          <w:rFonts w:eastAsiaTheme="minorEastAsia"/>
          <w:b/>
          <w:sz w:val="24"/>
          <w:szCs w:val="24"/>
        </w:rPr>
        <w:t>Respondents Work Done</w:t>
      </w:r>
    </w:p>
    <w:p w14:paraId="64146FEF" w14:textId="6D549268" w:rsidR="00152950" w:rsidRPr="00A25023" w:rsidRDefault="00152950" w:rsidP="001D1DAC">
      <w:pPr>
        <w:spacing w:line="360" w:lineRule="auto"/>
        <w:jc w:val="both"/>
        <w:rPr>
          <w:rFonts w:eastAsiaTheme="minorEastAsia"/>
          <w:color w:val="000000" w:themeColor="text1"/>
          <w:sz w:val="24"/>
          <w:szCs w:val="24"/>
        </w:rPr>
      </w:pPr>
      <w:r w:rsidRPr="00A25023">
        <w:rPr>
          <w:rFonts w:eastAsiaTheme="minorEastAsia"/>
          <w:color w:val="000000" w:themeColor="text1"/>
          <w:sz w:val="24"/>
          <w:szCs w:val="24"/>
        </w:rPr>
        <w:t xml:space="preserve">Respondents were asked if they carried out certain tasks at each level of the treatment pathway (Pre-diagnosis, diagnosis, post-diagnosis, treatment and end of treatment/follow up). </w:t>
      </w:r>
    </w:p>
    <w:p w14:paraId="3DC3CB59" w14:textId="75F31771" w:rsidR="00AF7289" w:rsidRPr="00A25023" w:rsidRDefault="00152950" w:rsidP="001D1DAC">
      <w:pPr>
        <w:spacing w:line="360" w:lineRule="auto"/>
        <w:jc w:val="both"/>
        <w:rPr>
          <w:rFonts w:eastAsiaTheme="minorEastAsia"/>
          <w:color w:val="000000" w:themeColor="text1"/>
          <w:sz w:val="24"/>
          <w:szCs w:val="24"/>
        </w:rPr>
      </w:pPr>
      <w:r w:rsidRPr="00A25023">
        <w:rPr>
          <w:rFonts w:eastAsiaTheme="minorEastAsia"/>
          <w:color w:val="000000" w:themeColor="text1"/>
          <w:sz w:val="24"/>
          <w:szCs w:val="24"/>
        </w:rPr>
        <w:t xml:space="preserve">It can be seen that as a group IBD </w:t>
      </w:r>
      <w:r w:rsidR="00710D88" w:rsidRPr="00A25023">
        <w:rPr>
          <w:rFonts w:eastAsiaTheme="minorEastAsia"/>
          <w:color w:val="000000" w:themeColor="text1"/>
          <w:sz w:val="24"/>
          <w:szCs w:val="24"/>
        </w:rPr>
        <w:t>NS</w:t>
      </w:r>
      <w:r w:rsidRPr="00A25023">
        <w:rPr>
          <w:rFonts w:eastAsiaTheme="minorEastAsia"/>
          <w:color w:val="000000" w:themeColor="text1"/>
          <w:sz w:val="24"/>
          <w:szCs w:val="24"/>
        </w:rPr>
        <w:t xml:space="preserve"> are involved in all stages of the treatment pathway. The actual level of involvement in pre-diagnosis was not anticipated by the focus group with only 55 respondents (41%) stating that they did not see patients at the pre-diagnosis stage.  The highest period of activity was at the post-diagnosis stage.</w:t>
      </w:r>
      <w:r w:rsidR="00AF7289" w:rsidRPr="00A25023">
        <w:rPr>
          <w:rFonts w:eastAsiaTheme="minorEastAsia"/>
          <w:color w:val="000000" w:themeColor="text1"/>
          <w:sz w:val="24"/>
          <w:szCs w:val="24"/>
        </w:rPr>
        <w:t xml:space="preserve"> The responses are summarised in Figure </w:t>
      </w:r>
      <w:r w:rsidR="00C1668E" w:rsidRPr="00A25023">
        <w:rPr>
          <w:rFonts w:eastAsiaTheme="minorEastAsia"/>
          <w:color w:val="000000" w:themeColor="text1"/>
          <w:sz w:val="24"/>
          <w:szCs w:val="24"/>
        </w:rPr>
        <w:t>2</w:t>
      </w:r>
      <w:r w:rsidR="00AF7289" w:rsidRPr="00A25023">
        <w:rPr>
          <w:rFonts w:eastAsiaTheme="minorEastAsia"/>
          <w:color w:val="000000" w:themeColor="text1"/>
          <w:sz w:val="24"/>
          <w:szCs w:val="24"/>
        </w:rPr>
        <w:t>.</w:t>
      </w:r>
    </w:p>
    <w:p w14:paraId="3B859F44" w14:textId="130EA8EF" w:rsidR="00041DF8" w:rsidRPr="00A25023" w:rsidRDefault="00041DF8" w:rsidP="00041DF8">
      <w:pPr>
        <w:spacing w:line="360" w:lineRule="auto"/>
        <w:jc w:val="center"/>
        <w:rPr>
          <w:rFonts w:eastAsiaTheme="minorEastAsia"/>
          <w:b/>
          <w:i/>
          <w:color w:val="000000" w:themeColor="text1"/>
          <w:sz w:val="24"/>
          <w:szCs w:val="24"/>
        </w:rPr>
      </w:pPr>
      <w:r w:rsidRPr="00A25023">
        <w:rPr>
          <w:rFonts w:eastAsiaTheme="minorEastAsia"/>
          <w:b/>
          <w:i/>
          <w:color w:val="000000" w:themeColor="text1"/>
          <w:sz w:val="24"/>
          <w:szCs w:val="24"/>
        </w:rPr>
        <w:t xml:space="preserve">Insert Figure </w:t>
      </w:r>
      <w:r w:rsidR="00C1668E" w:rsidRPr="00A25023">
        <w:rPr>
          <w:rFonts w:eastAsiaTheme="minorEastAsia"/>
          <w:b/>
          <w:i/>
          <w:color w:val="000000" w:themeColor="text1"/>
          <w:sz w:val="24"/>
          <w:szCs w:val="24"/>
        </w:rPr>
        <w:t>2</w:t>
      </w:r>
      <w:r w:rsidRPr="00A25023">
        <w:rPr>
          <w:rFonts w:eastAsiaTheme="minorEastAsia"/>
          <w:b/>
          <w:i/>
          <w:color w:val="000000" w:themeColor="text1"/>
          <w:sz w:val="24"/>
          <w:szCs w:val="24"/>
        </w:rPr>
        <w:t xml:space="preserve"> here</w:t>
      </w:r>
    </w:p>
    <w:p w14:paraId="7F1708E6" w14:textId="34738AA7" w:rsidR="00152950" w:rsidRPr="00A25023" w:rsidRDefault="009E468A" w:rsidP="001D1DAC">
      <w:pPr>
        <w:spacing w:line="360" w:lineRule="auto"/>
        <w:jc w:val="both"/>
        <w:rPr>
          <w:rFonts w:eastAsiaTheme="minorEastAsia"/>
          <w:color w:val="000000" w:themeColor="text1"/>
          <w:sz w:val="24"/>
          <w:szCs w:val="24"/>
        </w:rPr>
      </w:pPr>
      <w:r w:rsidRPr="00A25023">
        <w:rPr>
          <w:rFonts w:eastAsiaTheme="minorEastAsia"/>
          <w:color w:val="000000" w:themeColor="text1"/>
          <w:sz w:val="24"/>
          <w:szCs w:val="24"/>
        </w:rPr>
        <w:t xml:space="preserve"> The six most common interventions at each treatment stage are shown in Figure </w:t>
      </w:r>
      <w:r w:rsidR="00C1668E" w:rsidRPr="00A25023">
        <w:rPr>
          <w:rFonts w:eastAsiaTheme="minorEastAsia"/>
          <w:color w:val="000000" w:themeColor="text1"/>
          <w:sz w:val="24"/>
          <w:szCs w:val="24"/>
        </w:rPr>
        <w:t>3</w:t>
      </w:r>
      <w:r w:rsidRPr="00A25023">
        <w:rPr>
          <w:rFonts w:eastAsiaTheme="minorEastAsia"/>
          <w:color w:val="000000" w:themeColor="text1"/>
          <w:sz w:val="24"/>
          <w:szCs w:val="24"/>
        </w:rPr>
        <w:t xml:space="preserve"> with meeting information needs, symptom control, requesting imaging and recommending medication being the most common interventions.</w:t>
      </w:r>
    </w:p>
    <w:p w14:paraId="236FC0F0" w14:textId="4F9AFA7D" w:rsidR="00041DF8" w:rsidRPr="00A25023" w:rsidRDefault="00041DF8" w:rsidP="00041DF8">
      <w:pPr>
        <w:spacing w:line="360" w:lineRule="auto"/>
        <w:jc w:val="center"/>
        <w:rPr>
          <w:rFonts w:eastAsiaTheme="minorEastAsia"/>
          <w:b/>
          <w:i/>
          <w:color w:val="000000" w:themeColor="text1"/>
          <w:sz w:val="24"/>
          <w:szCs w:val="24"/>
        </w:rPr>
      </w:pPr>
      <w:r w:rsidRPr="00A25023">
        <w:rPr>
          <w:rFonts w:eastAsiaTheme="minorEastAsia"/>
          <w:b/>
          <w:i/>
          <w:color w:val="000000" w:themeColor="text1"/>
          <w:sz w:val="24"/>
          <w:szCs w:val="24"/>
        </w:rPr>
        <w:t xml:space="preserve">Insert Figure </w:t>
      </w:r>
      <w:r w:rsidR="00C1668E" w:rsidRPr="00A25023">
        <w:rPr>
          <w:rFonts w:eastAsiaTheme="minorEastAsia"/>
          <w:b/>
          <w:i/>
          <w:color w:val="000000" w:themeColor="text1"/>
          <w:sz w:val="24"/>
          <w:szCs w:val="24"/>
        </w:rPr>
        <w:t>3</w:t>
      </w:r>
      <w:r w:rsidRPr="00A25023">
        <w:rPr>
          <w:rFonts w:eastAsiaTheme="minorEastAsia"/>
          <w:b/>
          <w:i/>
          <w:color w:val="000000" w:themeColor="text1"/>
          <w:sz w:val="24"/>
          <w:szCs w:val="24"/>
        </w:rPr>
        <w:t xml:space="preserve"> here</w:t>
      </w:r>
    </w:p>
    <w:p w14:paraId="1A02E2D1" w14:textId="58C636AA" w:rsidR="00152950" w:rsidRPr="00A25023" w:rsidRDefault="00152950" w:rsidP="00152950">
      <w:pPr>
        <w:spacing w:line="360" w:lineRule="auto"/>
        <w:jc w:val="both"/>
        <w:rPr>
          <w:rFonts w:eastAsiaTheme="minorEastAsia"/>
          <w:b/>
          <w:sz w:val="24"/>
          <w:szCs w:val="24"/>
        </w:rPr>
      </w:pPr>
      <w:r w:rsidRPr="00A25023">
        <w:rPr>
          <w:rFonts w:eastAsiaTheme="minorEastAsia"/>
          <w:b/>
          <w:sz w:val="24"/>
          <w:szCs w:val="24"/>
        </w:rPr>
        <w:t>Respondent’s Sessional Work</w:t>
      </w:r>
    </w:p>
    <w:p w14:paraId="120C714B" w14:textId="078874BD" w:rsidR="00353024" w:rsidRPr="00A25023" w:rsidRDefault="00152950" w:rsidP="00152950">
      <w:pPr>
        <w:spacing w:line="360" w:lineRule="auto"/>
        <w:jc w:val="both"/>
        <w:rPr>
          <w:rFonts w:eastAsiaTheme="minorEastAsia"/>
          <w:sz w:val="24"/>
          <w:szCs w:val="24"/>
        </w:rPr>
      </w:pPr>
      <w:r w:rsidRPr="00A25023">
        <w:rPr>
          <w:rFonts w:eastAsiaTheme="minorEastAsia"/>
          <w:color w:val="000000" w:themeColor="text1"/>
          <w:sz w:val="24"/>
          <w:szCs w:val="24"/>
        </w:rPr>
        <w:t>The respondents’ work done by session is summarised in Table</w:t>
      </w:r>
      <w:r w:rsidR="005F29CF" w:rsidRPr="00A25023">
        <w:rPr>
          <w:rFonts w:eastAsiaTheme="minorEastAsia"/>
          <w:color w:val="000000" w:themeColor="text1"/>
          <w:sz w:val="24"/>
          <w:szCs w:val="24"/>
        </w:rPr>
        <w:t xml:space="preserve"> </w:t>
      </w:r>
      <w:r w:rsidR="00C1668E" w:rsidRPr="00A25023">
        <w:rPr>
          <w:rFonts w:eastAsiaTheme="minorEastAsia"/>
          <w:color w:val="000000" w:themeColor="text1"/>
          <w:sz w:val="24"/>
          <w:szCs w:val="24"/>
        </w:rPr>
        <w:t>2</w:t>
      </w:r>
      <w:r w:rsidRPr="00A25023">
        <w:rPr>
          <w:rFonts w:eastAsiaTheme="minorEastAsia"/>
          <w:color w:val="000000" w:themeColor="text1"/>
          <w:sz w:val="24"/>
          <w:szCs w:val="24"/>
        </w:rPr>
        <w:t>.</w:t>
      </w:r>
      <w:r w:rsidR="00353024" w:rsidRPr="00A25023">
        <w:rPr>
          <w:rFonts w:eastAsiaTheme="minorEastAsia"/>
          <w:color w:val="000000" w:themeColor="text1"/>
          <w:sz w:val="24"/>
          <w:szCs w:val="24"/>
        </w:rPr>
        <w:t xml:space="preserve"> </w:t>
      </w:r>
      <w:r w:rsidR="00353024" w:rsidRPr="00A25023">
        <w:rPr>
          <w:rFonts w:eastAsiaTheme="minorEastAsia"/>
          <w:sz w:val="24"/>
          <w:szCs w:val="24"/>
        </w:rPr>
        <w:t>Provision of an advice line was the most common single use of working time with 85% of respondents spending at least three sessions a week on the advice line and a total of 560 (31% of the total reported sessions) sessions being spent by all respondents.</w:t>
      </w:r>
      <w:r w:rsidR="00353024" w:rsidRPr="00A25023">
        <w:t xml:space="preserve"> </w:t>
      </w:r>
      <w:r w:rsidR="00353024" w:rsidRPr="00A25023">
        <w:rPr>
          <w:rFonts w:eastAsiaTheme="minorEastAsia"/>
          <w:sz w:val="24"/>
          <w:szCs w:val="24"/>
        </w:rPr>
        <w:t>Nurse lead outpatient clinics accounted for a further 290 sessions, more than twice the number of Consultant lead outpatient clinics at 121 sessions.</w:t>
      </w:r>
      <w:r w:rsidR="001D1DAC" w:rsidRPr="00A25023">
        <w:rPr>
          <w:rFonts w:eastAsiaTheme="minorEastAsia"/>
          <w:sz w:val="24"/>
          <w:szCs w:val="24"/>
        </w:rPr>
        <w:t xml:space="preserve"> </w:t>
      </w:r>
      <w:r w:rsidR="00353024" w:rsidRPr="00A25023">
        <w:rPr>
          <w:rFonts w:eastAsiaTheme="minorEastAsia"/>
          <w:sz w:val="24"/>
          <w:szCs w:val="24"/>
        </w:rPr>
        <w:t>Endoscopy does not appear to be common with only 36 sessions being reported.</w:t>
      </w:r>
    </w:p>
    <w:p w14:paraId="17D04B0B" w14:textId="18F33CA5" w:rsidR="00041DF8" w:rsidRPr="00A25023" w:rsidRDefault="00041DF8" w:rsidP="00041DF8">
      <w:pPr>
        <w:spacing w:line="360" w:lineRule="auto"/>
        <w:jc w:val="center"/>
        <w:rPr>
          <w:rFonts w:eastAsiaTheme="minorEastAsia"/>
          <w:b/>
          <w:i/>
          <w:sz w:val="24"/>
          <w:szCs w:val="24"/>
        </w:rPr>
      </w:pPr>
      <w:r w:rsidRPr="00A25023">
        <w:rPr>
          <w:rFonts w:eastAsiaTheme="minorEastAsia"/>
          <w:b/>
          <w:i/>
          <w:sz w:val="24"/>
          <w:szCs w:val="24"/>
        </w:rPr>
        <w:t xml:space="preserve">Insert Table </w:t>
      </w:r>
      <w:r w:rsidR="00EA5078" w:rsidRPr="00A25023">
        <w:rPr>
          <w:rFonts w:eastAsiaTheme="minorEastAsia"/>
          <w:b/>
          <w:i/>
          <w:sz w:val="24"/>
          <w:szCs w:val="24"/>
        </w:rPr>
        <w:t>2</w:t>
      </w:r>
      <w:r w:rsidRPr="00A25023">
        <w:rPr>
          <w:rFonts w:eastAsiaTheme="minorEastAsia"/>
          <w:b/>
          <w:i/>
          <w:sz w:val="24"/>
          <w:szCs w:val="24"/>
        </w:rPr>
        <w:t xml:space="preserve"> here</w:t>
      </w:r>
    </w:p>
    <w:p w14:paraId="5DE72D88" w14:textId="77777777" w:rsidR="00B75476" w:rsidRPr="00A25023" w:rsidRDefault="00B75476" w:rsidP="00152950">
      <w:pPr>
        <w:spacing w:line="360" w:lineRule="auto"/>
        <w:jc w:val="both"/>
        <w:rPr>
          <w:rFonts w:eastAsiaTheme="minorEastAsia"/>
          <w:b/>
          <w:sz w:val="24"/>
          <w:szCs w:val="24"/>
        </w:rPr>
      </w:pPr>
    </w:p>
    <w:p w14:paraId="6140E88E" w14:textId="77777777" w:rsidR="00B75476" w:rsidRPr="00A25023" w:rsidRDefault="00B75476" w:rsidP="00152950">
      <w:pPr>
        <w:spacing w:line="360" w:lineRule="auto"/>
        <w:jc w:val="both"/>
        <w:rPr>
          <w:rFonts w:eastAsiaTheme="minorEastAsia"/>
          <w:b/>
          <w:sz w:val="24"/>
          <w:szCs w:val="24"/>
        </w:rPr>
      </w:pPr>
    </w:p>
    <w:p w14:paraId="511C2E62" w14:textId="08CAA5A2" w:rsidR="00152950" w:rsidRPr="00A25023" w:rsidRDefault="00152950" w:rsidP="00152950">
      <w:pPr>
        <w:spacing w:line="360" w:lineRule="auto"/>
        <w:jc w:val="both"/>
        <w:rPr>
          <w:rFonts w:eastAsiaTheme="minorEastAsia"/>
          <w:b/>
          <w:sz w:val="24"/>
          <w:szCs w:val="24"/>
        </w:rPr>
      </w:pPr>
      <w:r w:rsidRPr="00A25023">
        <w:rPr>
          <w:rFonts w:eastAsiaTheme="minorEastAsia"/>
          <w:b/>
          <w:sz w:val="24"/>
          <w:szCs w:val="24"/>
        </w:rPr>
        <w:lastRenderedPageBreak/>
        <w:t xml:space="preserve">Respondent’s Work </w:t>
      </w:r>
      <w:r w:rsidR="00AE054D" w:rsidRPr="00A25023">
        <w:rPr>
          <w:rFonts w:eastAsiaTheme="minorEastAsia"/>
          <w:b/>
          <w:sz w:val="24"/>
          <w:szCs w:val="24"/>
        </w:rPr>
        <w:t>L</w:t>
      </w:r>
      <w:r w:rsidRPr="00A25023">
        <w:rPr>
          <w:rFonts w:eastAsiaTheme="minorEastAsia"/>
          <w:b/>
          <w:sz w:val="24"/>
          <w:szCs w:val="24"/>
        </w:rPr>
        <w:t>eft Undone</w:t>
      </w:r>
    </w:p>
    <w:p w14:paraId="46A998C0" w14:textId="55EB0248" w:rsidR="00152950" w:rsidRPr="00A25023" w:rsidRDefault="00152950" w:rsidP="008508AB">
      <w:pPr>
        <w:spacing w:line="360" w:lineRule="auto"/>
        <w:rPr>
          <w:rFonts w:eastAsiaTheme="minorEastAsia"/>
          <w:color w:val="000000" w:themeColor="text1"/>
          <w:sz w:val="24"/>
          <w:szCs w:val="24"/>
        </w:rPr>
      </w:pPr>
      <w:r w:rsidRPr="00A25023">
        <w:rPr>
          <w:rFonts w:eastAsiaTheme="minorEastAsia"/>
          <w:color w:val="000000" w:themeColor="text1"/>
          <w:sz w:val="24"/>
          <w:szCs w:val="24"/>
        </w:rPr>
        <w:t>Across all stages of treatment psychological interventions</w:t>
      </w:r>
      <w:r w:rsidR="004500B2" w:rsidRPr="00A25023">
        <w:rPr>
          <w:rFonts w:eastAsiaTheme="minorEastAsia"/>
          <w:color w:val="000000" w:themeColor="text1"/>
          <w:sz w:val="24"/>
          <w:szCs w:val="24"/>
        </w:rPr>
        <w:t xml:space="preserve"> </w:t>
      </w:r>
      <w:r w:rsidR="0001424D" w:rsidRPr="00A25023">
        <w:rPr>
          <w:rFonts w:eastAsiaTheme="minorEastAsia"/>
          <w:color w:val="000000" w:themeColor="text1"/>
          <w:sz w:val="24"/>
          <w:szCs w:val="24"/>
        </w:rPr>
        <w:t>(</w:t>
      </w:r>
      <w:r w:rsidR="004500B2" w:rsidRPr="00A25023">
        <w:rPr>
          <w:rFonts w:eastAsiaTheme="minorEastAsia"/>
          <w:color w:val="000000" w:themeColor="text1"/>
          <w:sz w:val="24"/>
          <w:szCs w:val="24"/>
        </w:rPr>
        <w:t>emotional support, referring to counselling and/or psychiatric services</w:t>
      </w:r>
      <w:r w:rsidR="0001424D" w:rsidRPr="00A25023">
        <w:rPr>
          <w:rFonts w:eastAsiaTheme="minorEastAsia"/>
          <w:color w:val="000000" w:themeColor="text1"/>
          <w:sz w:val="24"/>
          <w:szCs w:val="24"/>
        </w:rPr>
        <w:t>)</w:t>
      </w:r>
      <w:r w:rsidRPr="00A25023">
        <w:rPr>
          <w:rFonts w:eastAsiaTheme="minorEastAsia"/>
          <w:color w:val="000000" w:themeColor="text1"/>
          <w:sz w:val="24"/>
          <w:szCs w:val="24"/>
        </w:rPr>
        <w:t xml:space="preserve"> feature highly in respondents work undone and are the most common work undone at each stage after pre-diagnosis. Prescribing medication is another area where respondents felt much was left undone, perhaps because the nurses who gave this response did not have a prescribing qualification or were not able to prescribe independently. Work left un</w:t>
      </w:r>
      <w:r w:rsidR="00353024" w:rsidRPr="00A25023">
        <w:rPr>
          <w:rFonts w:eastAsiaTheme="minorEastAsia"/>
          <w:color w:val="000000" w:themeColor="text1"/>
          <w:sz w:val="24"/>
          <w:szCs w:val="24"/>
        </w:rPr>
        <w:t xml:space="preserve">done is summarised in Figure </w:t>
      </w:r>
      <w:r w:rsidR="00C1668E" w:rsidRPr="00A25023">
        <w:rPr>
          <w:rFonts w:eastAsiaTheme="minorEastAsia"/>
          <w:color w:val="000000" w:themeColor="text1"/>
          <w:sz w:val="24"/>
          <w:szCs w:val="24"/>
        </w:rPr>
        <w:t>4</w:t>
      </w:r>
      <w:r w:rsidR="00353024" w:rsidRPr="00A25023">
        <w:rPr>
          <w:rFonts w:eastAsiaTheme="minorEastAsia"/>
          <w:color w:val="000000" w:themeColor="text1"/>
          <w:sz w:val="24"/>
          <w:szCs w:val="24"/>
        </w:rPr>
        <w:t>.</w:t>
      </w:r>
    </w:p>
    <w:p w14:paraId="3D84C151" w14:textId="77E9A458" w:rsidR="00152950" w:rsidRPr="00A25023" w:rsidRDefault="00041DF8" w:rsidP="00041DF8">
      <w:pPr>
        <w:jc w:val="center"/>
        <w:rPr>
          <w:rFonts w:eastAsiaTheme="minorEastAsia"/>
          <w:b/>
          <w:i/>
          <w:sz w:val="24"/>
          <w:szCs w:val="24"/>
        </w:rPr>
      </w:pPr>
      <w:r w:rsidRPr="00A25023">
        <w:rPr>
          <w:rFonts w:eastAsiaTheme="minorEastAsia"/>
          <w:b/>
          <w:i/>
          <w:sz w:val="24"/>
          <w:szCs w:val="24"/>
        </w:rPr>
        <w:t xml:space="preserve">Insert Figure </w:t>
      </w:r>
      <w:r w:rsidR="00C1668E" w:rsidRPr="00A25023">
        <w:rPr>
          <w:rFonts w:eastAsiaTheme="minorEastAsia"/>
          <w:b/>
          <w:i/>
          <w:sz w:val="24"/>
          <w:szCs w:val="24"/>
        </w:rPr>
        <w:t>4</w:t>
      </w:r>
      <w:r w:rsidRPr="00A25023">
        <w:rPr>
          <w:rFonts w:eastAsiaTheme="minorEastAsia"/>
          <w:b/>
          <w:i/>
          <w:sz w:val="24"/>
          <w:szCs w:val="24"/>
        </w:rPr>
        <w:t xml:space="preserve"> here</w:t>
      </w:r>
    </w:p>
    <w:p w14:paraId="7C75704D" w14:textId="77777777" w:rsidR="00491023" w:rsidRPr="00A25023" w:rsidRDefault="00491023">
      <w:pPr>
        <w:rPr>
          <w:sz w:val="24"/>
          <w:szCs w:val="24"/>
        </w:rPr>
      </w:pPr>
    </w:p>
    <w:p w14:paraId="4BF7C364" w14:textId="3A90C647" w:rsidR="00152950" w:rsidRPr="00A25023" w:rsidRDefault="00C542A6">
      <w:pPr>
        <w:rPr>
          <w:b/>
          <w:sz w:val="24"/>
          <w:szCs w:val="24"/>
        </w:rPr>
      </w:pPr>
      <w:r w:rsidRPr="00A25023">
        <w:rPr>
          <w:b/>
          <w:sz w:val="24"/>
          <w:szCs w:val="24"/>
        </w:rPr>
        <w:t>Discussion</w:t>
      </w:r>
    </w:p>
    <w:p w14:paraId="2FD8CD21" w14:textId="6972E64E" w:rsidR="004419E4" w:rsidRPr="00A25023" w:rsidRDefault="004419E4" w:rsidP="001257CA">
      <w:pPr>
        <w:spacing w:line="360" w:lineRule="auto"/>
        <w:rPr>
          <w:sz w:val="24"/>
          <w:szCs w:val="24"/>
        </w:rPr>
      </w:pPr>
      <w:r w:rsidRPr="00A25023">
        <w:rPr>
          <w:sz w:val="24"/>
          <w:szCs w:val="24"/>
        </w:rPr>
        <w:t>Specialist disease specific nurses are</w:t>
      </w:r>
      <w:r w:rsidR="002A07F6" w:rsidRPr="00A25023">
        <w:rPr>
          <w:sz w:val="24"/>
          <w:szCs w:val="24"/>
        </w:rPr>
        <w:t xml:space="preserve"> known</w:t>
      </w:r>
      <w:r w:rsidRPr="00A25023">
        <w:rPr>
          <w:sz w:val="24"/>
          <w:szCs w:val="24"/>
        </w:rPr>
        <w:t xml:space="preserve"> to enhance the quality of care and patient experience</w:t>
      </w:r>
      <w:r w:rsidR="000F2A31" w:rsidRPr="00A25023">
        <w:rPr>
          <w:sz w:val="24"/>
          <w:szCs w:val="24"/>
          <w:vertAlign w:val="superscript"/>
        </w:rPr>
        <w:t>2</w:t>
      </w:r>
      <w:r w:rsidR="00C67B73" w:rsidRPr="00A25023">
        <w:rPr>
          <w:sz w:val="24"/>
          <w:szCs w:val="24"/>
          <w:vertAlign w:val="superscript"/>
        </w:rPr>
        <w:t>1</w:t>
      </w:r>
      <w:r w:rsidR="00016B90" w:rsidRPr="00A25023">
        <w:rPr>
          <w:sz w:val="24"/>
          <w:szCs w:val="24"/>
          <w:vertAlign w:val="superscript"/>
        </w:rPr>
        <w:t>, 2</w:t>
      </w:r>
      <w:r w:rsidR="00C67B73" w:rsidRPr="00A25023">
        <w:rPr>
          <w:sz w:val="24"/>
          <w:szCs w:val="24"/>
          <w:vertAlign w:val="superscript"/>
        </w:rPr>
        <w:t>2</w:t>
      </w:r>
      <w:r w:rsidRPr="00A25023">
        <w:rPr>
          <w:sz w:val="24"/>
          <w:szCs w:val="24"/>
        </w:rPr>
        <w:t xml:space="preserve"> and can be productive not only in terms of quality but also in terms of efficiency such as the avoidance of unnecessary admission to an acute inpatient unit</w:t>
      </w:r>
      <w:r w:rsidR="00016B90" w:rsidRPr="00A25023">
        <w:rPr>
          <w:sz w:val="24"/>
          <w:szCs w:val="24"/>
          <w:vertAlign w:val="superscript"/>
        </w:rPr>
        <w:t>1</w:t>
      </w:r>
      <w:r w:rsidR="00C67B73" w:rsidRPr="00A25023">
        <w:rPr>
          <w:sz w:val="24"/>
          <w:szCs w:val="24"/>
          <w:vertAlign w:val="superscript"/>
        </w:rPr>
        <w:t>4</w:t>
      </w:r>
      <w:r w:rsidR="00016B90" w:rsidRPr="00A25023">
        <w:rPr>
          <w:sz w:val="24"/>
          <w:szCs w:val="24"/>
          <w:vertAlign w:val="superscript"/>
        </w:rPr>
        <w:t xml:space="preserve">, </w:t>
      </w:r>
      <w:r w:rsidR="00C67B73" w:rsidRPr="00A25023">
        <w:rPr>
          <w:sz w:val="24"/>
          <w:szCs w:val="24"/>
          <w:vertAlign w:val="superscript"/>
        </w:rPr>
        <w:t>23</w:t>
      </w:r>
      <w:r w:rsidRPr="00A25023">
        <w:rPr>
          <w:sz w:val="24"/>
          <w:szCs w:val="24"/>
        </w:rPr>
        <w:t xml:space="preserve">. </w:t>
      </w:r>
      <w:r w:rsidR="002D226E" w:rsidRPr="00A25023">
        <w:rPr>
          <w:sz w:val="24"/>
          <w:szCs w:val="24"/>
        </w:rPr>
        <w:t>The value of an IBD NS was investigated by Leach et al (2014) who examined 4920 recorded episodes of care in Australia involving 566 patients. IBD nurse intervention led to avoidance of 27 hospital admissions (representing a saving of 171 occupied bed days), 32 Emergency Department presentations and 163 outpatient reviews. After deducting salary and on-costs related to the IBD nurse there was a net direct saving to the hospital of AUD $136,535</w:t>
      </w:r>
      <w:r w:rsidR="00C67B73" w:rsidRPr="00A25023">
        <w:rPr>
          <w:sz w:val="24"/>
          <w:szCs w:val="24"/>
          <w:vertAlign w:val="superscript"/>
        </w:rPr>
        <w:t>24</w:t>
      </w:r>
      <w:r w:rsidR="002D226E" w:rsidRPr="00A25023">
        <w:rPr>
          <w:sz w:val="24"/>
          <w:szCs w:val="24"/>
        </w:rPr>
        <w:t xml:space="preserve">. </w:t>
      </w:r>
      <w:r w:rsidR="00D22037" w:rsidRPr="00A25023">
        <w:rPr>
          <w:sz w:val="24"/>
          <w:szCs w:val="24"/>
        </w:rPr>
        <w:t>Another study looked at the financial impact of a nurse-lead telemedicine service for IBD in a UK hospital and estimated that over a 5-month period the net saving on the avoidance of general practitioner consultations, of a consultant appointment and of either accident and emergency or hospital admission was £42, 890</w:t>
      </w:r>
      <w:r w:rsidR="008B44D3" w:rsidRPr="00A25023">
        <w:rPr>
          <w:sz w:val="24"/>
          <w:szCs w:val="24"/>
          <w:vertAlign w:val="superscript"/>
        </w:rPr>
        <w:t>25</w:t>
      </w:r>
      <w:r w:rsidR="00D22037" w:rsidRPr="00A25023">
        <w:rPr>
          <w:sz w:val="24"/>
          <w:szCs w:val="24"/>
        </w:rPr>
        <w:t xml:space="preserve">. </w:t>
      </w:r>
      <w:r w:rsidR="00077C0C" w:rsidRPr="00A25023">
        <w:rPr>
          <w:sz w:val="24"/>
          <w:szCs w:val="24"/>
        </w:rPr>
        <w:t xml:space="preserve">The value of such telemedicine services or helplines has been demonstrated by a number of studies. </w:t>
      </w:r>
      <w:r w:rsidR="00710D88" w:rsidRPr="00A25023">
        <w:rPr>
          <w:sz w:val="24"/>
          <w:szCs w:val="24"/>
        </w:rPr>
        <w:t>For example, a</w:t>
      </w:r>
      <w:r w:rsidR="00077C0C" w:rsidRPr="00A25023">
        <w:rPr>
          <w:sz w:val="24"/>
          <w:szCs w:val="24"/>
        </w:rPr>
        <w:t xml:space="preserve"> survey of 1143 people with IBD (46% response rate) in Canada found that 77% of respondents were likely or very likely </w:t>
      </w:r>
      <w:r w:rsidR="005273A8" w:rsidRPr="00A25023">
        <w:rPr>
          <w:sz w:val="24"/>
          <w:szCs w:val="24"/>
        </w:rPr>
        <w:t xml:space="preserve">if acutely symptomatic </w:t>
      </w:r>
      <w:r w:rsidR="00077C0C" w:rsidRPr="00A25023">
        <w:rPr>
          <w:sz w:val="24"/>
          <w:szCs w:val="24"/>
        </w:rPr>
        <w:t xml:space="preserve">to use a phone contact service with an IBD </w:t>
      </w:r>
      <w:r w:rsidR="00710D88" w:rsidRPr="00A25023">
        <w:rPr>
          <w:sz w:val="24"/>
          <w:szCs w:val="24"/>
        </w:rPr>
        <w:t>NS</w:t>
      </w:r>
      <w:r w:rsidR="008B44D3" w:rsidRPr="00A25023">
        <w:rPr>
          <w:sz w:val="24"/>
          <w:szCs w:val="24"/>
          <w:vertAlign w:val="superscript"/>
        </w:rPr>
        <w:t>26</w:t>
      </w:r>
      <w:r w:rsidR="00077C0C" w:rsidRPr="00A25023">
        <w:rPr>
          <w:sz w:val="24"/>
          <w:szCs w:val="24"/>
        </w:rPr>
        <w:t xml:space="preserve">.   </w:t>
      </w:r>
      <w:r w:rsidRPr="00A25023">
        <w:rPr>
          <w:sz w:val="24"/>
          <w:szCs w:val="24"/>
        </w:rPr>
        <w:t>As with any supply model there is likely to be a point of saturation whereby the quality of the service is at least partly driven by the distributed workload which can result in work being left undone</w:t>
      </w:r>
      <w:r w:rsidR="00016B90" w:rsidRPr="00A25023">
        <w:rPr>
          <w:sz w:val="24"/>
          <w:szCs w:val="24"/>
          <w:vertAlign w:val="superscript"/>
        </w:rPr>
        <w:t>2</w:t>
      </w:r>
      <w:r w:rsidR="003D1331" w:rsidRPr="00A25023">
        <w:rPr>
          <w:sz w:val="24"/>
          <w:szCs w:val="24"/>
          <w:vertAlign w:val="superscript"/>
        </w:rPr>
        <w:t>4</w:t>
      </w:r>
      <w:r w:rsidRPr="00A25023">
        <w:rPr>
          <w:sz w:val="24"/>
          <w:szCs w:val="24"/>
        </w:rPr>
        <w:t>.</w:t>
      </w:r>
    </w:p>
    <w:p w14:paraId="16EB4E7B" w14:textId="675B259F" w:rsidR="00682310" w:rsidRPr="00A25023" w:rsidRDefault="00682310" w:rsidP="001257CA">
      <w:pPr>
        <w:spacing w:line="360" w:lineRule="auto"/>
        <w:rPr>
          <w:sz w:val="24"/>
          <w:szCs w:val="24"/>
        </w:rPr>
      </w:pPr>
      <w:r w:rsidRPr="00A25023">
        <w:rPr>
          <w:sz w:val="24"/>
          <w:szCs w:val="24"/>
        </w:rPr>
        <w:t>Given that the total population of IBD patients in the UK is estimated at 250,000 to 300,000 the estimated 146,150 case</w:t>
      </w:r>
      <w:r w:rsidR="00EA7851" w:rsidRPr="00A25023">
        <w:rPr>
          <w:sz w:val="24"/>
          <w:szCs w:val="24"/>
        </w:rPr>
        <w:t xml:space="preserve"> </w:t>
      </w:r>
      <w:r w:rsidRPr="00A25023">
        <w:rPr>
          <w:sz w:val="24"/>
          <w:szCs w:val="24"/>
        </w:rPr>
        <w:t>load covered by the respondents</w:t>
      </w:r>
      <w:r w:rsidR="00EA7851" w:rsidRPr="00A25023">
        <w:rPr>
          <w:sz w:val="24"/>
          <w:szCs w:val="24"/>
        </w:rPr>
        <w:t xml:space="preserve"> in this study</w:t>
      </w:r>
      <w:r w:rsidRPr="00A25023">
        <w:rPr>
          <w:sz w:val="24"/>
          <w:szCs w:val="24"/>
        </w:rPr>
        <w:t xml:space="preserve"> equates to </w:t>
      </w:r>
      <w:r w:rsidRPr="00A25023">
        <w:rPr>
          <w:sz w:val="24"/>
          <w:szCs w:val="24"/>
        </w:rPr>
        <w:lastRenderedPageBreak/>
        <w:t>between 49% and 58% of the total IBD patient population</w:t>
      </w:r>
      <w:r w:rsidR="00EA7851" w:rsidRPr="00A25023">
        <w:rPr>
          <w:sz w:val="24"/>
          <w:szCs w:val="24"/>
        </w:rPr>
        <w:t>. This is supported by t</w:t>
      </w:r>
      <w:r w:rsidRPr="00A25023">
        <w:rPr>
          <w:sz w:val="24"/>
          <w:szCs w:val="24"/>
        </w:rPr>
        <w:t>he estimate that the total IBD NS population in the UK is around 300 so 148 responses to the caseload question would represent aroun</w:t>
      </w:r>
      <w:r w:rsidR="00EA7851" w:rsidRPr="00A25023">
        <w:rPr>
          <w:sz w:val="24"/>
          <w:szCs w:val="24"/>
        </w:rPr>
        <w:t>d 50% of the</w:t>
      </w:r>
      <w:r w:rsidR="002D6A3C" w:rsidRPr="00A25023">
        <w:rPr>
          <w:sz w:val="24"/>
          <w:szCs w:val="24"/>
        </w:rPr>
        <w:t xml:space="preserve"> </w:t>
      </w:r>
      <w:r w:rsidR="00EA7851" w:rsidRPr="00A25023">
        <w:rPr>
          <w:sz w:val="24"/>
          <w:szCs w:val="24"/>
        </w:rPr>
        <w:t>IBD</w:t>
      </w:r>
      <w:r w:rsidR="002D6A3C" w:rsidRPr="00A25023">
        <w:rPr>
          <w:sz w:val="24"/>
          <w:szCs w:val="24"/>
        </w:rPr>
        <w:t xml:space="preserve"> NS</w:t>
      </w:r>
      <w:r w:rsidR="00EA7851" w:rsidRPr="00A25023">
        <w:rPr>
          <w:sz w:val="24"/>
          <w:szCs w:val="24"/>
        </w:rPr>
        <w:t xml:space="preserve"> population</w:t>
      </w:r>
      <w:r w:rsidRPr="00A25023">
        <w:rPr>
          <w:sz w:val="24"/>
          <w:szCs w:val="24"/>
        </w:rPr>
        <w:t>.</w:t>
      </w:r>
      <w:r w:rsidR="00B3022C" w:rsidRPr="00A25023">
        <w:rPr>
          <w:sz w:val="24"/>
          <w:szCs w:val="24"/>
        </w:rPr>
        <w:t xml:space="preserve"> </w:t>
      </w:r>
      <w:r w:rsidR="00B3022C" w:rsidRPr="00A25023">
        <w:rPr>
          <w:rFonts w:eastAsiaTheme="minorEastAsia"/>
          <w:sz w:val="24"/>
          <w:szCs w:val="24"/>
        </w:rPr>
        <w:t>The distribution of respondents in the UK also reflects the distribution of IBD NS posts reported in the IBD nursing audit</w:t>
      </w:r>
      <w:r w:rsidR="00B3022C" w:rsidRPr="00A25023">
        <w:rPr>
          <w:rFonts w:eastAsiaTheme="minorEastAsia"/>
          <w:sz w:val="24"/>
          <w:szCs w:val="24"/>
          <w:vertAlign w:val="superscript"/>
        </w:rPr>
        <w:t>3</w:t>
      </w:r>
      <w:r w:rsidR="00B3022C" w:rsidRPr="00A25023">
        <w:rPr>
          <w:rFonts w:eastAsiaTheme="minorEastAsia"/>
          <w:sz w:val="24"/>
          <w:szCs w:val="24"/>
        </w:rPr>
        <w:t>.</w:t>
      </w:r>
    </w:p>
    <w:p w14:paraId="7D37B4E6" w14:textId="47CE5F42" w:rsidR="00682310" w:rsidRPr="00A25023" w:rsidRDefault="00157AB5" w:rsidP="001257CA">
      <w:pPr>
        <w:spacing w:line="360" w:lineRule="auto"/>
        <w:rPr>
          <w:sz w:val="24"/>
          <w:szCs w:val="24"/>
        </w:rPr>
      </w:pPr>
      <w:r w:rsidRPr="00A25023">
        <w:rPr>
          <w:sz w:val="24"/>
          <w:szCs w:val="24"/>
        </w:rPr>
        <w:t>The IBD Standards</w:t>
      </w:r>
      <w:r w:rsidR="00016B90" w:rsidRPr="00A25023">
        <w:rPr>
          <w:sz w:val="24"/>
          <w:szCs w:val="24"/>
          <w:vertAlign w:val="superscript"/>
        </w:rPr>
        <w:t>7</w:t>
      </w:r>
      <w:r w:rsidR="00682310" w:rsidRPr="00A25023">
        <w:rPr>
          <w:sz w:val="24"/>
          <w:szCs w:val="24"/>
        </w:rPr>
        <w:t xml:space="preserve"> recommend</w:t>
      </w:r>
      <w:r w:rsidRPr="00A25023">
        <w:rPr>
          <w:sz w:val="24"/>
          <w:szCs w:val="24"/>
        </w:rPr>
        <w:t>ed</w:t>
      </w:r>
      <w:r w:rsidR="00682310" w:rsidRPr="00A25023">
        <w:rPr>
          <w:sz w:val="24"/>
          <w:szCs w:val="24"/>
        </w:rPr>
        <w:t xml:space="preserve"> that 1.5 FTE NS with a special interest and competency within IBD should be provided per 250,000 of population for a five-day </w:t>
      </w:r>
      <w:r w:rsidRPr="00A25023">
        <w:rPr>
          <w:sz w:val="24"/>
          <w:szCs w:val="24"/>
        </w:rPr>
        <w:t>service. Assuming</w:t>
      </w:r>
      <w:r w:rsidR="00682310" w:rsidRPr="00A25023">
        <w:rPr>
          <w:sz w:val="24"/>
          <w:szCs w:val="24"/>
        </w:rPr>
        <w:t xml:space="preserve"> that 1 in 250 of the population has IBD this would give a caseload of 666 per FTE</w:t>
      </w:r>
      <w:r w:rsidRPr="00A25023">
        <w:rPr>
          <w:sz w:val="24"/>
          <w:szCs w:val="24"/>
        </w:rPr>
        <w:t xml:space="preserve"> IBD </w:t>
      </w:r>
      <w:r w:rsidR="002D6A3C" w:rsidRPr="00A25023">
        <w:rPr>
          <w:sz w:val="24"/>
          <w:szCs w:val="24"/>
        </w:rPr>
        <w:t>NS</w:t>
      </w:r>
      <w:r w:rsidR="00682310" w:rsidRPr="00A25023">
        <w:rPr>
          <w:sz w:val="24"/>
          <w:szCs w:val="24"/>
        </w:rPr>
        <w:t xml:space="preserve">. </w:t>
      </w:r>
    </w:p>
    <w:p w14:paraId="747EF65E" w14:textId="737FA2E0" w:rsidR="00157AB5" w:rsidRPr="00A25023" w:rsidRDefault="00157AB5" w:rsidP="001257CA">
      <w:pPr>
        <w:spacing w:line="360" w:lineRule="auto"/>
        <w:rPr>
          <w:sz w:val="24"/>
          <w:szCs w:val="24"/>
        </w:rPr>
      </w:pPr>
      <w:r w:rsidRPr="00A25023">
        <w:rPr>
          <w:sz w:val="24"/>
          <w:szCs w:val="24"/>
        </w:rPr>
        <w:t>Crohn’s and Colitis UK</w:t>
      </w:r>
      <w:r w:rsidRPr="00A25023">
        <w:rPr>
          <w:sz w:val="24"/>
          <w:szCs w:val="24"/>
          <w:vertAlign w:val="superscript"/>
        </w:rPr>
        <w:t>5</w:t>
      </w:r>
      <w:r w:rsidRPr="00A25023">
        <w:rPr>
          <w:sz w:val="24"/>
          <w:szCs w:val="24"/>
        </w:rPr>
        <w:t xml:space="preserve"> states that the current number of patients with IBD in the UK is 300,000. To achieve a caseload of 666 patients per full time IBD NS would therefore require 450 full-time IBD NS based on current demand. There appears to be a considerable shortfall on this number in the UK. In this group, of the 148 nurses who responded to this workload analysis, over half (63%) have much higher caseloads than the current recommended standard. Caseloads as high as 2000 patients plus were reported.</w:t>
      </w:r>
    </w:p>
    <w:p w14:paraId="5C8BDF3E" w14:textId="2ED17C9C" w:rsidR="00EA7851" w:rsidRPr="00A25023" w:rsidRDefault="00157AB5" w:rsidP="001257CA">
      <w:pPr>
        <w:spacing w:line="360" w:lineRule="auto"/>
        <w:rPr>
          <w:sz w:val="24"/>
          <w:szCs w:val="24"/>
        </w:rPr>
      </w:pPr>
      <w:r w:rsidRPr="00A25023">
        <w:rPr>
          <w:sz w:val="24"/>
          <w:szCs w:val="24"/>
        </w:rPr>
        <w:t>There are number of potential reasons for these high caseloads. One potential issue is unfilled IBD NS posts. In this study the</w:t>
      </w:r>
      <w:r w:rsidR="00EA7851" w:rsidRPr="00A25023">
        <w:rPr>
          <w:sz w:val="24"/>
          <w:szCs w:val="24"/>
        </w:rPr>
        <w:t xml:space="preserve"> number of unfilled posts reported by respondents is estimated to</w:t>
      </w:r>
      <w:r w:rsidRPr="00A25023">
        <w:rPr>
          <w:sz w:val="24"/>
          <w:szCs w:val="24"/>
        </w:rPr>
        <w:t xml:space="preserve"> be equivalent to 24.5 FTE</w:t>
      </w:r>
      <w:r w:rsidR="00EA7851" w:rsidRPr="00A25023">
        <w:rPr>
          <w:sz w:val="24"/>
          <w:szCs w:val="24"/>
        </w:rPr>
        <w:t xml:space="preserve">. </w:t>
      </w:r>
      <w:r w:rsidRPr="00A25023">
        <w:rPr>
          <w:sz w:val="24"/>
          <w:szCs w:val="24"/>
        </w:rPr>
        <w:t xml:space="preserve">Another factor which is apparent from the study is the amount of unpaid overtime currently being carried out by IBD NS. </w:t>
      </w:r>
      <w:r w:rsidR="00247EC4" w:rsidRPr="00A25023">
        <w:rPr>
          <w:sz w:val="24"/>
          <w:szCs w:val="24"/>
        </w:rPr>
        <w:t>In 2012 the RCN estimated that IBD NS carried out an average of 2.75 hours unpaid overtime per week</w:t>
      </w:r>
      <w:r w:rsidR="00B74C78" w:rsidRPr="00A25023">
        <w:rPr>
          <w:sz w:val="24"/>
          <w:szCs w:val="24"/>
          <w:vertAlign w:val="superscript"/>
        </w:rPr>
        <w:t>6</w:t>
      </w:r>
      <w:r w:rsidR="00247EC4" w:rsidRPr="00A25023">
        <w:rPr>
          <w:sz w:val="24"/>
          <w:szCs w:val="24"/>
        </w:rPr>
        <w:t xml:space="preserve"> suggesting on the basis of an estimated average of 4.13 hours in this study the amount of unpaid overtime carried out by IBD NS is increasing. </w:t>
      </w:r>
      <w:r w:rsidR="00EA7851" w:rsidRPr="00A25023">
        <w:rPr>
          <w:sz w:val="24"/>
          <w:szCs w:val="24"/>
        </w:rPr>
        <w:t>Only 16% of respondents regularly carried out no unpaid overtime. The amount of unpaid overtime carried out by the remaining respondents equalle</w:t>
      </w:r>
      <w:r w:rsidRPr="00A25023">
        <w:rPr>
          <w:sz w:val="24"/>
          <w:szCs w:val="24"/>
        </w:rPr>
        <w:t>d an estimated 17.6 FTE</w:t>
      </w:r>
      <w:r w:rsidR="00EA7851" w:rsidRPr="00A25023">
        <w:rPr>
          <w:sz w:val="24"/>
          <w:szCs w:val="24"/>
        </w:rPr>
        <w:t>.</w:t>
      </w:r>
    </w:p>
    <w:p w14:paraId="55D8482B" w14:textId="3FAAD53E" w:rsidR="00EA7851" w:rsidRPr="00A25023" w:rsidRDefault="00157AB5" w:rsidP="001257CA">
      <w:pPr>
        <w:spacing w:line="360" w:lineRule="auto"/>
        <w:rPr>
          <w:sz w:val="24"/>
          <w:szCs w:val="24"/>
        </w:rPr>
      </w:pPr>
      <w:r w:rsidRPr="00A25023">
        <w:rPr>
          <w:sz w:val="24"/>
          <w:szCs w:val="24"/>
        </w:rPr>
        <w:t>The 2012 RCN IBD Nursing Audit</w:t>
      </w:r>
      <w:r w:rsidR="00413CBD" w:rsidRPr="00A25023">
        <w:rPr>
          <w:sz w:val="24"/>
          <w:szCs w:val="24"/>
          <w:vertAlign w:val="superscript"/>
        </w:rPr>
        <w:t>6</w:t>
      </w:r>
      <w:r w:rsidR="00F06DCF" w:rsidRPr="00A25023">
        <w:rPr>
          <w:sz w:val="24"/>
          <w:szCs w:val="24"/>
        </w:rPr>
        <w:t xml:space="preserve"> </w:t>
      </w:r>
      <w:r w:rsidR="00EA7851" w:rsidRPr="00A25023">
        <w:rPr>
          <w:sz w:val="24"/>
          <w:szCs w:val="24"/>
        </w:rPr>
        <w:t xml:space="preserve">found that 79% (150/202) sites surveyed failed to meet the standard of 1.5 IBD </w:t>
      </w:r>
      <w:r w:rsidR="002D6A3C" w:rsidRPr="00A25023">
        <w:rPr>
          <w:sz w:val="24"/>
          <w:szCs w:val="24"/>
        </w:rPr>
        <w:t>NS</w:t>
      </w:r>
      <w:r w:rsidR="00EA7851" w:rsidRPr="00A25023">
        <w:rPr>
          <w:sz w:val="24"/>
          <w:szCs w:val="24"/>
        </w:rPr>
        <w:t xml:space="preserve"> per 250,000 population</w:t>
      </w:r>
      <w:r w:rsidR="001D1DAC" w:rsidRPr="00A25023">
        <w:rPr>
          <w:sz w:val="24"/>
          <w:szCs w:val="24"/>
        </w:rPr>
        <w:t xml:space="preserve"> and the data presented in this study would appear to suggest there has not been significant improvement since 2012</w:t>
      </w:r>
      <w:r w:rsidR="00EA7851" w:rsidRPr="00A25023">
        <w:rPr>
          <w:sz w:val="24"/>
          <w:szCs w:val="24"/>
        </w:rPr>
        <w:t>.</w:t>
      </w:r>
    </w:p>
    <w:p w14:paraId="24020945" w14:textId="721D4580" w:rsidR="00EA7851" w:rsidRPr="00A25023" w:rsidRDefault="00EA7851" w:rsidP="001257CA">
      <w:pPr>
        <w:spacing w:line="360" w:lineRule="auto"/>
        <w:rPr>
          <w:sz w:val="24"/>
          <w:szCs w:val="24"/>
        </w:rPr>
      </w:pPr>
      <w:r w:rsidRPr="00A25023">
        <w:rPr>
          <w:sz w:val="24"/>
          <w:szCs w:val="24"/>
        </w:rPr>
        <w:t>It</w:t>
      </w:r>
      <w:r w:rsidR="002D6A3C" w:rsidRPr="00A25023">
        <w:rPr>
          <w:sz w:val="24"/>
          <w:szCs w:val="24"/>
        </w:rPr>
        <w:t xml:space="preserve"> i</w:t>
      </w:r>
      <w:r w:rsidRPr="00A25023">
        <w:rPr>
          <w:sz w:val="24"/>
          <w:szCs w:val="24"/>
        </w:rPr>
        <w:t xml:space="preserve">s clear from the workload analysis that there is much variability and different levels of service provision. Of the 1,800 available sessions in the group 1,744 (97%) were taken up with programmed clinical activity.  The majority of this time was </w:t>
      </w:r>
      <w:r w:rsidR="001C11CD" w:rsidRPr="00A25023">
        <w:rPr>
          <w:sz w:val="24"/>
          <w:szCs w:val="24"/>
        </w:rPr>
        <w:t xml:space="preserve">a telephone </w:t>
      </w:r>
      <w:r w:rsidRPr="00A25023">
        <w:rPr>
          <w:sz w:val="24"/>
          <w:szCs w:val="24"/>
        </w:rPr>
        <w:t xml:space="preserve">advice line (560, 31%) and only 290 sessions (16%) were taken up with nurse led clinics. </w:t>
      </w:r>
      <w:r w:rsidR="00F06DCF" w:rsidRPr="00A25023">
        <w:rPr>
          <w:rFonts w:eastAsiaTheme="minorEastAsia"/>
          <w:color w:val="000000" w:themeColor="text1"/>
          <w:sz w:val="24"/>
          <w:szCs w:val="24"/>
        </w:rPr>
        <w:t xml:space="preserve">The IBD </w:t>
      </w:r>
      <w:r w:rsidR="00F06DCF" w:rsidRPr="00A25023">
        <w:rPr>
          <w:rFonts w:eastAsiaTheme="minorEastAsia"/>
          <w:color w:val="000000" w:themeColor="text1"/>
          <w:sz w:val="24"/>
          <w:szCs w:val="24"/>
        </w:rPr>
        <w:lastRenderedPageBreak/>
        <w:t>Standards Report</w:t>
      </w:r>
      <w:r w:rsidR="00F06DCF" w:rsidRPr="00A25023">
        <w:rPr>
          <w:rFonts w:eastAsiaTheme="minorEastAsia"/>
          <w:color w:val="000000" w:themeColor="text1"/>
          <w:sz w:val="24"/>
          <w:szCs w:val="24"/>
          <w:vertAlign w:val="superscript"/>
        </w:rPr>
        <w:t>7</w:t>
      </w:r>
      <w:r w:rsidR="00F06DCF" w:rsidRPr="00A25023">
        <w:rPr>
          <w:rFonts w:eastAsiaTheme="minorEastAsia"/>
          <w:color w:val="000000" w:themeColor="text1"/>
          <w:sz w:val="24"/>
          <w:szCs w:val="24"/>
        </w:rPr>
        <w:t xml:space="preserve"> found that only 24% of patients had access to a psychologist with an IBD interest which may explain why this work is often left undone.</w:t>
      </w:r>
    </w:p>
    <w:p w14:paraId="54142970" w14:textId="31083141" w:rsidR="00EA7851" w:rsidRPr="00A25023" w:rsidRDefault="00EA7851" w:rsidP="001257CA">
      <w:pPr>
        <w:spacing w:line="360" w:lineRule="auto"/>
      </w:pPr>
      <w:r w:rsidRPr="00A25023">
        <w:rPr>
          <w:sz w:val="24"/>
          <w:szCs w:val="24"/>
        </w:rPr>
        <w:t xml:space="preserve">It </w:t>
      </w:r>
      <w:r w:rsidR="00F06DCF" w:rsidRPr="00A25023">
        <w:rPr>
          <w:sz w:val="24"/>
          <w:szCs w:val="24"/>
        </w:rPr>
        <w:t>is also apparent</w:t>
      </w:r>
      <w:r w:rsidRPr="00A25023">
        <w:rPr>
          <w:sz w:val="24"/>
          <w:szCs w:val="24"/>
        </w:rPr>
        <w:t xml:space="preserve"> that because of the variability </w:t>
      </w:r>
      <w:r w:rsidR="00F06DCF" w:rsidRPr="00A25023">
        <w:rPr>
          <w:sz w:val="24"/>
          <w:szCs w:val="24"/>
        </w:rPr>
        <w:t xml:space="preserve">of service provision </w:t>
      </w:r>
      <w:r w:rsidRPr="00A25023">
        <w:rPr>
          <w:sz w:val="24"/>
          <w:szCs w:val="24"/>
        </w:rPr>
        <w:t xml:space="preserve">local circumstances should be taken into account such as the availability of administrative help which remains a burden for some </w:t>
      </w:r>
      <w:r w:rsidR="00F06DCF" w:rsidRPr="00A25023">
        <w:rPr>
          <w:sz w:val="24"/>
          <w:szCs w:val="24"/>
        </w:rPr>
        <w:t xml:space="preserve">IBD </w:t>
      </w:r>
      <w:r w:rsidR="002D6A3C" w:rsidRPr="00A25023">
        <w:rPr>
          <w:sz w:val="24"/>
          <w:szCs w:val="24"/>
        </w:rPr>
        <w:t>NS</w:t>
      </w:r>
      <w:r w:rsidR="00154BB7" w:rsidRPr="00A25023">
        <w:rPr>
          <w:sz w:val="24"/>
          <w:szCs w:val="24"/>
        </w:rPr>
        <w:t>. In other specialisms the provision of administration and support workers has increased productivity for example administrative workers allowed multiple sclerosis specialist nurses to proactively manage their case load resulting in reduced emergency admission</w:t>
      </w:r>
      <w:r w:rsidR="00DB1F05" w:rsidRPr="00A25023">
        <w:rPr>
          <w:sz w:val="24"/>
          <w:szCs w:val="24"/>
          <w:vertAlign w:val="superscript"/>
        </w:rPr>
        <w:t>28</w:t>
      </w:r>
      <w:r w:rsidR="00154BB7" w:rsidRPr="00A25023">
        <w:rPr>
          <w:sz w:val="24"/>
          <w:szCs w:val="24"/>
        </w:rPr>
        <w:t>. Another local factor which can influence caseload is</w:t>
      </w:r>
      <w:r w:rsidRPr="00A25023">
        <w:t xml:space="preserve"> the complexity of patients</w:t>
      </w:r>
      <w:r w:rsidR="00F06DCF" w:rsidRPr="00A25023">
        <w:t>.</w:t>
      </w:r>
      <w:r w:rsidRPr="00A25023">
        <w:t xml:space="preserve"> </w:t>
      </w:r>
    </w:p>
    <w:p w14:paraId="19AF4D2B" w14:textId="1E8854E0" w:rsidR="00EA7851" w:rsidRPr="00A25023" w:rsidRDefault="001D1DAC" w:rsidP="001257CA">
      <w:pPr>
        <w:spacing w:line="360" w:lineRule="auto"/>
        <w:rPr>
          <w:b/>
        </w:rPr>
      </w:pPr>
      <w:r w:rsidRPr="00A25023">
        <w:rPr>
          <w:b/>
        </w:rPr>
        <w:t>Conclusion</w:t>
      </w:r>
    </w:p>
    <w:p w14:paraId="549B1545" w14:textId="43E68633" w:rsidR="00EA7851" w:rsidRPr="00A25023" w:rsidRDefault="001D1DAC" w:rsidP="001257CA">
      <w:pPr>
        <w:spacing w:line="360" w:lineRule="auto"/>
        <w:rPr>
          <w:sz w:val="24"/>
          <w:szCs w:val="24"/>
        </w:rPr>
      </w:pPr>
      <w:r w:rsidRPr="00A25023">
        <w:rPr>
          <w:sz w:val="24"/>
          <w:szCs w:val="24"/>
        </w:rPr>
        <w:t>The current standard 1.5 FTE IBD NS per 250,000 population if filled is likely to mitigate for the rates of unpaid overtime and annual leave. However, there is a clear direction of travel for increasing complexity of care, activity at pre-diagnosis, support to community services and a “rookie” workforce (including a rookie factor uplift of 20%). This is because this workforce compared to other groups of specialist nurses</w:t>
      </w:r>
      <w:r w:rsidR="00F06DCF" w:rsidRPr="00A25023">
        <w:rPr>
          <w:sz w:val="24"/>
          <w:szCs w:val="24"/>
          <w:vertAlign w:val="superscript"/>
        </w:rPr>
        <w:t>8, 11</w:t>
      </w:r>
      <w:r w:rsidRPr="00A25023">
        <w:rPr>
          <w:sz w:val="24"/>
          <w:szCs w:val="24"/>
        </w:rPr>
        <w:t xml:space="preserve"> IBD </w:t>
      </w:r>
      <w:r w:rsidR="002D6A3C" w:rsidRPr="00A25023">
        <w:rPr>
          <w:sz w:val="24"/>
          <w:szCs w:val="24"/>
        </w:rPr>
        <w:t>NS</w:t>
      </w:r>
      <w:r w:rsidRPr="00A25023">
        <w:rPr>
          <w:sz w:val="24"/>
          <w:szCs w:val="24"/>
        </w:rPr>
        <w:t xml:space="preserve"> have a much higher proportion who have been in specialist practice for less time (61, (36%) had been working as specialist nurses for less than 3 years). Only 51 (32%) had been working the role for 10 years or more</w:t>
      </w:r>
      <w:r w:rsidR="006A6006" w:rsidRPr="00A25023">
        <w:rPr>
          <w:sz w:val="24"/>
          <w:szCs w:val="24"/>
        </w:rPr>
        <w:t xml:space="preserve">. </w:t>
      </w:r>
      <w:r w:rsidR="007A034D" w:rsidRPr="00A25023">
        <w:rPr>
          <w:sz w:val="24"/>
          <w:szCs w:val="24"/>
        </w:rPr>
        <w:t>A study looking at research priorities for IBD nursing in 13 European countries found that 23.8% of respondents had worked in IBD for 3 years or less with 28.4% having worked for over 10 years</w:t>
      </w:r>
      <w:r w:rsidR="00F33000" w:rsidRPr="00A25023">
        <w:rPr>
          <w:sz w:val="24"/>
          <w:szCs w:val="24"/>
          <w:vertAlign w:val="superscript"/>
        </w:rPr>
        <w:t>11</w:t>
      </w:r>
      <w:r w:rsidR="007A034D" w:rsidRPr="00A25023">
        <w:rPr>
          <w:sz w:val="24"/>
          <w:szCs w:val="24"/>
        </w:rPr>
        <w:t>. In p</w:t>
      </w:r>
      <w:r w:rsidR="002F3CF6" w:rsidRPr="00A25023">
        <w:rPr>
          <w:sz w:val="24"/>
          <w:szCs w:val="24"/>
        </w:rPr>
        <w:t>rostate cancer CNS</w:t>
      </w:r>
      <w:r w:rsidR="00215588" w:rsidRPr="00A25023">
        <w:rPr>
          <w:sz w:val="24"/>
          <w:szCs w:val="24"/>
        </w:rPr>
        <w:t>,</w:t>
      </w:r>
      <w:r w:rsidR="002F3CF6" w:rsidRPr="00A25023">
        <w:rPr>
          <w:sz w:val="24"/>
          <w:szCs w:val="24"/>
        </w:rPr>
        <w:t xml:space="preserve"> for example</w:t>
      </w:r>
      <w:r w:rsidR="00077C0C" w:rsidRPr="00A25023">
        <w:rPr>
          <w:sz w:val="24"/>
          <w:szCs w:val="24"/>
        </w:rPr>
        <w:t>,</w:t>
      </w:r>
      <w:r w:rsidR="002F3CF6" w:rsidRPr="00A25023">
        <w:rPr>
          <w:sz w:val="24"/>
          <w:szCs w:val="24"/>
        </w:rPr>
        <w:t xml:space="preserve"> 55% of NS had been in post for ten years or more</w:t>
      </w:r>
      <w:r w:rsidR="002F3CF6" w:rsidRPr="00A25023">
        <w:rPr>
          <w:sz w:val="24"/>
          <w:szCs w:val="24"/>
          <w:vertAlign w:val="superscript"/>
        </w:rPr>
        <w:t>8</w:t>
      </w:r>
      <w:r w:rsidRPr="00A25023">
        <w:rPr>
          <w:sz w:val="24"/>
          <w:szCs w:val="24"/>
        </w:rPr>
        <w:t>.  To mitigate this, it would be prudent to increase the standard to 2</w:t>
      </w:r>
      <w:r w:rsidR="006501DF" w:rsidRPr="00A25023">
        <w:rPr>
          <w:sz w:val="24"/>
          <w:szCs w:val="24"/>
        </w:rPr>
        <w:t>.5</w:t>
      </w:r>
      <w:r w:rsidRPr="00A25023">
        <w:rPr>
          <w:sz w:val="24"/>
          <w:szCs w:val="24"/>
        </w:rPr>
        <w:t xml:space="preserve"> FTE per 250,000 of the population. This would give a static caseload of 500 per FTE. </w:t>
      </w:r>
    </w:p>
    <w:p w14:paraId="02DB0FBE" w14:textId="5E7DC737" w:rsidR="00335203" w:rsidRPr="00A25023" w:rsidRDefault="00335203">
      <w:pPr>
        <w:rPr>
          <w:b/>
          <w:sz w:val="24"/>
          <w:szCs w:val="24"/>
        </w:rPr>
      </w:pPr>
      <w:r w:rsidRPr="00A25023">
        <w:rPr>
          <w:b/>
          <w:sz w:val="24"/>
          <w:szCs w:val="24"/>
        </w:rPr>
        <w:t>Author Contributions</w:t>
      </w:r>
    </w:p>
    <w:p w14:paraId="6219B483" w14:textId="1AAE361F" w:rsidR="00335203" w:rsidRPr="00A25023" w:rsidRDefault="00335203">
      <w:pPr>
        <w:rPr>
          <w:sz w:val="24"/>
          <w:szCs w:val="24"/>
        </w:rPr>
      </w:pPr>
      <w:r w:rsidRPr="00A25023">
        <w:rPr>
          <w:sz w:val="24"/>
          <w:szCs w:val="24"/>
        </w:rPr>
        <w:t>AL and GP contributed to study design, data collection, data analysis and manuscript preparation. IM contributed to study design, data collection and manuscript preparation.</w:t>
      </w:r>
    </w:p>
    <w:p w14:paraId="285EF910" w14:textId="2628B960" w:rsidR="00335203" w:rsidRPr="00A25023" w:rsidRDefault="00335203">
      <w:pPr>
        <w:rPr>
          <w:sz w:val="24"/>
          <w:szCs w:val="24"/>
        </w:rPr>
      </w:pPr>
      <w:r w:rsidRPr="00A25023">
        <w:rPr>
          <w:sz w:val="24"/>
          <w:szCs w:val="24"/>
        </w:rPr>
        <w:t>The authors confirm that the manuscript, including related data, figures and tables has not been previously published nor is the manuscript under consideration elsewhere.</w:t>
      </w:r>
    </w:p>
    <w:p w14:paraId="17090380" w14:textId="646CE0AC" w:rsidR="003146B9" w:rsidRPr="00A25023" w:rsidRDefault="00E01866">
      <w:pPr>
        <w:rPr>
          <w:b/>
          <w:sz w:val="24"/>
          <w:szCs w:val="24"/>
        </w:rPr>
      </w:pPr>
      <w:r w:rsidRPr="00A25023">
        <w:rPr>
          <w:b/>
          <w:sz w:val="24"/>
          <w:szCs w:val="24"/>
        </w:rPr>
        <w:t>Funding</w:t>
      </w:r>
    </w:p>
    <w:p w14:paraId="0B354E90" w14:textId="11BAF9BA" w:rsidR="00E01866" w:rsidRPr="00A25023" w:rsidRDefault="00E01866">
      <w:pPr>
        <w:rPr>
          <w:sz w:val="24"/>
          <w:szCs w:val="24"/>
        </w:rPr>
      </w:pPr>
      <w:r w:rsidRPr="00A25023">
        <w:rPr>
          <w:sz w:val="24"/>
          <w:szCs w:val="24"/>
        </w:rPr>
        <w:t>This work was supported by Crohn’s and Colitis U.K. and carried out by an independent research team.</w:t>
      </w:r>
    </w:p>
    <w:p w14:paraId="75D21377" w14:textId="77777777" w:rsidR="002D6A3C" w:rsidRPr="00A25023" w:rsidRDefault="002D6A3C">
      <w:pPr>
        <w:rPr>
          <w:b/>
          <w:sz w:val="24"/>
          <w:szCs w:val="24"/>
        </w:rPr>
      </w:pPr>
    </w:p>
    <w:p w14:paraId="4D0B11A3" w14:textId="7DB7234C" w:rsidR="00335203" w:rsidRPr="00A25023" w:rsidRDefault="00335203">
      <w:pPr>
        <w:rPr>
          <w:b/>
          <w:sz w:val="24"/>
          <w:szCs w:val="24"/>
        </w:rPr>
      </w:pPr>
      <w:r w:rsidRPr="00A25023">
        <w:rPr>
          <w:b/>
          <w:sz w:val="24"/>
          <w:szCs w:val="24"/>
        </w:rPr>
        <w:lastRenderedPageBreak/>
        <w:t>Conflict of Interest Statement</w:t>
      </w:r>
    </w:p>
    <w:p w14:paraId="7E0863CC" w14:textId="129F5FB3" w:rsidR="00335203" w:rsidRPr="00A25023" w:rsidRDefault="00335203">
      <w:pPr>
        <w:rPr>
          <w:sz w:val="24"/>
          <w:szCs w:val="24"/>
        </w:rPr>
      </w:pPr>
      <w:r w:rsidRPr="00A25023">
        <w:rPr>
          <w:sz w:val="24"/>
          <w:szCs w:val="24"/>
        </w:rPr>
        <w:t xml:space="preserve">IM is </w:t>
      </w:r>
      <w:r w:rsidR="00F90051" w:rsidRPr="00A25023">
        <w:rPr>
          <w:sz w:val="24"/>
          <w:szCs w:val="24"/>
        </w:rPr>
        <w:t>head of Service Development for IBD nurses</w:t>
      </w:r>
      <w:r w:rsidRPr="00A25023">
        <w:rPr>
          <w:sz w:val="24"/>
          <w:szCs w:val="24"/>
        </w:rPr>
        <w:t xml:space="preserve"> </w:t>
      </w:r>
      <w:r w:rsidR="00F90051" w:rsidRPr="00A25023">
        <w:rPr>
          <w:sz w:val="24"/>
          <w:szCs w:val="24"/>
        </w:rPr>
        <w:t>at</w:t>
      </w:r>
      <w:r w:rsidRPr="00A25023">
        <w:rPr>
          <w:sz w:val="24"/>
          <w:szCs w:val="24"/>
        </w:rPr>
        <w:t xml:space="preserve"> Crohn’s and Colitis U.K.</w:t>
      </w:r>
      <w:r w:rsidR="00440E43" w:rsidRPr="00A25023">
        <w:rPr>
          <w:sz w:val="24"/>
          <w:szCs w:val="24"/>
        </w:rPr>
        <w:t xml:space="preserve"> No other conflicts of interest are reported.</w:t>
      </w:r>
    </w:p>
    <w:p w14:paraId="68BFFB71" w14:textId="77777777" w:rsidR="00E01866" w:rsidRPr="00A25023" w:rsidRDefault="00E01866" w:rsidP="00E01866">
      <w:pPr>
        <w:rPr>
          <w:b/>
          <w:sz w:val="24"/>
          <w:szCs w:val="24"/>
        </w:rPr>
      </w:pPr>
      <w:r w:rsidRPr="00A25023">
        <w:rPr>
          <w:b/>
          <w:sz w:val="24"/>
          <w:szCs w:val="24"/>
        </w:rPr>
        <w:t>Acknowledgements</w:t>
      </w:r>
    </w:p>
    <w:p w14:paraId="727D3D94" w14:textId="15D261B4" w:rsidR="00335203" w:rsidRPr="00A25023" w:rsidRDefault="00E01866">
      <w:pPr>
        <w:rPr>
          <w:sz w:val="24"/>
          <w:szCs w:val="24"/>
        </w:rPr>
      </w:pPr>
      <w:r w:rsidRPr="00A25023">
        <w:rPr>
          <w:sz w:val="24"/>
          <w:szCs w:val="24"/>
        </w:rPr>
        <w:t>We would like to thank those who took part in data collection and in the consensus building process which led to the pr</w:t>
      </w:r>
      <w:r w:rsidR="00483986" w:rsidRPr="00A25023">
        <w:rPr>
          <w:sz w:val="24"/>
          <w:szCs w:val="24"/>
        </w:rPr>
        <w:t>oduction of the study</w:t>
      </w:r>
      <w:r w:rsidRPr="00A25023">
        <w:rPr>
          <w:sz w:val="24"/>
          <w:szCs w:val="24"/>
        </w:rPr>
        <w:t xml:space="preserve">: Maxine Rawle, Allan </w:t>
      </w:r>
      <w:proofErr w:type="spellStart"/>
      <w:r w:rsidRPr="00A25023">
        <w:rPr>
          <w:sz w:val="24"/>
          <w:szCs w:val="24"/>
        </w:rPr>
        <w:t>Boal</w:t>
      </w:r>
      <w:proofErr w:type="spellEnd"/>
      <w:r w:rsidRPr="00A25023">
        <w:rPr>
          <w:sz w:val="24"/>
          <w:szCs w:val="24"/>
        </w:rPr>
        <w:t xml:space="preserve">, Seth Squires, </w:t>
      </w:r>
      <w:proofErr w:type="spellStart"/>
      <w:r w:rsidRPr="00A25023">
        <w:rPr>
          <w:sz w:val="24"/>
          <w:szCs w:val="24"/>
        </w:rPr>
        <w:t>Madoor</w:t>
      </w:r>
      <w:proofErr w:type="spellEnd"/>
      <w:r w:rsidRPr="00A25023">
        <w:rPr>
          <w:sz w:val="24"/>
          <w:szCs w:val="24"/>
        </w:rPr>
        <w:t xml:space="preserve"> </w:t>
      </w:r>
      <w:proofErr w:type="spellStart"/>
      <w:r w:rsidRPr="00A25023">
        <w:rPr>
          <w:sz w:val="24"/>
          <w:szCs w:val="24"/>
        </w:rPr>
        <w:t>Ramdeen</w:t>
      </w:r>
      <w:proofErr w:type="spellEnd"/>
      <w:r w:rsidRPr="00A25023">
        <w:rPr>
          <w:sz w:val="24"/>
          <w:szCs w:val="24"/>
        </w:rPr>
        <w:t xml:space="preserve">, </w:t>
      </w:r>
      <w:proofErr w:type="spellStart"/>
      <w:r w:rsidRPr="00A25023">
        <w:rPr>
          <w:sz w:val="24"/>
          <w:szCs w:val="24"/>
        </w:rPr>
        <w:t>Rodica</w:t>
      </w:r>
      <w:proofErr w:type="spellEnd"/>
      <w:r w:rsidRPr="00A25023">
        <w:rPr>
          <w:sz w:val="24"/>
          <w:szCs w:val="24"/>
        </w:rPr>
        <w:t xml:space="preserve"> </w:t>
      </w:r>
      <w:proofErr w:type="spellStart"/>
      <w:r w:rsidRPr="00A25023">
        <w:rPr>
          <w:sz w:val="24"/>
          <w:szCs w:val="24"/>
        </w:rPr>
        <w:t>Nedescu</w:t>
      </w:r>
      <w:proofErr w:type="spellEnd"/>
      <w:r w:rsidRPr="00A25023">
        <w:rPr>
          <w:sz w:val="24"/>
          <w:szCs w:val="24"/>
        </w:rPr>
        <w:t xml:space="preserve">, Charlotte Bowman, Helen Thompson-Jones, Pearl Avery, Sarah Moody, Theresa Tindall, Sarah York, Allyson Lewis, Lisa Younge, Diane Hall, Jane Healey, Tracey Shaul, Lucy Metcalf and Marion </w:t>
      </w:r>
      <w:proofErr w:type="spellStart"/>
      <w:r w:rsidRPr="00A25023">
        <w:rPr>
          <w:sz w:val="24"/>
          <w:szCs w:val="24"/>
        </w:rPr>
        <w:t>Bettey</w:t>
      </w:r>
      <w:proofErr w:type="spellEnd"/>
      <w:r w:rsidRPr="00A25023">
        <w:rPr>
          <w:sz w:val="24"/>
          <w:szCs w:val="24"/>
        </w:rPr>
        <w:t>.</w:t>
      </w:r>
    </w:p>
    <w:p w14:paraId="23DE1F57" w14:textId="21061421" w:rsidR="0029204E" w:rsidRPr="00A25023" w:rsidRDefault="003146B9" w:rsidP="00353024">
      <w:pPr>
        <w:rPr>
          <w:b/>
          <w:sz w:val="24"/>
          <w:szCs w:val="24"/>
        </w:rPr>
      </w:pPr>
      <w:r w:rsidRPr="00A25023">
        <w:rPr>
          <w:b/>
          <w:sz w:val="24"/>
          <w:szCs w:val="24"/>
        </w:rPr>
        <w:t>References</w:t>
      </w:r>
    </w:p>
    <w:p w14:paraId="41C91D71" w14:textId="77777777" w:rsidR="004F09CF" w:rsidRPr="00A25023" w:rsidRDefault="004F09CF" w:rsidP="004F09CF">
      <w:pPr>
        <w:numPr>
          <w:ilvl w:val="0"/>
          <w:numId w:val="2"/>
        </w:numPr>
        <w:spacing w:line="360" w:lineRule="auto"/>
        <w:contextualSpacing/>
        <w:rPr>
          <w:sz w:val="24"/>
          <w:szCs w:val="24"/>
        </w:rPr>
      </w:pPr>
      <w:r w:rsidRPr="00A25023">
        <w:rPr>
          <w:sz w:val="24"/>
          <w:szCs w:val="24"/>
        </w:rPr>
        <w:t>Hall L. Nursing: what is it? The Canadian Nurse 1964; 60(2), 150-154</w:t>
      </w:r>
    </w:p>
    <w:p w14:paraId="5B7B56FC" w14:textId="77777777" w:rsidR="004F09CF" w:rsidRPr="00A25023" w:rsidRDefault="004F09CF" w:rsidP="004F09CF">
      <w:pPr>
        <w:numPr>
          <w:ilvl w:val="0"/>
          <w:numId w:val="2"/>
        </w:numPr>
        <w:spacing w:line="360" w:lineRule="auto"/>
        <w:contextualSpacing/>
        <w:rPr>
          <w:sz w:val="24"/>
          <w:szCs w:val="24"/>
        </w:rPr>
      </w:pPr>
      <w:proofErr w:type="spellStart"/>
      <w:r w:rsidRPr="00A25023">
        <w:rPr>
          <w:sz w:val="24"/>
          <w:szCs w:val="24"/>
        </w:rPr>
        <w:t>Pitkaaho</w:t>
      </w:r>
      <w:proofErr w:type="spellEnd"/>
      <w:r w:rsidRPr="00A25023">
        <w:rPr>
          <w:sz w:val="24"/>
          <w:szCs w:val="24"/>
        </w:rPr>
        <w:t xml:space="preserve"> T, </w:t>
      </w:r>
      <w:proofErr w:type="spellStart"/>
      <w:r w:rsidRPr="00A25023">
        <w:rPr>
          <w:sz w:val="24"/>
          <w:szCs w:val="24"/>
        </w:rPr>
        <w:t>Partanen</w:t>
      </w:r>
      <w:proofErr w:type="spellEnd"/>
      <w:r w:rsidRPr="00A25023">
        <w:rPr>
          <w:sz w:val="24"/>
          <w:szCs w:val="24"/>
        </w:rPr>
        <w:t xml:space="preserve"> P, </w:t>
      </w:r>
      <w:proofErr w:type="spellStart"/>
      <w:r w:rsidRPr="00A25023">
        <w:rPr>
          <w:sz w:val="24"/>
          <w:szCs w:val="24"/>
        </w:rPr>
        <w:t>Miettinen</w:t>
      </w:r>
      <w:proofErr w:type="spellEnd"/>
      <w:r w:rsidRPr="00A25023">
        <w:rPr>
          <w:sz w:val="24"/>
          <w:szCs w:val="24"/>
        </w:rPr>
        <w:t xml:space="preserve">, M, </w:t>
      </w:r>
      <w:proofErr w:type="spellStart"/>
      <w:r w:rsidRPr="00A25023">
        <w:rPr>
          <w:sz w:val="24"/>
          <w:szCs w:val="24"/>
        </w:rPr>
        <w:t>Vehvilainen-Julkunen</w:t>
      </w:r>
      <w:proofErr w:type="spellEnd"/>
      <w:r w:rsidRPr="00A25023">
        <w:rPr>
          <w:sz w:val="24"/>
          <w:szCs w:val="24"/>
        </w:rPr>
        <w:t>, K. Non-linear relationships between nurse staffing and patients’ length of stay in acute care units: Bayesian dependence modelling. Journal of Advanced Nursing 2014; Vol 71(2) 458-473.</w:t>
      </w:r>
    </w:p>
    <w:p w14:paraId="25C4E0B5" w14:textId="77777777" w:rsidR="004F09CF" w:rsidRPr="00A25023" w:rsidRDefault="004F09CF" w:rsidP="004F09CF">
      <w:pPr>
        <w:numPr>
          <w:ilvl w:val="0"/>
          <w:numId w:val="2"/>
        </w:numPr>
        <w:spacing w:line="360" w:lineRule="auto"/>
        <w:contextualSpacing/>
        <w:rPr>
          <w:sz w:val="24"/>
          <w:szCs w:val="24"/>
        </w:rPr>
      </w:pPr>
      <w:proofErr w:type="spellStart"/>
      <w:r w:rsidRPr="00A25023">
        <w:rPr>
          <w:sz w:val="24"/>
          <w:szCs w:val="24"/>
        </w:rPr>
        <w:t>Ebright</w:t>
      </w:r>
      <w:proofErr w:type="spellEnd"/>
      <w:r w:rsidRPr="00A25023">
        <w:rPr>
          <w:sz w:val="24"/>
          <w:szCs w:val="24"/>
        </w:rPr>
        <w:t xml:space="preserve"> PR, Patterson ES, </w:t>
      </w:r>
      <w:proofErr w:type="spellStart"/>
      <w:r w:rsidRPr="00A25023">
        <w:rPr>
          <w:sz w:val="24"/>
          <w:szCs w:val="24"/>
        </w:rPr>
        <w:t>Chalko</w:t>
      </w:r>
      <w:proofErr w:type="spellEnd"/>
      <w:r w:rsidRPr="00A25023">
        <w:rPr>
          <w:sz w:val="24"/>
          <w:szCs w:val="24"/>
        </w:rPr>
        <w:t xml:space="preserve"> BA. Understanding the complexity of registered nurse work in acute care settings. J </w:t>
      </w:r>
      <w:proofErr w:type="spellStart"/>
      <w:r w:rsidRPr="00A25023">
        <w:rPr>
          <w:sz w:val="24"/>
          <w:szCs w:val="24"/>
        </w:rPr>
        <w:t>Nurs</w:t>
      </w:r>
      <w:proofErr w:type="spellEnd"/>
      <w:r w:rsidRPr="00A25023">
        <w:rPr>
          <w:sz w:val="24"/>
          <w:szCs w:val="24"/>
        </w:rPr>
        <w:t xml:space="preserve"> </w:t>
      </w:r>
      <w:proofErr w:type="spellStart"/>
      <w:r w:rsidRPr="00A25023">
        <w:rPr>
          <w:sz w:val="24"/>
          <w:szCs w:val="24"/>
        </w:rPr>
        <w:t>Adm</w:t>
      </w:r>
      <w:proofErr w:type="spellEnd"/>
      <w:r w:rsidRPr="00A25023">
        <w:rPr>
          <w:sz w:val="24"/>
          <w:szCs w:val="24"/>
        </w:rPr>
        <w:t xml:space="preserve"> 2003; 33: 630-8</w:t>
      </w:r>
    </w:p>
    <w:p w14:paraId="0CED4D75" w14:textId="77777777" w:rsidR="004F09CF" w:rsidRPr="00A25023" w:rsidRDefault="004F09CF" w:rsidP="004F09CF">
      <w:pPr>
        <w:numPr>
          <w:ilvl w:val="0"/>
          <w:numId w:val="2"/>
        </w:numPr>
        <w:spacing w:line="360" w:lineRule="auto"/>
        <w:contextualSpacing/>
        <w:rPr>
          <w:sz w:val="24"/>
          <w:szCs w:val="24"/>
        </w:rPr>
      </w:pPr>
      <w:proofErr w:type="spellStart"/>
      <w:r w:rsidRPr="00A25023">
        <w:rPr>
          <w:sz w:val="24"/>
          <w:szCs w:val="24"/>
        </w:rPr>
        <w:t>Raiborn</w:t>
      </w:r>
      <w:proofErr w:type="spellEnd"/>
      <w:r w:rsidRPr="00A25023">
        <w:rPr>
          <w:sz w:val="24"/>
          <w:szCs w:val="24"/>
        </w:rPr>
        <w:t xml:space="preserve"> CA. Managerial accounting. Melbourne, Australia: Nelson Thomson Learning, 2004.</w:t>
      </w:r>
    </w:p>
    <w:p w14:paraId="06C142D8" w14:textId="77777777" w:rsidR="004F09CF" w:rsidRPr="00A25023" w:rsidRDefault="004F09CF" w:rsidP="004F09CF">
      <w:pPr>
        <w:numPr>
          <w:ilvl w:val="0"/>
          <w:numId w:val="2"/>
        </w:numPr>
        <w:spacing w:line="360" w:lineRule="auto"/>
        <w:contextualSpacing/>
        <w:rPr>
          <w:sz w:val="24"/>
          <w:szCs w:val="24"/>
        </w:rPr>
      </w:pPr>
      <w:r w:rsidRPr="00A25023">
        <w:rPr>
          <w:sz w:val="24"/>
          <w:szCs w:val="24"/>
        </w:rPr>
        <w:t>Inflammatory Bowel Disease Toolkit. Royal College of General Practitioners.  (Accessed April 2017 at http://www.rcgp.org.uk/ibd)</w:t>
      </w:r>
    </w:p>
    <w:p w14:paraId="3F2E1AEE" w14:textId="77777777" w:rsidR="004F09CF" w:rsidRPr="00A25023" w:rsidRDefault="004F09CF" w:rsidP="004F09CF">
      <w:pPr>
        <w:numPr>
          <w:ilvl w:val="0"/>
          <w:numId w:val="2"/>
        </w:numPr>
        <w:spacing w:line="360" w:lineRule="auto"/>
        <w:contextualSpacing/>
        <w:rPr>
          <w:sz w:val="24"/>
          <w:szCs w:val="24"/>
        </w:rPr>
      </w:pPr>
      <w:r w:rsidRPr="00A25023">
        <w:rPr>
          <w:sz w:val="24"/>
          <w:szCs w:val="24"/>
        </w:rPr>
        <w:t xml:space="preserve">Inflammatory Bowel Disease Nursing: Results of an audit exploring the roles, responsibilities and activity of nurses with specialist/advanced roles. Royal College of Nursing 2012. (Accessed December 2016 at </w:t>
      </w:r>
      <w:hyperlink r:id="rId8" w:history="1">
        <w:r w:rsidRPr="00A25023">
          <w:rPr>
            <w:color w:val="0563C1" w:themeColor="hyperlink"/>
            <w:sz w:val="24"/>
            <w:szCs w:val="24"/>
            <w:u w:val="single"/>
          </w:rPr>
          <w:t>https://www.rcn.org.uk/professional-development/publications/pub-004197https://www2.rcn.org.uk/__data/assets/pdf_file/0008/433736/004197.pdf</w:t>
        </w:r>
      </w:hyperlink>
      <w:r w:rsidRPr="00A25023">
        <w:rPr>
          <w:sz w:val="24"/>
          <w:szCs w:val="24"/>
        </w:rPr>
        <w:t>)</w:t>
      </w:r>
    </w:p>
    <w:p w14:paraId="66CBFAB8" w14:textId="77777777" w:rsidR="004F09CF" w:rsidRPr="00A25023" w:rsidRDefault="004F09CF" w:rsidP="004F09CF">
      <w:pPr>
        <w:numPr>
          <w:ilvl w:val="0"/>
          <w:numId w:val="2"/>
        </w:numPr>
        <w:spacing w:line="360" w:lineRule="auto"/>
        <w:contextualSpacing/>
        <w:rPr>
          <w:sz w:val="24"/>
          <w:szCs w:val="24"/>
        </w:rPr>
      </w:pPr>
      <w:r w:rsidRPr="00A25023">
        <w:rPr>
          <w:sz w:val="24"/>
          <w:szCs w:val="24"/>
        </w:rPr>
        <w:t>Standards for the Healthcare of People who have Inflammatory Bowel Disease (IBD): IBD Standards 2013 Update 2013. (Accessed December 2017 at  http://s3-eu-west-1.amazonaws.com/files.crohnsandcolitis.org.uk/Publications/PPR/ibd_standards_13.pdf)</w:t>
      </w:r>
    </w:p>
    <w:p w14:paraId="3A5E5204" w14:textId="77777777" w:rsidR="004F09CF" w:rsidRPr="00A25023" w:rsidRDefault="004F09CF" w:rsidP="004F09CF">
      <w:pPr>
        <w:numPr>
          <w:ilvl w:val="0"/>
          <w:numId w:val="2"/>
        </w:numPr>
        <w:spacing w:line="360" w:lineRule="auto"/>
        <w:contextualSpacing/>
        <w:rPr>
          <w:sz w:val="24"/>
          <w:szCs w:val="24"/>
        </w:rPr>
      </w:pPr>
      <w:r w:rsidRPr="00A25023">
        <w:rPr>
          <w:sz w:val="24"/>
          <w:szCs w:val="24"/>
        </w:rPr>
        <w:t xml:space="preserve">Leary A, </w:t>
      </w:r>
      <w:proofErr w:type="spellStart"/>
      <w:r w:rsidRPr="00A25023">
        <w:rPr>
          <w:sz w:val="24"/>
          <w:szCs w:val="24"/>
        </w:rPr>
        <w:t>Brocksom</w:t>
      </w:r>
      <w:proofErr w:type="spellEnd"/>
      <w:r w:rsidRPr="00A25023">
        <w:rPr>
          <w:sz w:val="24"/>
          <w:szCs w:val="24"/>
        </w:rPr>
        <w:t xml:space="preserve"> J, </w:t>
      </w:r>
      <w:proofErr w:type="spellStart"/>
      <w:r w:rsidRPr="00A25023">
        <w:rPr>
          <w:sz w:val="24"/>
          <w:szCs w:val="24"/>
        </w:rPr>
        <w:t>Endacott</w:t>
      </w:r>
      <w:proofErr w:type="spellEnd"/>
      <w:r w:rsidRPr="00A25023">
        <w:rPr>
          <w:sz w:val="24"/>
          <w:szCs w:val="24"/>
        </w:rPr>
        <w:t xml:space="preserve"> R, et al. The specialist nursing workforce caring for men with prostate cancer in the UK. International Journal of Urological Nursing. 2016;10(1):5-13.</w:t>
      </w:r>
    </w:p>
    <w:p w14:paraId="4F7D2FE1" w14:textId="12F87775" w:rsidR="004F09CF" w:rsidRPr="00A25023" w:rsidRDefault="004F09CF" w:rsidP="004F09CF">
      <w:pPr>
        <w:numPr>
          <w:ilvl w:val="0"/>
          <w:numId w:val="2"/>
        </w:numPr>
        <w:spacing w:line="360" w:lineRule="auto"/>
        <w:contextualSpacing/>
        <w:rPr>
          <w:sz w:val="24"/>
          <w:szCs w:val="24"/>
        </w:rPr>
      </w:pPr>
      <w:proofErr w:type="spellStart"/>
      <w:r w:rsidRPr="00A25023">
        <w:rPr>
          <w:sz w:val="24"/>
          <w:szCs w:val="24"/>
        </w:rPr>
        <w:lastRenderedPageBreak/>
        <w:t>Kentischer</w:t>
      </w:r>
      <w:proofErr w:type="spellEnd"/>
      <w:r w:rsidRPr="00A25023">
        <w:rPr>
          <w:sz w:val="24"/>
          <w:szCs w:val="24"/>
        </w:rPr>
        <w:t xml:space="preserve"> F, </w:t>
      </w:r>
      <w:proofErr w:type="spellStart"/>
      <w:r w:rsidRPr="00A25023">
        <w:rPr>
          <w:sz w:val="24"/>
          <w:szCs w:val="24"/>
        </w:rPr>
        <w:t>Kleinknecht-Dolf</w:t>
      </w:r>
      <w:proofErr w:type="spellEnd"/>
      <w:r w:rsidRPr="00A25023">
        <w:rPr>
          <w:sz w:val="24"/>
          <w:szCs w:val="24"/>
        </w:rPr>
        <w:t xml:space="preserve"> M, </w:t>
      </w:r>
      <w:proofErr w:type="spellStart"/>
      <w:r w:rsidRPr="00A25023">
        <w:rPr>
          <w:sz w:val="24"/>
          <w:szCs w:val="24"/>
        </w:rPr>
        <w:t>Spirig</w:t>
      </w:r>
      <w:proofErr w:type="spellEnd"/>
      <w:r w:rsidRPr="00A25023">
        <w:rPr>
          <w:sz w:val="24"/>
          <w:szCs w:val="24"/>
        </w:rPr>
        <w:t xml:space="preserve"> R, Frei IA and Huber E. Patient-related complexity of care: a challenge or overwhelming burden for nurses - a qualitative study. </w:t>
      </w:r>
      <w:proofErr w:type="spellStart"/>
      <w:r w:rsidRPr="00A25023">
        <w:rPr>
          <w:sz w:val="24"/>
          <w:szCs w:val="24"/>
        </w:rPr>
        <w:t>Scand</w:t>
      </w:r>
      <w:proofErr w:type="spellEnd"/>
      <w:r w:rsidRPr="00A25023">
        <w:rPr>
          <w:sz w:val="24"/>
          <w:szCs w:val="24"/>
        </w:rPr>
        <w:t xml:space="preserve"> J Caring Sci. 2018 Mar;32(1):204-212.</w:t>
      </w:r>
    </w:p>
    <w:p w14:paraId="10A2AF12" w14:textId="56D9D724" w:rsidR="004F09CF" w:rsidRPr="00A25023" w:rsidRDefault="004F09CF" w:rsidP="004F09CF">
      <w:pPr>
        <w:numPr>
          <w:ilvl w:val="0"/>
          <w:numId w:val="2"/>
        </w:numPr>
        <w:spacing w:line="360" w:lineRule="auto"/>
        <w:contextualSpacing/>
        <w:rPr>
          <w:sz w:val="24"/>
          <w:szCs w:val="24"/>
        </w:rPr>
      </w:pPr>
      <w:r w:rsidRPr="00A25023">
        <w:rPr>
          <w:sz w:val="24"/>
          <w:szCs w:val="24"/>
        </w:rPr>
        <w:t xml:space="preserve">Punshon G, </w:t>
      </w:r>
      <w:proofErr w:type="spellStart"/>
      <w:r w:rsidRPr="00A25023">
        <w:rPr>
          <w:sz w:val="24"/>
          <w:szCs w:val="24"/>
        </w:rPr>
        <w:t>Endacott</w:t>
      </w:r>
      <w:proofErr w:type="spellEnd"/>
      <w:r w:rsidRPr="00A25023">
        <w:rPr>
          <w:sz w:val="24"/>
          <w:szCs w:val="24"/>
        </w:rPr>
        <w:t xml:space="preserve"> R, </w:t>
      </w:r>
      <w:proofErr w:type="spellStart"/>
      <w:r w:rsidRPr="00A25023">
        <w:rPr>
          <w:sz w:val="24"/>
          <w:szCs w:val="24"/>
        </w:rPr>
        <w:t>Aslett</w:t>
      </w:r>
      <w:proofErr w:type="spellEnd"/>
      <w:r w:rsidRPr="00A25023">
        <w:rPr>
          <w:sz w:val="24"/>
          <w:szCs w:val="24"/>
        </w:rPr>
        <w:t xml:space="preserve"> P, </w:t>
      </w:r>
      <w:proofErr w:type="spellStart"/>
      <w:r w:rsidRPr="00A25023">
        <w:rPr>
          <w:sz w:val="24"/>
          <w:szCs w:val="24"/>
        </w:rPr>
        <w:t>Brocksom</w:t>
      </w:r>
      <w:proofErr w:type="spellEnd"/>
      <w:r w:rsidRPr="00A25023">
        <w:rPr>
          <w:sz w:val="24"/>
          <w:szCs w:val="24"/>
        </w:rPr>
        <w:t xml:space="preserve"> J, </w:t>
      </w:r>
      <w:proofErr w:type="spellStart"/>
      <w:r w:rsidRPr="00A25023">
        <w:rPr>
          <w:sz w:val="24"/>
          <w:szCs w:val="24"/>
        </w:rPr>
        <w:t>Fleure</w:t>
      </w:r>
      <w:proofErr w:type="spellEnd"/>
      <w:r w:rsidRPr="00A25023">
        <w:rPr>
          <w:sz w:val="24"/>
          <w:szCs w:val="24"/>
        </w:rPr>
        <w:t xml:space="preserve"> L, </w:t>
      </w:r>
      <w:proofErr w:type="spellStart"/>
      <w:r w:rsidRPr="00A25023">
        <w:rPr>
          <w:sz w:val="24"/>
          <w:szCs w:val="24"/>
        </w:rPr>
        <w:t>Howdle</w:t>
      </w:r>
      <w:proofErr w:type="spellEnd"/>
      <w:r w:rsidRPr="00A25023">
        <w:rPr>
          <w:sz w:val="24"/>
          <w:szCs w:val="24"/>
        </w:rPr>
        <w:t xml:space="preserve"> F, Masterton M, O'Connor A, Swift A, </w:t>
      </w:r>
      <w:proofErr w:type="spellStart"/>
      <w:r w:rsidRPr="00A25023">
        <w:rPr>
          <w:sz w:val="24"/>
          <w:szCs w:val="24"/>
        </w:rPr>
        <w:t>Trevatt</w:t>
      </w:r>
      <w:proofErr w:type="spellEnd"/>
      <w:r w:rsidRPr="00A25023">
        <w:rPr>
          <w:sz w:val="24"/>
          <w:szCs w:val="24"/>
        </w:rPr>
        <w:t xml:space="preserve"> P. and Leary A. The Experiences of Specialist Nurses Working within the </w:t>
      </w:r>
      <w:proofErr w:type="spellStart"/>
      <w:r w:rsidRPr="00A25023">
        <w:rPr>
          <w:sz w:val="24"/>
          <w:szCs w:val="24"/>
        </w:rPr>
        <w:t>Uro</w:t>
      </w:r>
      <w:proofErr w:type="spellEnd"/>
      <w:r w:rsidRPr="00A25023">
        <w:rPr>
          <w:sz w:val="24"/>
          <w:szCs w:val="24"/>
        </w:rPr>
        <w:t>-oncology Multidisciplinary Team in the United Kingdom. Clin Nurse Spec. 2017 Jul/Aug;31(4):210-218.</w:t>
      </w:r>
    </w:p>
    <w:p w14:paraId="7E1F5771" w14:textId="16403FAE" w:rsidR="005A0686" w:rsidRPr="00A25023" w:rsidRDefault="000561B7" w:rsidP="000561B7">
      <w:pPr>
        <w:numPr>
          <w:ilvl w:val="0"/>
          <w:numId w:val="2"/>
        </w:numPr>
        <w:spacing w:line="360" w:lineRule="auto"/>
        <w:contextualSpacing/>
        <w:rPr>
          <w:sz w:val="24"/>
          <w:szCs w:val="24"/>
        </w:rPr>
      </w:pPr>
      <w:r w:rsidRPr="00A25023">
        <w:rPr>
          <w:sz w:val="24"/>
          <w:szCs w:val="24"/>
        </w:rPr>
        <w:t xml:space="preserve">O’Connor, M, </w:t>
      </w:r>
      <w:proofErr w:type="spellStart"/>
      <w:r w:rsidRPr="00A25023">
        <w:rPr>
          <w:sz w:val="24"/>
          <w:szCs w:val="24"/>
        </w:rPr>
        <w:t>Gaarenstroom</w:t>
      </w:r>
      <w:proofErr w:type="spellEnd"/>
      <w:r w:rsidRPr="00A25023">
        <w:rPr>
          <w:sz w:val="24"/>
          <w:szCs w:val="24"/>
        </w:rPr>
        <w:t xml:space="preserve">, J, Kemp, K, </w:t>
      </w:r>
      <w:proofErr w:type="spellStart"/>
      <w:r w:rsidRPr="00A25023">
        <w:rPr>
          <w:sz w:val="24"/>
          <w:szCs w:val="24"/>
        </w:rPr>
        <w:t>Bager</w:t>
      </w:r>
      <w:proofErr w:type="spellEnd"/>
      <w:r w:rsidRPr="00A25023">
        <w:rPr>
          <w:sz w:val="24"/>
          <w:szCs w:val="24"/>
        </w:rPr>
        <w:t xml:space="preserve">, P and C.J van der </w:t>
      </w:r>
      <w:proofErr w:type="spellStart"/>
      <w:r w:rsidRPr="00A25023">
        <w:rPr>
          <w:sz w:val="24"/>
          <w:szCs w:val="24"/>
        </w:rPr>
        <w:t>Woude</w:t>
      </w:r>
      <w:proofErr w:type="spellEnd"/>
      <w:r w:rsidRPr="00A25023">
        <w:rPr>
          <w:sz w:val="24"/>
          <w:szCs w:val="24"/>
        </w:rPr>
        <w:t>. N-ECCO survey results of nursing practice in caring for patients with Crohn's disease or ulcerative colitis in Europe. Journal of Crohn's and Colitis. 2014. Vol 8 (10); 1300–1307</w:t>
      </w:r>
    </w:p>
    <w:p w14:paraId="2277B50D" w14:textId="1C658711" w:rsidR="005A0686" w:rsidRPr="00A25023" w:rsidRDefault="005A0686" w:rsidP="000568DD">
      <w:pPr>
        <w:numPr>
          <w:ilvl w:val="0"/>
          <w:numId w:val="2"/>
        </w:numPr>
        <w:spacing w:line="360" w:lineRule="auto"/>
        <w:contextualSpacing/>
        <w:rPr>
          <w:sz w:val="24"/>
          <w:szCs w:val="24"/>
        </w:rPr>
      </w:pPr>
      <w:r w:rsidRPr="00A25023">
        <w:rPr>
          <w:sz w:val="24"/>
          <w:szCs w:val="24"/>
        </w:rPr>
        <w:t>N-ECCO 2018</w:t>
      </w:r>
      <w:r w:rsidR="000561B7" w:rsidRPr="00A25023">
        <w:rPr>
          <w:sz w:val="24"/>
          <w:szCs w:val="24"/>
        </w:rPr>
        <w:t xml:space="preserve"> Kemp, K. Dibley, L, Chauhan, U,  </w:t>
      </w:r>
      <w:proofErr w:type="spellStart"/>
      <w:r w:rsidR="000561B7" w:rsidRPr="00A25023">
        <w:rPr>
          <w:sz w:val="24"/>
          <w:szCs w:val="24"/>
        </w:rPr>
        <w:t>Greveson</w:t>
      </w:r>
      <w:proofErr w:type="spellEnd"/>
      <w:r w:rsidR="000561B7" w:rsidRPr="00A25023">
        <w:rPr>
          <w:sz w:val="24"/>
          <w:szCs w:val="24"/>
        </w:rPr>
        <w:t xml:space="preserve">, K, </w:t>
      </w:r>
      <w:proofErr w:type="spellStart"/>
      <w:r w:rsidR="000561B7" w:rsidRPr="00A25023">
        <w:rPr>
          <w:sz w:val="24"/>
          <w:szCs w:val="24"/>
        </w:rPr>
        <w:t>Jäghult</w:t>
      </w:r>
      <w:proofErr w:type="spellEnd"/>
      <w:r w:rsidR="000561B7" w:rsidRPr="00A25023">
        <w:rPr>
          <w:sz w:val="24"/>
          <w:szCs w:val="24"/>
        </w:rPr>
        <w:t>, S, Ashton, K, Buckton, S, Duncan, J, Hartmann</w:t>
      </w:r>
      <w:r w:rsidR="000568DD" w:rsidRPr="00A25023">
        <w:rPr>
          <w:sz w:val="24"/>
          <w:szCs w:val="24"/>
        </w:rPr>
        <w:t xml:space="preserve">, P, </w:t>
      </w:r>
      <w:proofErr w:type="spellStart"/>
      <w:r w:rsidR="000561B7" w:rsidRPr="00A25023">
        <w:rPr>
          <w:sz w:val="24"/>
          <w:szCs w:val="24"/>
        </w:rPr>
        <w:t>Ipenburg</w:t>
      </w:r>
      <w:proofErr w:type="spellEnd"/>
      <w:r w:rsidR="000568DD" w:rsidRPr="00A25023">
        <w:rPr>
          <w:sz w:val="24"/>
          <w:szCs w:val="24"/>
        </w:rPr>
        <w:t xml:space="preserve">, N, </w:t>
      </w:r>
      <w:proofErr w:type="spellStart"/>
      <w:r w:rsidR="000561B7" w:rsidRPr="00A25023">
        <w:rPr>
          <w:sz w:val="24"/>
          <w:szCs w:val="24"/>
        </w:rPr>
        <w:t>Liesbeth</w:t>
      </w:r>
      <w:proofErr w:type="spellEnd"/>
      <w:r w:rsidR="000561B7" w:rsidRPr="00A25023">
        <w:rPr>
          <w:sz w:val="24"/>
          <w:szCs w:val="24"/>
        </w:rPr>
        <w:t xml:space="preserve"> </w:t>
      </w:r>
      <w:proofErr w:type="spellStart"/>
      <w:r w:rsidR="000561B7" w:rsidRPr="00A25023">
        <w:rPr>
          <w:sz w:val="24"/>
          <w:szCs w:val="24"/>
        </w:rPr>
        <w:t>Moortgat</w:t>
      </w:r>
      <w:proofErr w:type="spellEnd"/>
      <w:r w:rsidR="000568DD" w:rsidRPr="00A25023">
        <w:rPr>
          <w:sz w:val="24"/>
          <w:szCs w:val="24"/>
        </w:rPr>
        <w:t>, L,</w:t>
      </w:r>
      <w:r w:rsidR="000561B7" w:rsidRPr="00A25023">
        <w:rPr>
          <w:sz w:val="24"/>
          <w:szCs w:val="24"/>
        </w:rPr>
        <w:t xml:space="preserve"> </w:t>
      </w:r>
      <w:proofErr w:type="spellStart"/>
      <w:r w:rsidR="000561B7" w:rsidRPr="00A25023">
        <w:rPr>
          <w:sz w:val="24"/>
          <w:szCs w:val="24"/>
        </w:rPr>
        <w:t>Theeuwen</w:t>
      </w:r>
      <w:proofErr w:type="spellEnd"/>
      <w:r w:rsidR="000568DD" w:rsidRPr="00A25023">
        <w:rPr>
          <w:sz w:val="24"/>
          <w:szCs w:val="24"/>
        </w:rPr>
        <w:t xml:space="preserve">, R, </w:t>
      </w:r>
      <w:r w:rsidR="000561B7" w:rsidRPr="00A25023">
        <w:rPr>
          <w:sz w:val="24"/>
          <w:szCs w:val="24"/>
        </w:rPr>
        <w:t xml:space="preserve"> </w:t>
      </w:r>
      <w:proofErr w:type="spellStart"/>
      <w:r w:rsidR="000561B7" w:rsidRPr="00A25023">
        <w:rPr>
          <w:sz w:val="24"/>
          <w:szCs w:val="24"/>
        </w:rPr>
        <w:t>Verwey</w:t>
      </w:r>
      <w:proofErr w:type="spellEnd"/>
      <w:r w:rsidR="000568DD" w:rsidRPr="00A25023">
        <w:rPr>
          <w:sz w:val="24"/>
          <w:szCs w:val="24"/>
        </w:rPr>
        <w:t xml:space="preserve">, M, </w:t>
      </w:r>
      <w:r w:rsidR="000561B7" w:rsidRPr="00A25023">
        <w:rPr>
          <w:sz w:val="24"/>
          <w:szCs w:val="24"/>
        </w:rPr>
        <w:t xml:space="preserve"> </w:t>
      </w:r>
      <w:proofErr w:type="spellStart"/>
      <w:r w:rsidR="000561B7" w:rsidRPr="00A25023">
        <w:rPr>
          <w:sz w:val="24"/>
          <w:szCs w:val="24"/>
        </w:rPr>
        <w:t>Younge</w:t>
      </w:r>
      <w:proofErr w:type="spellEnd"/>
      <w:r w:rsidR="000568DD" w:rsidRPr="00A25023">
        <w:rPr>
          <w:sz w:val="24"/>
          <w:szCs w:val="24"/>
        </w:rPr>
        <w:t>, L,</w:t>
      </w:r>
      <w:r w:rsidR="000561B7" w:rsidRPr="00A25023">
        <w:rPr>
          <w:sz w:val="24"/>
          <w:szCs w:val="24"/>
        </w:rPr>
        <w:t xml:space="preserve"> Sturm</w:t>
      </w:r>
      <w:r w:rsidR="000568DD" w:rsidRPr="00A25023">
        <w:rPr>
          <w:sz w:val="24"/>
          <w:szCs w:val="24"/>
        </w:rPr>
        <w:t xml:space="preserve">, A, </w:t>
      </w:r>
      <w:r w:rsidR="000561B7" w:rsidRPr="00A25023">
        <w:rPr>
          <w:sz w:val="24"/>
          <w:szCs w:val="24"/>
        </w:rPr>
        <w:t xml:space="preserve"> </w:t>
      </w:r>
      <w:proofErr w:type="spellStart"/>
      <w:r w:rsidR="000561B7" w:rsidRPr="00A25023">
        <w:rPr>
          <w:sz w:val="24"/>
          <w:szCs w:val="24"/>
        </w:rPr>
        <w:t>Bager</w:t>
      </w:r>
      <w:proofErr w:type="spellEnd"/>
      <w:r w:rsidR="000568DD" w:rsidRPr="00A25023">
        <w:rPr>
          <w:sz w:val="24"/>
          <w:szCs w:val="24"/>
        </w:rPr>
        <w:t>, P. Second N-ECCO Consensus Statements on the European Nursing Roles in Caring for Patients with Crohn’s Disease or Ulcerative Colitis. 2018. Journal of Crohn's and Colitis, Vol 12 (7); 760–776,</w:t>
      </w:r>
    </w:p>
    <w:p w14:paraId="4C230155" w14:textId="77777777" w:rsidR="004F09CF" w:rsidRPr="00A25023" w:rsidRDefault="004F09CF" w:rsidP="004F09CF">
      <w:pPr>
        <w:numPr>
          <w:ilvl w:val="0"/>
          <w:numId w:val="2"/>
        </w:numPr>
        <w:spacing w:line="360" w:lineRule="auto"/>
        <w:contextualSpacing/>
        <w:rPr>
          <w:sz w:val="24"/>
          <w:szCs w:val="24"/>
        </w:rPr>
      </w:pPr>
      <w:r w:rsidRPr="00A25023">
        <w:rPr>
          <w:sz w:val="24"/>
          <w:szCs w:val="24"/>
        </w:rPr>
        <w:t xml:space="preserve">Leary A, </w:t>
      </w:r>
      <w:proofErr w:type="spellStart"/>
      <w:r w:rsidRPr="00A25023">
        <w:rPr>
          <w:sz w:val="24"/>
          <w:szCs w:val="24"/>
        </w:rPr>
        <w:t>Anionwu</w:t>
      </w:r>
      <w:proofErr w:type="spellEnd"/>
      <w:r w:rsidRPr="00A25023">
        <w:rPr>
          <w:sz w:val="24"/>
          <w:szCs w:val="24"/>
        </w:rPr>
        <w:t xml:space="preserve"> EN </w:t>
      </w:r>
      <w:proofErr w:type="spellStart"/>
      <w:r w:rsidRPr="00A25023">
        <w:rPr>
          <w:sz w:val="24"/>
          <w:szCs w:val="24"/>
        </w:rPr>
        <w:t>Modeling</w:t>
      </w:r>
      <w:proofErr w:type="spellEnd"/>
      <w:r w:rsidRPr="00A25023">
        <w:rPr>
          <w:sz w:val="24"/>
          <w:szCs w:val="24"/>
        </w:rPr>
        <w:t xml:space="preserve"> the Complex Activity of Sickle Cell and Thalassemia Specialist Nurses in England. Clinical Nurse Specialist. September/October 2014, Vol 28, Issue 5, 277-282</w:t>
      </w:r>
    </w:p>
    <w:p w14:paraId="75F6F1C4" w14:textId="77777777" w:rsidR="004F09CF" w:rsidRPr="00A25023" w:rsidRDefault="004F09CF" w:rsidP="004F09CF">
      <w:pPr>
        <w:numPr>
          <w:ilvl w:val="0"/>
          <w:numId w:val="2"/>
        </w:numPr>
        <w:spacing w:line="360" w:lineRule="auto"/>
        <w:contextualSpacing/>
        <w:rPr>
          <w:sz w:val="24"/>
          <w:szCs w:val="24"/>
        </w:rPr>
      </w:pPr>
      <w:r w:rsidRPr="00A25023">
        <w:rPr>
          <w:sz w:val="24"/>
          <w:szCs w:val="24"/>
        </w:rPr>
        <w:t>Quin D. A collaborative care pathway to reduce admission to secondary care for multiple sclerosis. British Journal of Neuroscience Nursing 2011 Vol. 7(2), 497-499.</w:t>
      </w:r>
    </w:p>
    <w:p w14:paraId="1DA5EEE1" w14:textId="77777777" w:rsidR="004F09CF" w:rsidRPr="00A25023" w:rsidRDefault="004F09CF" w:rsidP="004F09CF">
      <w:pPr>
        <w:numPr>
          <w:ilvl w:val="0"/>
          <w:numId w:val="2"/>
        </w:numPr>
        <w:spacing w:line="360" w:lineRule="auto"/>
        <w:contextualSpacing/>
        <w:rPr>
          <w:sz w:val="24"/>
          <w:szCs w:val="24"/>
        </w:rPr>
      </w:pPr>
      <w:r w:rsidRPr="00A25023">
        <w:rPr>
          <w:sz w:val="24"/>
          <w:szCs w:val="24"/>
        </w:rPr>
        <w:t>The Alexa Toolkit- calculating optimum caseload guidance for lung cancer nurse specialists. 2013 National Cancer Action Team, Department of Health, England.</w:t>
      </w:r>
    </w:p>
    <w:p w14:paraId="01C9FF31" w14:textId="77777777" w:rsidR="004F09CF" w:rsidRPr="00A25023" w:rsidRDefault="004F09CF" w:rsidP="004F09CF">
      <w:pPr>
        <w:numPr>
          <w:ilvl w:val="0"/>
          <w:numId w:val="2"/>
        </w:numPr>
        <w:spacing w:line="360" w:lineRule="auto"/>
        <w:contextualSpacing/>
        <w:rPr>
          <w:sz w:val="24"/>
          <w:szCs w:val="24"/>
        </w:rPr>
      </w:pPr>
      <w:r w:rsidRPr="00A25023">
        <w:rPr>
          <w:sz w:val="24"/>
          <w:szCs w:val="24"/>
        </w:rPr>
        <w:t>Oliver S and Leary A. The value of the nurse specialist role- Pandora initial findings. Musculoskeletal Care, 2010 8:3, 175-177.</w:t>
      </w:r>
    </w:p>
    <w:p w14:paraId="3D4F98EC" w14:textId="77777777" w:rsidR="004F09CF" w:rsidRPr="00A25023" w:rsidRDefault="004F09CF" w:rsidP="004F09CF">
      <w:pPr>
        <w:numPr>
          <w:ilvl w:val="0"/>
          <w:numId w:val="2"/>
        </w:numPr>
        <w:spacing w:line="360" w:lineRule="auto"/>
        <w:contextualSpacing/>
        <w:rPr>
          <w:sz w:val="24"/>
          <w:szCs w:val="24"/>
        </w:rPr>
      </w:pPr>
      <w:r w:rsidRPr="00A25023">
        <w:rPr>
          <w:sz w:val="24"/>
          <w:szCs w:val="24"/>
        </w:rPr>
        <w:t>Courtney, M, Carey, N, Stenner, K. An overview of non-medical prescribing across one strategic health authority: a questionnaire survey. BMC Health Services Research 2012 12:138.</w:t>
      </w:r>
    </w:p>
    <w:p w14:paraId="31AA7054" w14:textId="77777777" w:rsidR="004F09CF" w:rsidRPr="00A25023" w:rsidRDefault="004F09CF" w:rsidP="004F09CF">
      <w:pPr>
        <w:numPr>
          <w:ilvl w:val="0"/>
          <w:numId w:val="2"/>
        </w:numPr>
        <w:spacing w:line="360" w:lineRule="auto"/>
        <w:contextualSpacing/>
        <w:rPr>
          <w:sz w:val="24"/>
          <w:szCs w:val="24"/>
        </w:rPr>
      </w:pPr>
      <w:r w:rsidRPr="00A25023">
        <w:rPr>
          <w:sz w:val="24"/>
          <w:szCs w:val="24"/>
        </w:rPr>
        <w:t>Find an IBD Nurse Specialist. Crohn’s and Colitis UK. (Accessed December 2017 at https://www.crohnsandcolitis.org.uk/support/find-an-ibd-nurse-specialist)</w:t>
      </w:r>
    </w:p>
    <w:p w14:paraId="72A401C8" w14:textId="77777777" w:rsidR="004F09CF" w:rsidRPr="00A25023" w:rsidRDefault="004F09CF" w:rsidP="004F09CF">
      <w:pPr>
        <w:numPr>
          <w:ilvl w:val="0"/>
          <w:numId w:val="2"/>
        </w:numPr>
        <w:spacing w:line="360" w:lineRule="auto"/>
        <w:contextualSpacing/>
        <w:rPr>
          <w:sz w:val="24"/>
          <w:szCs w:val="24"/>
        </w:rPr>
      </w:pPr>
      <w:r w:rsidRPr="00A25023">
        <w:rPr>
          <w:sz w:val="24"/>
          <w:szCs w:val="24"/>
        </w:rPr>
        <w:t>About Inflammatory Bowel Disease. Crohn’s and Colitis UK (Accessed December 2017 at https://www.crohnsandcolitis.org.uk/about-inflammatory-bowel-disease)</w:t>
      </w:r>
    </w:p>
    <w:p w14:paraId="18E54980" w14:textId="77777777" w:rsidR="004F09CF" w:rsidRPr="00A25023" w:rsidRDefault="004F09CF" w:rsidP="004F09CF">
      <w:pPr>
        <w:numPr>
          <w:ilvl w:val="0"/>
          <w:numId w:val="2"/>
        </w:numPr>
        <w:spacing w:line="360" w:lineRule="auto"/>
        <w:contextualSpacing/>
        <w:rPr>
          <w:sz w:val="24"/>
          <w:szCs w:val="24"/>
        </w:rPr>
      </w:pPr>
      <w:r w:rsidRPr="00A25023">
        <w:rPr>
          <w:sz w:val="24"/>
          <w:szCs w:val="24"/>
        </w:rPr>
        <w:lastRenderedPageBreak/>
        <w:t>Anderson R. Thematic Content Analysis. Descriptive Presentation of Qualitative data. Institute of Transpersonal Psychology: Palo Alto, CA; 1997.</w:t>
      </w:r>
    </w:p>
    <w:p w14:paraId="7A0FE263" w14:textId="77777777" w:rsidR="004F09CF" w:rsidRPr="00A25023" w:rsidRDefault="004F09CF" w:rsidP="004F09CF">
      <w:pPr>
        <w:numPr>
          <w:ilvl w:val="0"/>
          <w:numId w:val="2"/>
        </w:numPr>
        <w:spacing w:line="360" w:lineRule="auto"/>
        <w:contextualSpacing/>
        <w:rPr>
          <w:sz w:val="24"/>
          <w:szCs w:val="24"/>
        </w:rPr>
      </w:pPr>
      <w:r w:rsidRPr="00A25023">
        <w:rPr>
          <w:sz w:val="24"/>
          <w:szCs w:val="24"/>
        </w:rPr>
        <w:t>National Cancer Patient Experience Survey Programme. 2012 National Survey Report. Department of Health, London 2012.</w:t>
      </w:r>
    </w:p>
    <w:p w14:paraId="4E6CEB39" w14:textId="77777777" w:rsidR="004F09CF" w:rsidRPr="00A25023" w:rsidRDefault="004F09CF" w:rsidP="004F09CF">
      <w:pPr>
        <w:numPr>
          <w:ilvl w:val="0"/>
          <w:numId w:val="2"/>
        </w:numPr>
        <w:spacing w:line="360" w:lineRule="auto"/>
        <w:contextualSpacing/>
        <w:rPr>
          <w:sz w:val="24"/>
          <w:szCs w:val="24"/>
        </w:rPr>
      </w:pPr>
      <w:r w:rsidRPr="00A25023">
        <w:rPr>
          <w:sz w:val="24"/>
          <w:szCs w:val="24"/>
        </w:rPr>
        <w:t xml:space="preserve">HSJ Workforce. Time For some Advanced Thinking? The Benefits of Specialist Nurses. An HSJ Supplement 2015 (Accessed December 2017 at </w:t>
      </w:r>
      <w:hyperlink r:id="rId9" w:history="1">
        <w:r w:rsidRPr="00A25023">
          <w:rPr>
            <w:color w:val="0563C1" w:themeColor="hyperlink"/>
            <w:sz w:val="24"/>
            <w:szCs w:val="24"/>
            <w:u w:val="single"/>
          </w:rPr>
          <w:t>https://www.hsj.co.uk/Uploads/2015/02/25/f/c/y/HSJ-Workforce-Supplement-150227.pdf</w:t>
        </w:r>
      </w:hyperlink>
      <w:r w:rsidRPr="00A25023">
        <w:rPr>
          <w:sz w:val="24"/>
          <w:szCs w:val="24"/>
        </w:rPr>
        <w:t>)</w:t>
      </w:r>
    </w:p>
    <w:p w14:paraId="4388BBE7" w14:textId="5754827E" w:rsidR="004F09CF" w:rsidRPr="00A25023" w:rsidRDefault="004F09CF" w:rsidP="004F09CF">
      <w:pPr>
        <w:numPr>
          <w:ilvl w:val="0"/>
          <w:numId w:val="2"/>
        </w:numPr>
        <w:spacing w:line="360" w:lineRule="auto"/>
        <w:contextualSpacing/>
        <w:rPr>
          <w:sz w:val="24"/>
          <w:szCs w:val="24"/>
        </w:rPr>
      </w:pPr>
      <w:r w:rsidRPr="00A25023">
        <w:rPr>
          <w:sz w:val="24"/>
          <w:szCs w:val="24"/>
        </w:rPr>
        <w:t xml:space="preserve">Baxter J and Leary A. Productivity gains by specialist nurses. </w:t>
      </w:r>
      <w:proofErr w:type="spellStart"/>
      <w:r w:rsidRPr="00A25023">
        <w:rPr>
          <w:sz w:val="24"/>
          <w:szCs w:val="24"/>
        </w:rPr>
        <w:t>Nurs</w:t>
      </w:r>
      <w:proofErr w:type="spellEnd"/>
      <w:r w:rsidRPr="00A25023">
        <w:rPr>
          <w:sz w:val="24"/>
          <w:szCs w:val="24"/>
        </w:rPr>
        <w:t xml:space="preserve"> Times 2011 107, 15-17.</w:t>
      </w:r>
    </w:p>
    <w:p w14:paraId="601EF4DD" w14:textId="42343BE8" w:rsidR="00F075C1" w:rsidRPr="00A25023" w:rsidRDefault="00C67B73" w:rsidP="004F09CF">
      <w:pPr>
        <w:numPr>
          <w:ilvl w:val="0"/>
          <w:numId w:val="2"/>
        </w:numPr>
        <w:spacing w:line="360" w:lineRule="auto"/>
        <w:contextualSpacing/>
        <w:rPr>
          <w:sz w:val="24"/>
          <w:szCs w:val="24"/>
        </w:rPr>
      </w:pPr>
      <w:r w:rsidRPr="00A25023">
        <w:rPr>
          <w:sz w:val="24"/>
          <w:szCs w:val="24"/>
        </w:rPr>
        <w:t xml:space="preserve">Leach, P, De Silva, M, Mountfield, R, Edwards, S, </w:t>
      </w:r>
      <w:proofErr w:type="spellStart"/>
      <w:r w:rsidRPr="00A25023">
        <w:rPr>
          <w:sz w:val="24"/>
          <w:szCs w:val="24"/>
        </w:rPr>
        <w:t>Chitti</w:t>
      </w:r>
      <w:proofErr w:type="spellEnd"/>
      <w:r w:rsidRPr="00A25023">
        <w:rPr>
          <w:sz w:val="24"/>
          <w:szCs w:val="24"/>
        </w:rPr>
        <w:t>, L, Fraser R.J.L, Bampton, P. The effect of inflammatory bowel disease nurse position on service delivery. Journal of Crohn’s and Colitis. 2014. 8; 370-374</w:t>
      </w:r>
    </w:p>
    <w:p w14:paraId="385E4038" w14:textId="569A8CE3" w:rsidR="00F075C1" w:rsidRPr="00A25023" w:rsidRDefault="008B44D3" w:rsidP="008B44D3">
      <w:pPr>
        <w:numPr>
          <w:ilvl w:val="0"/>
          <w:numId w:val="2"/>
        </w:numPr>
        <w:spacing w:line="360" w:lineRule="auto"/>
        <w:contextualSpacing/>
        <w:rPr>
          <w:sz w:val="24"/>
          <w:szCs w:val="24"/>
        </w:rPr>
      </w:pPr>
      <w:r w:rsidRPr="00A25023">
        <w:rPr>
          <w:sz w:val="24"/>
          <w:szCs w:val="24"/>
        </w:rPr>
        <w:t>Squires SI, Boal AJ, Naismith GD. The financial impact of a nurse-led telemedicine service for inflammatory bowel disease in a large district general hospital. Frontline Gastroenterology 2016</w:t>
      </w:r>
      <w:proofErr w:type="gramStart"/>
      <w:r w:rsidRPr="00A25023">
        <w:rPr>
          <w:sz w:val="24"/>
          <w:szCs w:val="24"/>
        </w:rPr>
        <w:t>;7:216</w:t>
      </w:r>
      <w:proofErr w:type="gramEnd"/>
      <w:r w:rsidRPr="00A25023">
        <w:rPr>
          <w:sz w:val="24"/>
          <w:szCs w:val="24"/>
        </w:rPr>
        <w:t>-221.</w:t>
      </w:r>
    </w:p>
    <w:p w14:paraId="592A106B" w14:textId="752A1BB3" w:rsidR="00B74C78" w:rsidRPr="00A25023" w:rsidRDefault="008B44D3" w:rsidP="00CD4D0C">
      <w:pPr>
        <w:numPr>
          <w:ilvl w:val="0"/>
          <w:numId w:val="2"/>
        </w:numPr>
        <w:spacing w:line="360" w:lineRule="auto"/>
        <w:contextualSpacing/>
        <w:rPr>
          <w:sz w:val="24"/>
          <w:szCs w:val="24"/>
        </w:rPr>
      </w:pPr>
      <w:r w:rsidRPr="00A25023">
        <w:rPr>
          <w:sz w:val="24"/>
          <w:szCs w:val="24"/>
        </w:rPr>
        <w:t>Bernstein,</w:t>
      </w:r>
      <w:r w:rsidR="00B74C78" w:rsidRPr="00A25023">
        <w:rPr>
          <w:sz w:val="24"/>
          <w:szCs w:val="24"/>
        </w:rPr>
        <w:t xml:space="preserve"> MT, </w:t>
      </w:r>
      <w:r w:rsidRPr="00A25023">
        <w:rPr>
          <w:sz w:val="24"/>
          <w:szCs w:val="24"/>
        </w:rPr>
        <w:t>Walker,</w:t>
      </w:r>
      <w:r w:rsidR="00B74C78" w:rsidRPr="00A25023">
        <w:rPr>
          <w:sz w:val="24"/>
          <w:szCs w:val="24"/>
        </w:rPr>
        <w:t xml:space="preserve"> J.R,</w:t>
      </w:r>
      <w:r w:rsidRPr="00A25023">
        <w:rPr>
          <w:sz w:val="24"/>
          <w:szCs w:val="24"/>
        </w:rPr>
        <w:t xml:space="preserve"> </w:t>
      </w:r>
      <w:proofErr w:type="spellStart"/>
      <w:r w:rsidRPr="00A25023">
        <w:rPr>
          <w:sz w:val="24"/>
          <w:szCs w:val="24"/>
        </w:rPr>
        <w:t>Chhibba</w:t>
      </w:r>
      <w:proofErr w:type="spellEnd"/>
      <w:r w:rsidRPr="00A25023">
        <w:rPr>
          <w:sz w:val="24"/>
          <w:szCs w:val="24"/>
        </w:rPr>
        <w:t>,</w:t>
      </w:r>
      <w:r w:rsidR="00B74C78" w:rsidRPr="00A25023">
        <w:rPr>
          <w:sz w:val="24"/>
          <w:szCs w:val="24"/>
        </w:rPr>
        <w:t xml:space="preserve"> T,</w:t>
      </w:r>
      <w:r w:rsidRPr="00A25023">
        <w:rPr>
          <w:sz w:val="24"/>
          <w:szCs w:val="24"/>
        </w:rPr>
        <w:t xml:space="preserve"> </w:t>
      </w:r>
      <w:proofErr w:type="spellStart"/>
      <w:r w:rsidRPr="00A25023">
        <w:rPr>
          <w:sz w:val="24"/>
          <w:szCs w:val="24"/>
        </w:rPr>
        <w:t>Ivekovic</w:t>
      </w:r>
      <w:proofErr w:type="spellEnd"/>
      <w:r w:rsidRPr="00A25023">
        <w:rPr>
          <w:sz w:val="24"/>
          <w:szCs w:val="24"/>
        </w:rPr>
        <w:t xml:space="preserve">, </w:t>
      </w:r>
      <w:r w:rsidR="00B74C78" w:rsidRPr="00A25023">
        <w:rPr>
          <w:sz w:val="24"/>
          <w:szCs w:val="24"/>
        </w:rPr>
        <w:t xml:space="preserve">M, </w:t>
      </w:r>
      <w:r w:rsidRPr="00A25023">
        <w:rPr>
          <w:sz w:val="24"/>
          <w:szCs w:val="24"/>
        </w:rPr>
        <w:t xml:space="preserve">Singh, </w:t>
      </w:r>
      <w:r w:rsidR="00B74C78" w:rsidRPr="00A25023">
        <w:rPr>
          <w:sz w:val="24"/>
          <w:szCs w:val="24"/>
        </w:rPr>
        <w:t xml:space="preserve">H, </w:t>
      </w:r>
      <w:proofErr w:type="spellStart"/>
      <w:r w:rsidRPr="00A25023">
        <w:rPr>
          <w:sz w:val="24"/>
          <w:szCs w:val="24"/>
        </w:rPr>
        <w:t>Targownik</w:t>
      </w:r>
      <w:proofErr w:type="spellEnd"/>
      <w:r w:rsidRPr="00A25023">
        <w:rPr>
          <w:sz w:val="24"/>
          <w:szCs w:val="24"/>
        </w:rPr>
        <w:t>,</w:t>
      </w:r>
      <w:r w:rsidR="00B74C78" w:rsidRPr="00A25023">
        <w:rPr>
          <w:sz w:val="24"/>
          <w:szCs w:val="24"/>
        </w:rPr>
        <w:t xml:space="preserve"> L.E, </w:t>
      </w:r>
      <w:r w:rsidRPr="00A25023">
        <w:rPr>
          <w:sz w:val="24"/>
          <w:szCs w:val="24"/>
        </w:rPr>
        <w:t>Bernstein,</w:t>
      </w:r>
      <w:r w:rsidR="00B74C78" w:rsidRPr="00A25023">
        <w:rPr>
          <w:sz w:val="24"/>
          <w:szCs w:val="24"/>
        </w:rPr>
        <w:t xml:space="preserve"> C.N. Health Care Services in IBD: Factors Associated with Service Utilization and Preferences for Service Options for Routine and Urgent Care. 2017. Inflammatory Bowel Diseases, Vol. 23 (9); 1461–1469</w:t>
      </w:r>
    </w:p>
    <w:p w14:paraId="6F9D70B8" w14:textId="48C51B47" w:rsidR="004F09CF" w:rsidRPr="00A25023" w:rsidRDefault="004F09CF" w:rsidP="004F09CF">
      <w:pPr>
        <w:numPr>
          <w:ilvl w:val="0"/>
          <w:numId w:val="2"/>
        </w:numPr>
        <w:spacing w:line="360" w:lineRule="auto"/>
        <w:contextualSpacing/>
        <w:rPr>
          <w:sz w:val="24"/>
          <w:szCs w:val="24"/>
        </w:rPr>
      </w:pPr>
      <w:r w:rsidRPr="00A25023">
        <w:rPr>
          <w:sz w:val="24"/>
          <w:szCs w:val="24"/>
        </w:rPr>
        <w:t>Ball J, Murrells T, Rafferty AM, Morrow E, Griffiths P. Care left undone' during nursing shifts: associations with workload and perceived quality of care.</w:t>
      </w:r>
      <w:r w:rsidRPr="00A25023">
        <w:t xml:space="preserve"> </w:t>
      </w:r>
      <w:r w:rsidRPr="00A25023">
        <w:rPr>
          <w:sz w:val="24"/>
          <w:szCs w:val="24"/>
        </w:rPr>
        <w:t xml:space="preserve">BMJ </w:t>
      </w:r>
      <w:proofErr w:type="spellStart"/>
      <w:r w:rsidRPr="00A25023">
        <w:rPr>
          <w:sz w:val="24"/>
          <w:szCs w:val="24"/>
        </w:rPr>
        <w:t>Qual</w:t>
      </w:r>
      <w:proofErr w:type="spellEnd"/>
      <w:r w:rsidRPr="00A25023">
        <w:rPr>
          <w:sz w:val="24"/>
          <w:szCs w:val="24"/>
        </w:rPr>
        <w:t xml:space="preserve"> </w:t>
      </w:r>
      <w:proofErr w:type="spellStart"/>
      <w:r w:rsidRPr="00A25023">
        <w:rPr>
          <w:sz w:val="24"/>
          <w:szCs w:val="24"/>
        </w:rPr>
        <w:t>Saf</w:t>
      </w:r>
      <w:proofErr w:type="spellEnd"/>
      <w:r w:rsidRPr="00A25023">
        <w:rPr>
          <w:sz w:val="24"/>
          <w:szCs w:val="24"/>
        </w:rPr>
        <w:t>. 2014 Feb;23(2):116-25</w:t>
      </w:r>
    </w:p>
    <w:p w14:paraId="4CB44B0F" w14:textId="744BC8BD" w:rsidR="00DB1F05" w:rsidRPr="00A25023" w:rsidRDefault="00DB1F05" w:rsidP="00DB1F05">
      <w:pPr>
        <w:numPr>
          <w:ilvl w:val="0"/>
          <w:numId w:val="2"/>
        </w:numPr>
        <w:spacing w:line="360" w:lineRule="auto"/>
        <w:contextualSpacing/>
        <w:rPr>
          <w:sz w:val="24"/>
          <w:szCs w:val="24"/>
        </w:rPr>
      </w:pPr>
      <w:r w:rsidRPr="00A25023">
        <w:rPr>
          <w:sz w:val="24"/>
          <w:szCs w:val="24"/>
        </w:rPr>
        <w:t>Leary, L, Quinn, D, and Bowen, A. Impact of Proactive Case Management by Multiple Sclerosis Specialist Nurses on Use of Unscheduled Care and Emergency Presentation in Multiple Sclerosis. 2015. International Journal of MS Care. Vol. 17, No. 4; 159-163.</w:t>
      </w:r>
    </w:p>
    <w:p w14:paraId="63A8625D" w14:textId="69A20A9B" w:rsidR="0029204E" w:rsidRPr="00A25023" w:rsidRDefault="0029204E">
      <w:pPr>
        <w:rPr>
          <w:sz w:val="24"/>
          <w:szCs w:val="24"/>
        </w:rPr>
      </w:pPr>
    </w:p>
    <w:p w14:paraId="087DC271" w14:textId="01464232" w:rsidR="00AF7289" w:rsidRPr="00A25023" w:rsidRDefault="00AF7289">
      <w:pPr>
        <w:rPr>
          <w:b/>
          <w:sz w:val="24"/>
          <w:szCs w:val="24"/>
        </w:rPr>
      </w:pPr>
      <w:r w:rsidRPr="00A25023">
        <w:rPr>
          <w:b/>
          <w:sz w:val="24"/>
          <w:szCs w:val="24"/>
        </w:rPr>
        <w:t>Figure Legends</w:t>
      </w:r>
    </w:p>
    <w:p w14:paraId="23317718" w14:textId="4D1CF2E5" w:rsidR="00AF7289" w:rsidRPr="00A25023" w:rsidRDefault="00AF7289" w:rsidP="00AF7289">
      <w:pPr>
        <w:spacing w:line="360" w:lineRule="auto"/>
        <w:jc w:val="both"/>
        <w:rPr>
          <w:rFonts w:eastAsiaTheme="minorEastAsia"/>
          <w:sz w:val="24"/>
          <w:szCs w:val="24"/>
        </w:rPr>
      </w:pPr>
      <w:r w:rsidRPr="00A25023">
        <w:rPr>
          <w:rFonts w:eastAsiaTheme="minorEastAsia"/>
          <w:b/>
          <w:sz w:val="24"/>
          <w:szCs w:val="24"/>
        </w:rPr>
        <w:t xml:space="preserve">Figure </w:t>
      </w:r>
      <w:r w:rsidR="00DB6CB0" w:rsidRPr="00A25023">
        <w:rPr>
          <w:rFonts w:eastAsiaTheme="minorEastAsia"/>
          <w:b/>
          <w:sz w:val="24"/>
          <w:szCs w:val="24"/>
        </w:rPr>
        <w:t>1</w:t>
      </w:r>
      <w:r w:rsidRPr="00A25023">
        <w:rPr>
          <w:rFonts w:eastAsiaTheme="minorEastAsia"/>
          <w:sz w:val="24"/>
          <w:szCs w:val="24"/>
        </w:rPr>
        <w:t>: Respondent’s annual caseload (148 responses). The bar in blue (501 to 700 caseload) indicates where the recommended caseload of 666 (1.5 FTE per 250,000) lies. The bars in green show where the caseload exceeds the standard.</w:t>
      </w:r>
    </w:p>
    <w:p w14:paraId="0669803B" w14:textId="6A9F10E8" w:rsidR="00041DF8" w:rsidRPr="00A25023" w:rsidRDefault="00041DF8" w:rsidP="00041DF8">
      <w:pPr>
        <w:rPr>
          <w:rFonts w:eastAsiaTheme="minorEastAsia"/>
          <w:sz w:val="24"/>
          <w:szCs w:val="24"/>
        </w:rPr>
      </w:pPr>
      <w:r w:rsidRPr="00A25023">
        <w:rPr>
          <w:rFonts w:eastAsiaTheme="minorEastAsia"/>
          <w:b/>
          <w:sz w:val="24"/>
          <w:szCs w:val="24"/>
        </w:rPr>
        <w:lastRenderedPageBreak/>
        <w:t xml:space="preserve">Figure </w:t>
      </w:r>
      <w:r w:rsidR="00DB6CB0" w:rsidRPr="00A25023">
        <w:rPr>
          <w:rFonts w:eastAsiaTheme="minorEastAsia"/>
          <w:b/>
          <w:sz w:val="24"/>
          <w:szCs w:val="24"/>
        </w:rPr>
        <w:t>2</w:t>
      </w:r>
      <w:r w:rsidRPr="00A25023">
        <w:rPr>
          <w:rFonts w:eastAsiaTheme="minorEastAsia"/>
          <w:sz w:val="24"/>
          <w:szCs w:val="24"/>
        </w:rPr>
        <w:t>: Respondents work done (134 responses, respondents could choose multiple options).</w:t>
      </w:r>
    </w:p>
    <w:p w14:paraId="0675B837" w14:textId="73588CB0" w:rsidR="00041DF8" w:rsidRPr="00A25023" w:rsidRDefault="00041DF8" w:rsidP="00041DF8">
      <w:pPr>
        <w:spacing w:line="360" w:lineRule="auto"/>
        <w:jc w:val="both"/>
        <w:rPr>
          <w:rFonts w:eastAsiaTheme="minorEastAsia"/>
          <w:sz w:val="24"/>
          <w:szCs w:val="24"/>
        </w:rPr>
      </w:pPr>
      <w:r w:rsidRPr="00A25023">
        <w:rPr>
          <w:rFonts w:eastAsiaTheme="minorEastAsia"/>
          <w:b/>
          <w:sz w:val="24"/>
          <w:szCs w:val="24"/>
        </w:rPr>
        <w:t xml:space="preserve">Figure </w:t>
      </w:r>
      <w:r w:rsidR="00DB6CB0" w:rsidRPr="00A25023">
        <w:rPr>
          <w:rFonts w:eastAsiaTheme="minorEastAsia"/>
          <w:b/>
          <w:sz w:val="24"/>
          <w:szCs w:val="24"/>
        </w:rPr>
        <w:t>3</w:t>
      </w:r>
      <w:r w:rsidRPr="00A25023">
        <w:rPr>
          <w:rFonts w:eastAsiaTheme="minorEastAsia"/>
          <w:sz w:val="24"/>
          <w:szCs w:val="24"/>
        </w:rPr>
        <w:t>: The six most common interventions at each treatment stage.</w:t>
      </w:r>
    </w:p>
    <w:p w14:paraId="26F66416" w14:textId="271A382C" w:rsidR="00041DF8" w:rsidRPr="00A25023" w:rsidRDefault="00041DF8" w:rsidP="00041DF8">
      <w:pPr>
        <w:spacing w:line="360" w:lineRule="auto"/>
        <w:jc w:val="both"/>
        <w:rPr>
          <w:rFonts w:eastAsiaTheme="minorEastAsia"/>
          <w:sz w:val="24"/>
          <w:szCs w:val="24"/>
        </w:rPr>
      </w:pPr>
      <w:r w:rsidRPr="00A25023">
        <w:rPr>
          <w:rFonts w:eastAsiaTheme="minorEastAsia"/>
          <w:b/>
          <w:sz w:val="24"/>
          <w:szCs w:val="24"/>
        </w:rPr>
        <w:t xml:space="preserve">Figure </w:t>
      </w:r>
      <w:r w:rsidR="00DB6CB0" w:rsidRPr="00A25023">
        <w:rPr>
          <w:rFonts w:eastAsiaTheme="minorEastAsia"/>
          <w:b/>
          <w:sz w:val="24"/>
          <w:szCs w:val="24"/>
        </w:rPr>
        <w:t>4</w:t>
      </w:r>
      <w:r w:rsidRPr="00A25023">
        <w:rPr>
          <w:rFonts w:eastAsiaTheme="minorEastAsia"/>
          <w:sz w:val="24"/>
          <w:szCs w:val="24"/>
        </w:rPr>
        <w:t>: The six most common areas of interventions left undone at each stage of the treatment pathway.</w:t>
      </w:r>
    </w:p>
    <w:p w14:paraId="527D2B63" w14:textId="77777777" w:rsidR="00041DF8" w:rsidRPr="00A25023" w:rsidRDefault="00041DF8" w:rsidP="00041DF8">
      <w:pPr>
        <w:rPr>
          <w:rFonts w:eastAsiaTheme="minorEastAsia"/>
          <w:sz w:val="24"/>
          <w:szCs w:val="24"/>
        </w:rPr>
      </w:pPr>
    </w:p>
    <w:p w14:paraId="36D119C1" w14:textId="60CC43BC" w:rsidR="00041DF8" w:rsidRPr="00A25023" w:rsidRDefault="00041DF8" w:rsidP="00041DF8">
      <w:pPr>
        <w:rPr>
          <w:rFonts w:eastAsiaTheme="minorEastAsia"/>
          <w:b/>
          <w:sz w:val="24"/>
          <w:szCs w:val="24"/>
        </w:rPr>
      </w:pPr>
      <w:r w:rsidRPr="00A25023">
        <w:rPr>
          <w:rFonts w:eastAsiaTheme="minorEastAsia"/>
          <w:b/>
          <w:sz w:val="24"/>
          <w:szCs w:val="24"/>
        </w:rPr>
        <w:t>Tables</w:t>
      </w:r>
    </w:p>
    <w:tbl>
      <w:tblPr>
        <w:tblStyle w:val="TableGrid"/>
        <w:tblW w:w="10095" w:type="dxa"/>
        <w:tblLayout w:type="fixed"/>
        <w:tblLook w:val="04A0" w:firstRow="1" w:lastRow="0" w:firstColumn="1" w:lastColumn="0" w:noHBand="0" w:noVBand="1"/>
      </w:tblPr>
      <w:tblGrid>
        <w:gridCol w:w="2019"/>
        <w:gridCol w:w="2019"/>
        <w:gridCol w:w="2019"/>
        <w:gridCol w:w="2019"/>
        <w:gridCol w:w="2019"/>
      </w:tblGrid>
      <w:tr w:rsidR="00DB6CB0" w:rsidRPr="00A25023" w14:paraId="59596900" w14:textId="77777777" w:rsidTr="00373996">
        <w:tc>
          <w:tcPr>
            <w:tcW w:w="10095" w:type="dxa"/>
            <w:gridSpan w:val="5"/>
          </w:tcPr>
          <w:p w14:paraId="3441BF6C" w14:textId="77777777" w:rsidR="00DB6CB0" w:rsidRPr="00A25023" w:rsidRDefault="00DB6CB0" w:rsidP="00373996">
            <w:pPr>
              <w:spacing w:line="360" w:lineRule="auto"/>
              <w:ind w:left="180"/>
              <w:jc w:val="both"/>
              <w:rPr>
                <w:b/>
                <w:sz w:val="24"/>
                <w:szCs w:val="24"/>
                <w:vertAlign w:val="superscript"/>
              </w:rPr>
            </w:pPr>
            <w:bookmarkStart w:id="4" w:name="_Hlk515087725"/>
            <w:r w:rsidRPr="00A25023">
              <w:rPr>
                <w:b/>
                <w:sz w:val="24"/>
                <w:szCs w:val="24"/>
              </w:rPr>
              <w:t>Country of Practice</w:t>
            </w:r>
            <w:r w:rsidRPr="00A25023">
              <w:rPr>
                <w:b/>
                <w:sz w:val="24"/>
                <w:szCs w:val="24"/>
                <w:vertAlign w:val="superscript"/>
              </w:rPr>
              <w:t>1</w:t>
            </w:r>
          </w:p>
        </w:tc>
      </w:tr>
      <w:tr w:rsidR="00DB6CB0" w:rsidRPr="00A25023" w14:paraId="700C3F6E" w14:textId="77777777" w:rsidTr="00373996">
        <w:tc>
          <w:tcPr>
            <w:tcW w:w="2019" w:type="dxa"/>
            <w:vAlign w:val="bottom"/>
          </w:tcPr>
          <w:p w14:paraId="561E0BE0" w14:textId="77777777" w:rsidR="00DB6CB0" w:rsidRPr="00A25023" w:rsidRDefault="00DB6CB0" w:rsidP="00373996">
            <w:pPr>
              <w:spacing w:line="360" w:lineRule="auto"/>
              <w:ind w:left="180"/>
              <w:jc w:val="both"/>
              <w:rPr>
                <w:b/>
                <w:sz w:val="24"/>
                <w:szCs w:val="24"/>
              </w:rPr>
            </w:pPr>
            <w:r w:rsidRPr="00A25023">
              <w:rPr>
                <w:b/>
                <w:sz w:val="24"/>
                <w:szCs w:val="24"/>
              </w:rPr>
              <w:t>England</w:t>
            </w:r>
          </w:p>
        </w:tc>
        <w:tc>
          <w:tcPr>
            <w:tcW w:w="2019" w:type="dxa"/>
            <w:vAlign w:val="bottom"/>
          </w:tcPr>
          <w:p w14:paraId="59BA7946" w14:textId="77777777" w:rsidR="00DB6CB0" w:rsidRPr="00A25023" w:rsidRDefault="00DB6CB0" w:rsidP="00373996">
            <w:pPr>
              <w:spacing w:line="360" w:lineRule="auto"/>
              <w:ind w:left="180"/>
              <w:jc w:val="both"/>
              <w:rPr>
                <w:b/>
                <w:sz w:val="24"/>
                <w:szCs w:val="24"/>
              </w:rPr>
            </w:pPr>
            <w:r w:rsidRPr="00A25023">
              <w:rPr>
                <w:b/>
                <w:sz w:val="24"/>
                <w:szCs w:val="24"/>
              </w:rPr>
              <w:t>Wales</w:t>
            </w:r>
          </w:p>
        </w:tc>
        <w:tc>
          <w:tcPr>
            <w:tcW w:w="2019" w:type="dxa"/>
            <w:vAlign w:val="bottom"/>
          </w:tcPr>
          <w:p w14:paraId="61CB57A8" w14:textId="77777777" w:rsidR="00DB6CB0" w:rsidRPr="00A25023" w:rsidRDefault="00DB6CB0" w:rsidP="00373996">
            <w:pPr>
              <w:spacing w:line="360" w:lineRule="auto"/>
              <w:ind w:left="180"/>
              <w:jc w:val="both"/>
              <w:rPr>
                <w:b/>
                <w:sz w:val="24"/>
                <w:szCs w:val="24"/>
              </w:rPr>
            </w:pPr>
            <w:r w:rsidRPr="00A25023">
              <w:rPr>
                <w:b/>
                <w:sz w:val="24"/>
                <w:szCs w:val="24"/>
              </w:rPr>
              <w:t>Scotland</w:t>
            </w:r>
          </w:p>
        </w:tc>
        <w:tc>
          <w:tcPr>
            <w:tcW w:w="4038" w:type="dxa"/>
            <w:gridSpan w:val="2"/>
            <w:vAlign w:val="bottom"/>
          </w:tcPr>
          <w:p w14:paraId="50EEB114" w14:textId="77777777" w:rsidR="00DB6CB0" w:rsidRPr="00A25023" w:rsidRDefault="00DB6CB0" w:rsidP="00373996">
            <w:pPr>
              <w:spacing w:line="360" w:lineRule="auto"/>
              <w:ind w:left="180"/>
              <w:jc w:val="both"/>
              <w:rPr>
                <w:b/>
                <w:sz w:val="24"/>
                <w:szCs w:val="24"/>
              </w:rPr>
            </w:pPr>
            <w:r w:rsidRPr="00A25023">
              <w:rPr>
                <w:b/>
                <w:sz w:val="24"/>
                <w:szCs w:val="24"/>
              </w:rPr>
              <w:t>Northern Ireland</w:t>
            </w:r>
          </w:p>
        </w:tc>
      </w:tr>
      <w:tr w:rsidR="00DB6CB0" w:rsidRPr="00A25023" w14:paraId="5CF56660" w14:textId="77777777" w:rsidTr="00373996">
        <w:tc>
          <w:tcPr>
            <w:tcW w:w="2019" w:type="dxa"/>
            <w:vAlign w:val="bottom"/>
          </w:tcPr>
          <w:p w14:paraId="20EA3FC5" w14:textId="77777777" w:rsidR="00DB6CB0" w:rsidRPr="00A25023" w:rsidRDefault="00DB6CB0" w:rsidP="00373996">
            <w:pPr>
              <w:spacing w:line="360" w:lineRule="auto"/>
              <w:ind w:left="180"/>
              <w:jc w:val="both"/>
              <w:rPr>
                <w:sz w:val="24"/>
                <w:szCs w:val="24"/>
              </w:rPr>
            </w:pPr>
            <w:r w:rsidRPr="00A25023">
              <w:rPr>
                <w:sz w:val="24"/>
                <w:szCs w:val="24"/>
              </w:rPr>
              <w:t>76% (124/164)</w:t>
            </w:r>
          </w:p>
        </w:tc>
        <w:tc>
          <w:tcPr>
            <w:tcW w:w="2019" w:type="dxa"/>
            <w:vAlign w:val="bottom"/>
          </w:tcPr>
          <w:p w14:paraId="559D361E" w14:textId="77777777" w:rsidR="00DB6CB0" w:rsidRPr="00A25023" w:rsidRDefault="00DB6CB0" w:rsidP="00373996">
            <w:pPr>
              <w:spacing w:line="360" w:lineRule="auto"/>
              <w:ind w:left="180"/>
              <w:jc w:val="both"/>
              <w:rPr>
                <w:sz w:val="24"/>
                <w:szCs w:val="24"/>
              </w:rPr>
            </w:pPr>
            <w:r w:rsidRPr="00A25023">
              <w:rPr>
                <w:sz w:val="24"/>
                <w:szCs w:val="24"/>
              </w:rPr>
              <w:t>8% (13/164)</w:t>
            </w:r>
          </w:p>
        </w:tc>
        <w:tc>
          <w:tcPr>
            <w:tcW w:w="2019" w:type="dxa"/>
            <w:vAlign w:val="bottom"/>
          </w:tcPr>
          <w:p w14:paraId="0B31F6AB" w14:textId="77777777" w:rsidR="00DB6CB0" w:rsidRPr="00A25023" w:rsidRDefault="00DB6CB0" w:rsidP="00373996">
            <w:pPr>
              <w:spacing w:line="360" w:lineRule="auto"/>
              <w:ind w:left="180"/>
              <w:jc w:val="both"/>
              <w:rPr>
                <w:sz w:val="24"/>
                <w:szCs w:val="24"/>
              </w:rPr>
            </w:pPr>
            <w:r w:rsidRPr="00A25023">
              <w:rPr>
                <w:sz w:val="24"/>
                <w:szCs w:val="24"/>
              </w:rPr>
              <w:t>12% (20/164)</w:t>
            </w:r>
          </w:p>
        </w:tc>
        <w:tc>
          <w:tcPr>
            <w:tcW w:w="4038" w:type="dxa"/>
            <w:gridSpan w:val="2"/>
            <w:vAlign w:val="bottom"/>
          </w:tcPr>
          <w:p w14:paraId="16D0A277" w14:textId="77777777" w:rsidR="00DB6CB0" w:rsidRPr="00A25023" w:rsidRDefault="00DB6CB0" w:rsidP="00373996">
            <w:pPr>
              <w:spacing w:line="360" w:lineRule="auto"/>
              <w:ind w:left="180"/>
              <w:jc w:val="both"/>
              <w:rPr>
                <w:sz w:val="24"/>
                <w:szCs w:val="24"/>
              </w:rPr>
            </w:pPr>
            <w:r w:rsidRPr="00A25023">
              <w:rPr>
                <w:sz w:val="24"/>
                <w:szCs w:val="24"/>
              </w:rPr>
              <w:t>2% (3/164)</w:t>
            </w:r>
          </w:p>
        </w:tc>
      </w:tr>
      <w:bookmarkEnd w:id="4"/>
      <w:tr w:rsidR="00DB6CB0" w:rsidRPr="00A25023" w14:paraId="45E3F2A1" w14:textId="77777777" w:rsidTr="00373996">
        <w:tc>
          <w:tcPr>
            <w:tcW w:w="10095" w:type="dxa"/>
            <w:gridSpan w:val="5"/>
            <w:vAlign w:val="bottom"/>
          </w:tcPr>
          <w:p w14:paraId="4D656517" w14:textId="77777777" w:rsidR="00DB6CB0" w:rsidRPr="00A25023" w:rsidRDefault="00DB6CB0" w:rsidP="00373996">
            <w:pPr>
              <w:spacing w:line="360" w:lineRule="auto"/>
              <w:ind w:left="180"/>
              <w:jc w:val="both"/>
              <w:rPr>
                <w:b/>
                <w:sz w:val="24"/>
                <w:szCs w:val="24"/>
                <w:vertAlign w:val="superscript"/>
              </w:rPr>
            </w:pPr>
            <w:r w:rsidRPr="00A25023">
              <w:rPr>
                <w:b/>
                <w:sz w:val="24"/>
                <w:szCs w:val="24"/>
              </w:rPr>
              <w:t>Number of Hospital Sites Covered</w:t>
            </w:r>
            <w:r w:rsidRPr="00A25023">
              <w:rPr>
                <w:b/>
                <w:sz w:val="24"/>
                <w:szCs w:val="24"/>
                <w:vertAlign w:val="superscript"/>
              </w:rPr>
              <w:t>2</w:t>
            </w:r>
          </w:p>
        </w:tc>
      </w:tr>
      <w:tr w:rsidR="00DB6CB0" w:rsidRPr="00A25023" w14:paraId="555B8C59" w14:textId="77777777" w:rsidTr="00373996">
        <w:tc>
          <w:tcPr>
            <w:tcW w:w="2019" w:type="dxa"/>
          </w:tcPr>
          <w:p w14:paraId="54DFEB12" w14:textId="77777777" w:rsidR="00DB6CB0" w:rsidRPr="00A25023" w:rsidRDefault="00DB6CB0" w:rsidP="00373996">
            <w:pPr>
              <w:spacing w:line="360" w:lineRule="auto"/>
              <w:ind w:left="180"/>
              <w:jc w:val="both"/>
              <w:rPr>
                <w:b/>
                <w:sz w:val="24"/>
                <w:szCs w:val="24"/>
              </w:rPr>
            </w:pPr>
            <w:r w:rsidRPr="00A25023">
              <w:rPr>
                <w:b/>
                <w:sz w:val="24"/>
                <w:szCs w:val="24"/>
              </w:rPr>
              <w:t>One</w:t>
            </w:r>
          </w:p>
        </w:tc>
        <w:tc>
          <w:tcPr>
            <w:tcW w:w="2019" w:type="dxa"/>
          </w:tcPr>
          <w:p w14:paraId="2D49F08D" w14:textId="77777777" w:rsidR="00DB6CB0" w:rsidRPr="00A25023" w:rsidRDefault="00DB6CB0" w:rsidP="00373996">
            <w:pPr>
              <w:spacing w:line="360" w:lineRule="auto"/>
              <w:ind w:left="180"/>
              <w:jc w:val="both"/>
              <w:rPr>
                <w:b/>
                <w:sz w:val="24"/>
                <w:szCs w:val="24"/>
              </w:rPr>
            </w:pPr>
            <w:r w:rsidRPr="00A25023">
              <w:rPr>
                <w:b/>
                <w:sz w:val="24"/>
                <w:szCs w:val="24"/>
              </w:rPr>
              <w:t>Two</w:t>
            </w:r>
          </w:p>
        </w:tc>
        <w:tc>
          <w:tcPr>
            <w:tcW w:w="2019" w:type="dxa"/>
          </w:tcPr>
          <w:p w14:paraId="089E10FE" w14:textId="77777777" w:rsidR="00DB6CB0" w:rsidRPr="00A25023" w:rsidRDefault="00DB6CB0" w:rsidP="00373996">
            <w:pPr>
              <w:spacing w:line="360" w:lineRule="auto"/>
              <w:ind w:left="180"/>
              <w:jc w:val="both"/>
              <w:rPr>
                <w:b/>
                <w:sz w:val="24"/>
                <w:szCs w:val="24"/>
              </w:rPr>
            </w:pPr>
            <w:r w:rsidRPr="00A25023">
              <w:rPr>
                <w:b/>
                <w:sz w:val="24"/>
                <w:szCs w:val="24"/>
              </w:rPr>
              <w:t>Three</w:t>
            </w:r>
          </w:p>
        </w:tc>
        <w:tc>
          <w:tcPr>
            <w:tcW w:w="2019" w:type="dxa"/>
          </w:tcPr>
          <w:p w14:paraId="32FE837E" w14:textId="77777777" w:rsidR="00DB6CB0" w:rsidRPr="00A25023" w:rsidRDefault="00DB6CB0" w:rsidP="00373996">
            <w:pPr>
              <w:spacing w:line="360" w:lineRule="auto"/>
              <w:ind w:left="180"/>
              <w:jc w:val="both"/>
              <w:rPr>
                <w:b/>
                <w:sz w:val="24"/>
                <w:szCs w:val="24"/>
              </w:rPr>
            </w:pPr>
            <w:r w:rsidRPr="00A25023">
              <w:rPr>
                <w:b/>
                <w:sz w:val="24"/>
                <w:szCs w:val="24"/>
              </w:rPr>
              <w:t>Four</w:t>
            </w:r>
          </w:p>
        </w:tc>
        <w:tc>
          <w:tcPr>
            <w:tcW w:w="2019" w:type="dxa"/>
          </w:tcPr>
          <w:p w14:paraId="69073A7C" w14:textId="77777777" w:rsidR="00DB6CB0" w:rsidRPr="00A25023" w:rsidRDefault="00DB6CB0" w:rsidP="00373996">
            <w:pPr>
              <w:spacing w:line="360" w:lineRule="auto"/>
              <w:ind w:left="180"/>
              <w:jc w:val="both"/>
              <w:rPr>
                <w:b/>
                <w:sz w:val="24"/>
                <w:szCs w:val="24"/>
              </w:rPr>
            </w:pPr>
            <w:r w:rsidRPr="00A25023">
              <w:rPr>
                <w:b/>
                <w:sz w:val="24"/>
                <w:szCs w:val="24"/>
              </w:rPr>
              <w:t>Five plus</w:t>
            </w:r>
          </w:p>
        </w:tc>
      </w:tr>
      <w:tr w:rsidR="00DB6CB0" w:rsidRPr="00A25023" w14:paraId="43D0E61F" w14:textId="77777777" w:rsidTr="00373996">
        <w:tc>
          <w:tcPr>
            <w:tcW w:w="2019" w:type="dxa"/>
          </w:tcPr>
          <w:p w14:paraId="3424225A" w14:textId="77777777" w:rsidR="00DB6CB0" w:rsidRPr="00A25023" w:rsidRDefault="00DB6CB0" w:rsidP="00373996">
            <w:pPr>
              <w:spacing w:line="360" w:lineRule="auto"/>
              <w:ind w:left="180"/>
              <w:jc w:val="both"/>
              <w:rPr>
                <w:sz w:val="24"/>
                <w:szCs w:val="24"/>
              </w:rPr>
            </w:pPr>
            <w:r w:rsidRPr="00A25023">
              <w:rPr>
                <w:sz w:val="24"/>
                <w:szCs w:val="24"/>
              </w:rPr>
              <w:t>60%</w:t>
            </w:r>
          </w:p>
        </w:tc>
        <w:tc>
          <w:tcPr>
            <w:tcW w:w="2019" w:type="dxa"/>
          </w:tcPr>
          <w:p w14:paraId="69469F60" w14:textId="77777777" w:rsidR="00DB6CB0" w:rsidRPr="00A25023" w:rsidRDefault="00DB6CB0" w:rsidP="00373996">
            <w:pPr>
              <w:spacing w:line="360" w:lineRule="auto"/>
              <w:ind w:left="180"/>
              <w:jc w:val="both"/>
              <w:rPr>
                <w:sz w:val="24"/>
                <w:szCs w:val="24"/>
              </w:rPr>
            </w:pPr>
            <w:r w:rsidRPr="00A25023">
              <w:rPr>
                <w:sz w:val="24"/>
                <w:szCs w:val="24"/>
              </w:rPr>
              <w:t>25%</w:t>
            </w:r>
          </w:p>
        </w:tc>
        <w:tc>
          <w:tcPr>
            <w:tcW w:w="2019" w:type="dxa"/>
          </w:tcPr>
          <w:p w14:paraId="555D070E" w14:textId="77777777" w:rsidR="00DB6CB0" w:rsidRPr="00A25023" w:rsidRDefault="00DB6CB0" w:rsidP="00373996">
            <w:pPr>
              <w:spacing w:line="360" w:lineRule="auto"/>
              <w:ind w:left="180"/>
              <w:jc w:val="both"/>
              <w:rPr>
                <w:sz w:val="24"/>
                <w:szCs w:val="24"/>
              </w:rPr>
            </w:pPr>
            <w:r w:rsidRPr="00A25023">
              <w:rPr>
                <w:sz w:val="24"/>
                <w:szCs w:val="24"/>
              </w:rPr>
              <w:t>8%</w:t>
            </w:r>
          </w:p>
        </w:tc>
        <w:tc>
          <w:tcPr>
            <w:tcW w:w="2019" w:type="dxa"/>
          </w:tcPr>
          <w:p w14:paraId="6CE4947A" w14:textId="77777777" w:rsidR="00DB6CB0" w:rsidRPr="00A25023" w:rsidRDefault="00DB6CB0" w:rsidP="00373996">
            <w:pPr>
              <w:spacing w:line="360" w:lineRule="auto"/>
              <w:ind w:left="180"/>
              <w:jc w:val="both"/>
              <w:rPr>
                <w:sz w:val="24"/>
                <w:szCs w:val="24"/>
              </w:rPr>
            </w:pPr>
            <w:r w:rsidRPr="00A25023">
              <w:rPr>
                <w:sz w:val="24"/>
                <w:szCs w:val="24"/>
              </w:rPr>
              <w:t>5%</w:t>
            </w:r>
          </w:p>
        </w:tc>
        <w:tc>
          <w:tcPr>
            <w:tcW w:w="2019" w:type="dxa"/>
          </w:tcPr>
          <w:p w14:paraId="1820F7D8" w14:textId="77777777" w:rsidR="00DB6CB0" w:rsidRPr="00A25023" w:rsidRDefault="00DB6CB0" w:rsidP="00373996">
            <w:pPr>
              <w:spacing w:line="360" w:lineRule="auto"/>
              <w:ind w:left="180"/>
              <w:jc w:val="both"/>
              <w:rPr>
                <w:sz w:val="24"/>
                <w:szCs w:val="24"/>
              </w:rPr>
            </w:pPr>
            <w:r w:rsidRPr="00A25023">
              <w:rPr>
                <w:sz w:val="24"/>
                <w:szCs w:val="24"/>
              </w:rPr>
              <w:t>2%</w:t>
            </w:r>
          </w:p>
        </w:tc>
      </w:tr>
      <w:tr w:rsidR="00DB6CB0" w:rsidRPr="00A25023" w14:paraId="1B0D1C26" w14:textId="77777777" w:rsidTr="00373996">
        <w:tc>
          <w:tcPr>
            <w:tcW w:w="10095" w:type="dxa"/>
            <w:gridSpan w:val="5"/>
          </w:tcPr>
          <w:p w14:paraId="40190622" w14:textId="77777777" w:rsidR="00DB6CB0" w:rsidRPr="00A25023" w:rsidRDefault="00DB6CB0" w:rsidP="00373996">
            <w:pPr>
              <w:spacing w:line="360" w:lineRule="auto"/>
              <w:ind w:left="180"/>
              <w:jc w:val="both"/>
              <w:rPr>
                <w:b/>
                <w:sz w:val="24"/>
                <w:szCs w:val="24"/>
              </w:rPr>
            </w:pPr>
            <w:r w:rsidRPr="00A25023">
              <w:rPr>
                <w:b/>
                <w:sz w:val="24"/>
                <w:szCs w:val="24"/>
              </w:rPr>
              <w:t>Length of Time Working with IBD Patients</w:t>
            </w:r>
          </w:p>
        </w:tc>
      </w:tr>
      <w:tr w:rsidR="00DB6CB0" w:rsidRPr="00A25023" w14:paraId="25E44879" w14:textId="77777777" w:rsidTr="00373996">
        <w:tc>
          <w:tcPr>
            <w:tcW w:w="2019" w:type="dxa"/>
          </w:tcPr>
          <w:p w14:paraId="60FD9074" w14:textId="77777777" w:rsidR="00DB6CB0" w:rsidRPr="00A25023" w:rsidRDefault="00DB6CB0" w:rsidP="00373996">
            <w:pPr>
              <w:pStyle w:val="ListParagraph"/>
              <w:numPr>
                <w:ilvl w:val="0"/>
                <w:numId w:val="3"/>
              </w:numPr>
              <w:spacing w:line="360" w:lineRule="auto"/>
              <w:ind w:left="900"/>
              <w:jc w:val="both"/>
              <w:rPr>
                <w:b/>
                <w:sz w:val="24"/>
                <w:szCs w:val="24"/>
              </w:rPr>
            </w:pPr>
            <w:r w:rsidRPr="00A25023">
              <w:rPr>
                <w:b/>
                <w:sz w:val="24"/>
                <w:szCs w:val="24"/>
              </w:rPr>
              <w:t>1 year</w:t>
            </w:r>
          </w:p>
        </w:tc>
        <w:tc>
          <w:tcPr>
            <w:tcW w:w="2019" w:type="dxa"/>
          </w:tcPr>
          <w:p w14:paraId="7A9BAA3F" w14:textId="77777777" w:rsidR="00DB6CB0" w:rsidRPr="00A25023" w:rsidRDefault="00DB6CB0" w:rsidP="00373996">
            <w:pPr>
              <w:spacing w:line="360" w:lineRule="auto"/>
              <w:ind w:left="180"/>
              <w:jc w:val="both"/>
              <w:rPr>
                <w:b/>
                <w:sz w:val="24"/>
                <w:szCs w:val="24"/>
              </w:rPr>
            </w:pPr>
            <w:r w:rsidRPr="00A25023">
              <w:rPr>
                <w:b/>
                <w:sz w:val="24"/>
                <w:szCs w:val="24"/>
              </w:rPr>
              <w:t>1 to 3 years</w:t>
            </w:r>
          </w:p>
        </w:tc>
        <w:tc>
          <w:tcPr>
            <w:tcW w:w="2019" w:type="dxa"/>
          </w:tcPr>
          <w:p w14:paraId="40DF399C" w14:textId="77777777" w:rsidR="00DB6CB0" w:rsidRPr="00A25023" w:rsidRDefault="00DB6CB0" w:rsidP="00373996">
            <w:pPr>
              <w:spacing w:line="360" w:lineRule="auto"/>
              <w:ind w:left="180"/>
              <w:jc w:val="both"/>
              <w:rPr>
                <w:b/>
                <w:sz w:val="24"/>
                <w:szCs w:val="24"/>
              </w:rPr>
            </w:pPr>
            <w:r w:rsidRPr="00A25023">
              <w:rPr>
                <w:b/>
                <w:sz w:val="24"/>
                <w:szCs w:val="24"/>
              </w:rPr>
              <w:t>4 to 6 years</w:t>
            </w:r>
          </w:p>
        </w:tc>
        <w:tc>
          <w:tcPr>
            <w:tcW w:w="2019" w:type="dxa"/>
          </w:tcPr>
          <w:p w14:paraId="4EB1DFED" w14:textId="77777777" w:rsidR="00DB6CB0" w:rsidRPr="00A25023" w:rsidRDefault="00DB6CB0" w:rsidP="00373996">
            <w:pPr>
              <w:spacing w:line="360" w:lineRule="auto"/>
              <w:ind w:left="180"/>
              <w:jc w:val="both"/>
              <w:rPr>
                <w:b/>
                <w:sz w:val="24"/>
                <w:szCs w:val="24"/>
              </w:rPr>
            </w:pPr>
            <w:r w:rsidRPr="00A25023">
              <w:rPr>
                <w:b/>
                <w:sz w:val="24"/>
                <w:szCs w:val="24"/>
              </w:rPr>
              <w:t>7 to 10 years</w:t>
            </w:r>
          </w:p>
        </w:tc>
        <w:tc>
          <w:tcPr>
            <w:tcW w:w="2019" w:type="dxa"/>
          </w:tcPr>
          <w:p w14:paraId="18E8612A" w14:textId="77777777" w:rsidR="00DB6CB0" w:rsidRPr="00A25023" w:rsidRDefault="00DB6CB0" w:rsidP="00373996">
            <w:pPr>
              <w:spacing w:line="360" w:lineRule="auto"/>
              <w:ind w:left="180"/>
              <w:jc w:val="both"/>
              <w:rPr>
                <w:b/>
                <w:sz w:val="24"/>
                <w:szCs w:val="24"/>
              </w:rPr>
            </w:pPr>
            <w:r w:rsidRPr="00A25023">
              <w:rPr>
                <w:b/>
                <w:sz w:val="24"/>
                <w:szCs w:val="24"/>
              </w:rPr>
              <w:t>&lt; 10 years</w:t>
            </w:r>
          </w:p>
        </w:tc>
      </w:tr>
      <w:tr w:rsidR="00DB6CB0" w:rsidRPr="00A25023" w14:paraId="641937DC" w14:textId="77777777" w:rsidTr="00373996">
        <w:tc>
          <w:tcPr>
            <w:tcW w:w="2019" w:type="dxa"/>
          </w:tcPr>
          <w:p w14:paraId="41BD16FC" w14:textId="77777777" w:rsidR="00DB6CB0" w:rsidRPr="00A25023" w:rsidRDefault="00DB6CB0" w:rsidP="00373996">
            <w:pPr>
              <w:spacing w:line="360" w:lineRule="auto"/>
              <w:ind w:left="180"/>
              <w:jc w:val="both"/>
              <w:rPr>
                <w:sz w:val="24"/>
                <w:szCs w:val="24"/>
              </w:rPr>
            </w:pPr>
            <w:r w:rsidRPr="00A25023">
              <w:rPr>
                <w:sz w:val="24"/>
                <w:szCs w:val="24"/>
              </w:rPr>
              <w:t>9% (14/164)</w:t>
            </w:r>
          </w:p>
        </w:tc>
        <w:tc>
          <w:tcPr>
            <w:tcW w:w="2019" w:type="dxa"/>
          </w:tcPr>
          <w:p w14:paraId="0E2790E6" w14:textId="77777777" w:rsidR="00DB6CB0" w:rsidRPr="00A25023" w:rsidRDefault="00DB6CB0" w:rsidP="00373996">
            <w:pPr>
              <w:spacing w:line="360" w:lineRule="auto"/>
              <w:ind w:left="180"/>
              <w:jc w:val="both"/>
              <w:rPr>
                <w:sz w:val="24"/>
                <w:szCs w:val="24"/>
              </w:rPr>
            </w:pPr>
            <w:r w:rsidRPr="00A25023">
              <w:rPr>
                <w:sz w:val="24"/>
                <w:szCs w:val="24"/>
              </w:rPr>
              <w:t>29% (47/146)</w:t>
            </w:r>
          </w:p>
        </w:tc>
        <w:tc>
          <w:tcPr>
            <w:tcW w:w="2019" w:type="dxa"/>
          </w:tcPr>
          <w:p w14:paraId="1EEE88BF" w14:textId="77777777" w:rsidR="00DB6CB0" w:rsidRPr="00A25023" w:rsidRDefault="00DB6CB0" w:rsidP="00373996">
            <w:pPr>
              <w:spacing w:line="360" w:lineRule="auto"/>
              <w:ind w:left="180"/>
              <w:jc w:val="both"/>
              <w:rPr>
                <w:sz w:val="24"/>
                <w:szCs w:val="24"/>
              </w:rPr>
            </w:pPr>
            <w:r w:rsidRPr="00A25023">
              <w:rPr>
                <w:sz w:val="24"/>
                <w:szCs w:val="24"/>
              </w:rPr>
              <w:t>14% (23/146)</w:t>
            </w:r>
          </w:p>
        </w:tc>
        <w:tc>
          <w:tcPr>
            <w:tcW w:w="2019" w:type="dxa"/>
          </w:tcPr>
          <w:p w14:paraId="4000BBE9" w14:textId="77777777" w:rsidR="00DB6CB0" w:rsidRPr="00A25023" w:rsidRDefault="00DB6CB0" w:rsidP="00373996">
            <w:pPr>
              <w:spacing w:line="360" w:lineRule="auto"/>
              <w:ind w:left="180"/>
              <w:jc w:val="both"/>
              <w:rPr>
                <w:sz w:val="24"/>
                <w:szCs w:val="24"/>
              </w:rPr>
            </w:pPr>
            <w:r w:rsidRPr="00A25023">
              <w:rPr>
                <w:sz w:val="24"/>
                <w:szCs w:val="24"/>
              </w:rPr>
              <w:t>16% (27/146)</w:t>
            </w:r>
          </w:p>
        </w:tc>
        <w:tc>
          <w:tcPr>
            <w:tcW w:w="2019" w:type="dxa"/>
          </w:tcPr>
          <w:p w14:paraId="7735C025" w14:textId="77777777" w:rsidR="00DB6CB0" w:rsidRPr="00A25023" w:rsidRDefault="00DB6CB0" w:rsidP="00373996">
            <w:pPr>
              <w:spacing w:line="360" w:lineRule="auto"/>
              <w:ind w:left="180"/>
              <w:jc w:val="both"/>
              <w:rPr>
                <w:sz w:val="24"/>
                <w:szCs w:val="24"/>
              </w:rPr>
            </w:pPr>
            <w:r w:rsidRPr="00A25023">
              <w:rPr>
                <w:sz w:val="24"/>
                <w:szCs w:val="24"/>
              </w:rPr>
              <w:t>32% (53/164)</w:t>
            </w:r>
          </w:p>
        </w:tc>
      </w:tr>
      <w:tr w:rsidR="00DB6CB0" w:rsidRPr="00A25023" w14:paraId="0B0A6F2A" w14:textId="77777777" w:rsidTr="00373996">
        <w:tc>
          <w:tcPr>
            <w:tcW w:w="10095" w:type="dxa"/>
            <w:gridSpan w:val="5"/>
          </w:tcPr>
          <w:p w14:paraId="3680ECD5" w14:textId="77777777" w:rsidR="00DB6CB0" w:rsidRPr="00A25023" w:rsidRDefault="00DB6CB0" w:rsidP="00373996">
            <w:pPr>
              <w:spacing w:line="360" w:lineRule="auto"/>
              <w:rPr>
                <w:b/>
                <w:sz w:val="24"/>
                <w:szCs w:val="24"/>
              </w:rPr>
            </w:pPr>
            <w:bookmarkStart w:id="5" w:name="_Hlk515088340"/>
            <w:r w:rsidRPr="00A25023">
              <w:rPr>
                <w:b/>
                <w:sz w:val="24"/>
                <w:szCs w:val="24"/>
              </w:rPr>
              <w:t xml:space="preserve">   Patient Population of IBD Practice </w:t>
            </w:r>
          </w:p>
        </w:tc>
      </w:tr>
      <w:tr w:rsidR="00DB6CB0" w:rsidRPr="00A25023" w14:paraId="1AACAB62" w14:textId="77777777" w:rsidTr="00373996">
        <w:tc>
          <w:tcPr>
            <w:tcW w:w="2019" w:type="dxa"/>
          </w:tcPr>
          <w:p w14:paraId="2A57522F" w14:textId="77777777" w:rsidR="00DB6CB0" w:rsidRPr="00A25023" w:rsidRDefault="00DB6CB0" w:rsidP="00373996">
            <w:pPr>
              <w:spacing w:line="360" w:lineRule="auto"/>
              <w:ind w:left="180"/>
              <w:jc w:val="both"/>
              <w:rPr>
                <w:sz w:val="24"/>
                <w:szCs w:val="24"/>
              </w:rPr>
            </w:pPr>
            <w:r w:rsidRPr="00A25023">
              <w:rPr>
                <w:sz w:val="24"/>
                <w:szCs w:val="24"/>
              </w:rPr>
              <w:t>Adult</w:t>
            </w:r>
          </w:p>
        </w:tc>
        <w:tc>
          <w:tcPr>
            <w:tcW w:w="2019" w:type="dxa"/>
          </w:tcPr>
          <w:p w14:paraId="72F8AA31" w14:textId="77777777" w:rsidR="00DB6CB0" w:rsidRPr="00A25023" w:rsidRDefault="00DB6CB0" w:rsidP="00373996">
            <w:pPr>
              <w:spacing w:line="360" w:lineRule="auto"/>
              <w:ind w:left="180"/>
              <w:jc w:val="both"/>
              <w:rPr>
                <w:sz w:val="24"/>
                <w:szCs w:val="24"/>
              </w:rPr>
            </w:pPr>
            <w:r w:rsidRPr="00A25023">
              <w:rPr>
                <w:sz w:val="24"/>
                <w:szCs w:val="24"/>
              </w:rPr>
              <w:t>Paediatrics</w:t>
            </w:r>
          </w:p>
        </w:tc>
        <w:tc>
          <w:tcPr>
            <w:tcW w:w="2019" w:type="dxa"/>
          </w:tcPr>
          <w:p w14:paraId="48A600D4" w14:textId="77777777" w:rsidR="00DB6CB0" w:rsidRPr="00A25023" w:rsidRDefault="00DB6CB0" w:rsidP="00373996">
            <w:pPr>
              <w:spacing w:line="360" w:lineRule="auto"/>
              <w:ind w:left="180"/>
              <w:jc w:val="both"/>
              <w:rPr>
                <w:sz w:val="24"/>
                <w:szCs w:val="24"/>
              </w:rPr>
            </w:pPr>
            <w:r w:rsidRPr="00A25023">
              <w:rPr>
                <w:sz w:val="24"/>
                <w:szCs w:val="24"/>
              </w:rPr>
              <w:t>Adult and Transition</w:t>
            </w:r>
          </w:p>
        </w:tc>
        <w:tc>
          <w:tcPr>
            <w:tcW w:w="2019" w:type="dxa"/>
          </w:tcPr>
          <w:p w14:paraId="237A9591" w14:textId="77777777" w:rsidR="00DB6CB0" w:rsidRPr="00A25023" w:rsidRDefault="00DB6CB0" w:rsidP="00373996">
            <w:pPr>
              <w:spacing w:line="360" w:lineRule="auto"/>
              <w:ind w:left="180"/>
              <w:jc w:val="both"/>
              <w:rPr>
                <w:sz w:val="24"/>
                <w:szCs w:val="24"/>
              </w:rPr>
            </w:pPr>
            <w:r w:rsidRPr="00A25023">
              <w:rPr>
                <w:sz w:val="24"/>
                <w:szCs w:val="24"/>
              </w:rPr>
              <w:t>Paediatric and Transition</w:t>
            </w:r>
          </w:p>
        </w:tc>
        <w:tc>
          <w:tcPr>
            <w:tcW w:w="2019" w:type="dxa"/>
          </w:tcPr>
          <w:p w14:paraId="30C89945" w14:textId="77777777" w:rsidR="00DB6CB0" w:rsidRPr="00A25023" w:rsidRDefault="00DB6CB0" w:rsidP="00373996">
            <w:pPr>
              <w:spacing w:line="360" w:lineRule="auto"/>
              <w:ind w:left="180"/>
              <w:jc w:val="both"/>
              <w:rPr>
                <w:sz w:val="24"/>
                <w:szCs w:val="24"/>
              </w:rPr>
            </w:pPr>
            <w:r w:rsidRPr="00A25023">
              <w:rPr>
                <w:sz w:val="24"/>
                <w:szCs w:val="24"/>
              </w:rPr>
              <w:t>Adult and Paediatric</w:t>
            </w:r>
          </w:p>
        </w:tc>
      </w:tr>
      <w:tr w:rsidR="00DB6CB0" w:rsidRPr="00A25023" w14:paraId="29A1756E" w14:textId="77777777" w:rsidTr="00373996">
        <w:tc>
          <w:tcPr>
            <w:tcW w:w="2019" w:type="dxa"/>
          </w:tcPr>
          <w:p w14:paraId="6D3794BB" w14:textId="77777777" w:rsidR="00DB6CB0" w:rsidRPr="00A25023" w:rsidRDefault="00DB6CB0" w:rsidP="00373996">
            <w:pPr>
              <w:spacing w:line="360" w:lineRule="auto"/>
              <w:ind w:left="180"/>
              <w:jc w:val="both"/>
              <w:rPr>
                <w:sz w:val="24"/>
                <w:szCs w:val="24"/>
              </w:rPr>
            </w:pPr>
            <w:r w:rsidRPr="00A25023">
              <w:rPr>
                <w:sz w:val="24"/>
                <w:szCs w:val="24"/>
              </w:rPr>
              <w:t>29% (48/164)</w:t>
            </w:r>
          </w:p>
        </w:tc>
        <w:tc>
          <w:tcPr>
            <w:tcW w:w="2019" w:type="dxa"/>
          </w:tcPr>
          <w:p w14:paraId="0851CABD" w14:textId="77777777" w:rsidR="00DB6CB0" w:rsidRPr="00A25023" w:rsidRDefault="00DB6CB0" w:rsidP="00373996">
            <w:pPr>
              <w:spacing w:line="360" w:lineRule="auto"/>
              <w:ind w:left="180"/>
              <w:jc w:val="both"/>
              <w:rPr>
                <w:sz w:val="24"/>
                <w:szCs w:val="24"/>
              </w:rPr>
            </w:pPr>
            <w:r w:rsidRPr="00A25023">
              <w:rPr>
                <w:sz w:val="24"/>
                <w:szCs w:val="24"/>
              </w:rPr>
              <w:t>6% (10/164)</w:t>
            </w:r>
          </w:p>
        </w:tc>
        <w:tc>
          <w:tcPr>
            <w:tcW w:w="2019" w:type="dxa"/>
          </w:tcPr>
          <w:p w14:paraId="44DB716D" w14:textId="77777777" w:rsidR="00DB6CB0" w:rsidRPr="00A25023" w:rsidRDefault="00DB6CB0" w:rsidP="00373996">
            <w:pPr>
              <w:spacing w:line="360" w:lineRule="auto"/>
              <w:ind w:left="180"/>
              <w:jc w:val="both"/>
              <w:rPr>
                <w:sz w:val="24"/>
                <w:szCs w:val="24"/>
              </w:rPr>
            </w:pPr>
            <w:r w:rsidRPr="00A25023">
              <w:rPr>
                <w:sz w:val="24"/>
                <w:szCs w:val="24"/>
              </w:rPr>
              <w:t>51% (84/164)</w:t>
            </w:r>
          </w:p>
        </w:tc>
        <w:tc>
          <w:tcPr>
            <w:tcW w:w="2019" w:type="dxa"/>
          </w:tcPr>
          <w:p w14:paraId="319B485A" w14:textId="77777777" w:rsidR="00DB6CB0" w:rsidRPr="00A25023" w:rsidRDefault="00DB6CB0" w:rsidP="00373996">
            <w:pPr>
              <w:spacing w:line="360" w:lineRule="auto"/>
              <w:ind w:left="180"/>
              <w:jc w:val="both"/>
              <w:rPr>
                <w:sz w:val="24"/>
                <w:szCs w:val="24"/>
              </w:rPr>
            </w:pPr>
            <w:r w:rsidRPr="00A25023">
              <w:rPr>
                <w:sz w:val="24"/>
                <w:szCs w:val="24"/>
              </w:rPr>
              <w:t>12% (20/164)</w:t>
            </w:r>
          </w:p>
        </w:tc>
        <w:tc>
          <w:tcPr>
            <w:tcW w:w="2019" w:type="dxa"/>
          </w:tcPr>
          <w:p w14:paraId="2D3371CC" w14:textId="77777777" w:rsidR="00DB6CB0" w:rsidRPr="00A25023" w:rsidRDefault="00DB6CB0" w:rsidP="00373996">
            <w:pPr>
              <w:spacing w:line="360" w:lineRule="auto"/>
              <w:ind w:left="180"/>
              <w:jc w:val="both"/>
              <w:rPr>
                <w:sz w:val="24"/>
                <w:szCs w:val="24"/>
              </w:rPr>
            </w:pPr>
            <w:r w:rsidRPr="00A25023">
              <w:rPr>
                <w:sz w:val="24"/>
                <w:szCs w:val="24"/>
              </w:rPr>
              <w:t>1% (2/164)</w:t>
            </w:r>
          </w:p>
        </w:tc>
      </w:tr>
      <w:tr w:rsidR="00DB6CB0" w:rsidRPr="00A25023" w14:paraId="794779CD" w14:textId="77777777" w:rsidTr="00373996">
        <w:tc>
          <w:tcPr>
            <w:tcW w:w="10095" w:type="dxa"/>
            <w:gridSpan w:val="5"/>
          </w:tcPr>
          <w:p w14:paraId="3222BA07" w14:textId="77777777" w:rsidR="00DB6CB0" w:rsidRPr="00A25023" w:rsidRDefault="00DB6CB0" w:rsidP="00373996">
            <w:pPr>
              <w:spacing w:line="360" w:lineRule="auto"/>
              <w:ind w:left="180"/>
              <w:jc w:val="both"/>
              <w:rPr>
                <w:b/>
                <w:sz w:val="24"/>
                <w:szCs w:val="24"/>
              </w:rPr>
            </w:pPr>
            <w:r w:rsidRPr="00A25023">
              <w:rPr>
                <w:b/>
                <w:sz w:val="24"/>
                <w:szCs w:val="24"/>
              </w:rPr>
              <w:t>Area of IBD Practice</w:t>
            </w:r>
          </w:p>
        </w:tc>
      </w:tr>
      <w:tr w:rsidR="00DB6CB0" w:rsidRPr="00A25023" w14:paraId="386DA728" w14:textId="77777777" w:rsidTr="00373996">
        <w:tc>
          <w:tcPr>
            <w:tcW w:w="2019" w:type="dxa"/>
          </w:tcPr>
          <w:p w14:paraId="4618B6D1" w14:textId="77777777" w:rsidR="00DB6CB0" w:rsidRPr="00A25023" w:rsidRDefault="00DB6CB0" w:rsidP="00373996">
            <w:pPr>
              <w:spacing w:line="360" w:lineRule="auto"/>
              <w:ind w:left="180"/>
              <w:jc w:val="both"/>
              <w:rPr>
                <w:b/>
                <w:sz w:val="24"/>
                <w:szCs w:val="24"/>
              </w:rPr>
            </w:pPr>
            <w:r w:rsidRPr="00A25023">
              <w:rPr>
                <w:b/>
                <w:sz w:val="24"/>
                <w:szCs w:val="24"/>
              </w:rPr>
              <w:t>IBD</w:t>
            </w:r>
          </w:p>
        </w:tc>
        <w:tc>
          <w:tcPr>
            <w:tcW w:w="2019" w:type="dxa"/>
          </w:tcPr>
          <w:p w14:paraId="3D2A47D1" w14:textId="77777777" w:rsidR="00DB6CB0" w:rsidRPr="00A25023" w:rsidRDefault="00DB6CB0" w:rsidP="00373996">
            <w:pPr>
              <w:spacing w:line="360" w:lineRule="auto"/>
              <w:ind w:left="180"/>
              <w:jc w:val="both"/>
              <w:rPr>
                <w:b/>
                <w:sz w:val="24"/>
                <w:szCs w:val="24"/>
                <w:vertAlign w:val="superscript"/>
              </w:rPr>
            </w:pPr>
            <w:r w:rsidRPr="00A25023">
              <w:rPr>
                <w:b/>
                <w:sz w:val="24"/>
                <w:szCs w:val="24"/>
              </w:rPr>
              <w:t>Mixed</w:t>
            </w:r>
            <w:r w:rsidRPr="00A25023">
              <w:rPr>
                <w:b/>
                <w:sz w:val="24"/>
                <w:szCs w:val="24"/>
                <w:vertAlign w:val="superscript"/>
              </w:rPr>
              <w:t>3</w:t>
            </w:r>
          </w:p>
        </w:tc>
        <w:tc>
          <w:tcPr>
            <w:tcW w:w="2019" w:type="dxa"/>
          </w:tcPr>
          <w:p w14:paraId="1A11F93D" w14:textId="77777777" w:rsidR="00DB6CB0" w:rsidRPr="00A25023" w:rsidRDefault="00DB6CB0" w:rsidP="00373996">
            <w:pPr>
              <w:spacing w:line="360" w:lineRule="auto"/>
              <w:ind w:left="180"/>
              <w:jc w:val="both"/>
              <w:rPr>
                <w:b/>
                <w:sz w:val="24"/>
                <w:szCs w:val="24"/>
              </w:rPr>
            </w:pPr>
            <w:r w:rsidRPr="00A25023">
              <w:rPr>
                <w:b/>
                <w:sz w:val="24"/>
                <w:szCs w:val="24"/>
              </w:rPr>
              <w:t>Stoma Care</w:t>
            </w:r>
          </w:p>
        </w:tc>
        <w:tc>
          <w:tcPr>
            <w:tcW w:w="4038" w:type="dxa"/>
            <w:gridSpan w:val="2"/>
          </w:tcPr>
          <w:p w14:paraId="3E936A9C" w14:textId="77777777" w:rsidR="00DB6CB0" w:rsidRPr="00A25023" w:rsidRDefault="00DB6CB0" w:rsidP="00373996">
            <w:pPr>
              <w:spacing w:line="360" w:lineRule="auto"/>
              <w:ind w:left="180"/>
              <w:jc w:val="both"/>
              <w:rPr>
                <w:b/>
                <w:sz w:val="24"/>
                <w:szCs w:val="24"/>
              </w:rPr>
            </w:pPr>
            <w:r w:rsidRPr="00A25023">
              <w:rPr>
                <w:b/>
                <w:sz w:val="24"/>
                <w:szCs w:val="24"/>
              </w:rPr>
              <w:t>Other</w:t>
            </w:r>
          </w:p>
        </w:tc>
      </w:tr>
      <w:tr w:rsidR="00DB6CB0" w:rsidRPr="00A25023" w14:paraId="7B9531F1" w14:textId="77777777" w:rsidTr="00373996">
        <w:tc>
          <w:tcPr>
            <w:tcW w:w="2019" w:type="dxa"/>
          </w:tcPr>
          <w:p w14:paraId="61B2841E" w14:textId="77777777" w:rsidR="00DB6CB0" w:rsidRPr="00A25023" w:rsidRDefault="00DB6CB0" w:rsidP="00373996">
            <w:pPr>
              <w:spacing w:line="360" w:lineRule="auto"/>
              <w:ind w:left="180"/>
              <w:jc w:val="both"/>
              <w:rPr>
                <w:sz w:val="24"/>
                <w:szCs w:val="24"/>
              </w:rPr>
            </w:pPr>
            <w:r w:rsidRPr="00A25023">
              <w:rPr>
                <w:sz w:val="24"/>
                <w:szCs w:val="24"/>
              </w:rPr>
              <w:t>90%</w:t>
            </w:r>
          </w:p>
        </w:tc>
        <w:tc>
          <w:tcPr>
            <w:tcW w:w="2019" w:type="dxa"/>
          </w:tcPr>
          <w:p w14:paraId="188363E5" w14:textId="77777777" w:rsidR="00DB6CB0" w:rsidRPr="00A25023" w:rsidRDefault="00DB6CB0" w:rsidP="00373996">
            <w:pPr>
              <w:spacing w:line="360" w:lineRule="auto"/>
              <w:ind w:left="180"/>
              <w:jc w:val="both"/>
              <w:rPr>
                <w:sz w:val="24"/>
                <w:szCs w:val="24"/>
              </w:rPr>
            </w:pPr>
            <w:r w:rsidRPr="00A25023">
              <w:rPr>
                <w:sz w:val="24"/>
                <w:szCs w:val="24"/>
              </w:rPr>
              <w:t>8%</w:t>
            </w:r>
          </w:p>
        </w:tc>
        <w:tc>
          <w:tcPr>
            <w:tcW w:w="2019" w:type="dxa"/>
          </w:tcPr>
          <w:p w14:paraId="039BF860" w14:textId="77777777" w:rsidR="00DB6CB0" w:rsidRPr="00A25023" w:rsidRDefault="00DB6CB0" w:rsidP="00373996">
            <w:pPr>
              <w:spacing w:line="360" w:lineRule="auto"/>
              <w:ind w:left="180"/>
              <w:jc w:val="both"/>
              <w:rPr>
                <w:sz w:val="24"/>
                <w:szCs w:val="24"/>
              </w:rPr>
            </w:pPr>
            <w:r w:rsidRPr="00A25023">
              <w:rPr>
                <w:sz w:val="24"/>
                <w:szCs w:val="24"/>
              </w:rPr>
              <w:t>1%</w:t>
            </w:r>
          </w:p>
        </w:tc>
        <w:tc>
          <w:tcPr>
            <w:tcW w:w="4038" w:type="dxa"/>
            <w:gridSpan w:val="2"/>
          </w:tcPr>
          <w:p w14:paraId="1194267D" w14:textId="77777777" w:rsidR="00DB6CB0" w:rsidRPr="00A25023" w:rsidRDefault="00DB6CB0" w:rsidP="00373996">
            <w:pPr>
              <w:spacing w:line="360" w:lineRule="auto"/>
              <w:ind w:left="180"/>
              <w:jc w:val="both"/>
              <w:rPr>
                <w:sz w:val="24"/>
                <w:szCs w:val="24"/>
              </w:rPr>
            </w:pPr>
            <w:r w:rsidRPr="00A25023">
              <w:rPr>
                <w:sz w:val="24"/>
                <w:szCs w:val="24"/>
              </w:rPr>
              <w:t>1%</w:t>
            </w:r>
          </w:p>
        </w:tc>
      </w:tr>
      <w:tr w:rsidR="00DB6CB0" w:rsidRPr="00A25023" w14:paraId="04298E12" w14:textId="77777777" w:rsidTr="00373996">
        <w:tc>
          <w:tcPr>
            <w:tcW w:w="10095" w:type="dxa"/>
            <w:gridSpan w:val="5"/>
          </w:tcPr>
          <w:p w14:paraId="25A9F505" w14:textId="77777777" w:rsidR="00DB6CB0" w:rsidRPr="00A25023" w:rsidRDefault="00DB6CB0" w:rsidP="00373996">
            <w:pPr>
              <w:spacing w:line="360" w:lineRule="auto"/>
              <w:ind w:left="180"/>
              <w:jc w:val="both"/>
              <w:rPr>
                <w:b/>
                <w:sz w:val="24"/>
                <w:szCs w:val="24"/>
              </w:rPr>
            </w:pPr>
            <w:bookmarkStart w:id="6" w:name="_Hlk515088323"/>
            <w:bookmarkEnd w:id="5"/>
            <w:r w:rsidRPr="00A25023">
              <w:rPr>
                <w:b/>
                <w:sz w:val="24"/>
                <w:szCs w:val="24"/>
              </w:rPr>
              <w:t>Respondent’s Qualifications</w:t>
            </w:r>
          </w:p>
        </w:tc>
      </w:tr>
      <w:tr w:rsidR="00DB6CB0" w:rsidRPr="00A25023" w14:paraId="08879A42" w14:textId="77777777" w:rsidTr="00373996">
        <w:tc>
          <w:tcPr>
            <w:tcW w:w="2019" w:type="dxa"/>
            <w:vAlign w:val="bottom"/>
          </w:tcPr>
          <w:p w14:paraId="493C066E" w14:textId="77777777" w:rsidR="00DB6CB0" w:rsidRPr="00A25023" w:rsidRDefault="00DB6CB0" w:rsidP="00373996">
            <w:pPr>
              <w:spacing w:line="360" w:lineRule="auto"/>
              <w:ind w:left="180"/>
              <w:jc w:val="both"/>
              <w:rPr>
                <w:b/>
                <w:sz w:val="24"/>
                <w:szCs w:val="24"/>
              </w:rPr>
            </w:pPr>
            <w:r w:rsidRPr="00A25023">
              <w:rPr>
                <w:b/>
                <w:sz w:val="24"/>
                <w:szCs w:val="24"/>
              </w:rPr>
              <w:t>RGN</w:t>
            </w:r>
          </w:p>
        </w:tc>
        <w:tc>
          <w:tcPr>
            <w:tcW w:w="2019" w:type="dxa"/>
            <w:vAlign w:val="bottom"/>
          </w:tcPr>
          <w:p w14:paraId="1ECF8527" w14:textId="77777777" w:rsidR="00DB6CB0" w:rsidRPr="00A25023" w:rsidRDefault="00DB6CB0" w:rsidP="00373996">
            <w:pPr>
              <w:spacing w:line="360" w:lineRule="auto"/>
              <w:ind w:left="180"/>
              <w:jc w:val="both"/>
              <w:rPr>
                <w:b/>
                <w:sz w:val="24"/>
                <w:szCs w:val="24"/>
              </w:rPr>
            </w:pPr>
            <w:r w:rsidRPr="00A25023">
              <w:rPr>
                <w:b/>
                <w:sz w:val="24"/>
                <w:szCs w:val="24"/>
              </w:rPr>
              <w:t>RN Degree</w:t>
            </w:r>
          </w:p>
        </w:tc>
        <w:tc>
          <w:tcPr>
            <w:tcW w:w="2019" w:type="dxa"/>
            <w:vAlign w:val="bottom"/>
          </w:tcPr>
          <w:p w14:paraId="1A33DED2" w14:textId="77777777" w:rsidR="00DB6CB0" w:rsidRPr="00A25023" w:rsidRDefault="00DB6CB0" w:rsidP="00373996">
            <w:pPr>
              <w:spacing w:line="360" w:lineRule="auto"/>
              <w:ind w:left="180"/>
              <w:jc w:val="both"/>
              <w:rPr>
                <w:b/>
                <w:sz w:val="24"/>
                <w:szCs w:val="24"/>
              </w:rPr>
            </w:pPr>
            <w:r w:rsidRPr="00A25023">
              <w:rPr>
                <w:b/>
                <w:sz w:val="24"/>
                <w:szCs w:val="24"/>
              </w:rPr>
              <w:t>RN Diploma</w:t>
            </w:r>
          </w:p>
        </w:tc>
        <w:tc>
          <w:tcPr>
            <w:tcW w:w="4038" w:type="dxa"/>
            <w:gridSpan w:val="2"/>
            <w:vAlign w:val="bottom"/>
          </w:tcPr>
          <w:p w14:paraId="52F7D3DD" w14:textId="77777777" w:rsidR="00DB6CB0" w:rsidRPr="00A25023" w:rsidRDefault="00DB6CB0" w:rsidP="00373996">
            <w:pPr>
              <w:spacing w:line="360" w:lineRule="auto"/>
              <w:ind w:left="180"/>
              <w:jc w:val="both"/>
              <w:rPr>
                <w:b/>
                <w:sz w:val="24"/>
                <w:szCs w:val="24"/>
              </w:rPr>
            </w:pPr>
            <w:r w:rsidRPr="00A25023">
              <w:rPr>
                <w:b/>
                <w:sz w:val="24"/>
                <w:szCs w:val="24"/>
              </w:rPr>
              <w:t>Prescribing Qualification</w:t>
            </w:r>
          </w:p>
        </w:tc>
      </w:tr>
      <w:tr w:rsidR="00DB6CB0" w:rsidRPr="00A25023" w14:paraId="418EDFB7" w14:textId="77777777" w:rsidTr="00373996">
        <w:tc>
          <w:tcPr>
            <w:tcW w:w="2019" w:type="dxa"/>
            <w:vAlign w:val="bottom"/>
          </w:tcPr>
          <w:p w14:paraId="553588B4" w14:textId="77777777" w:rsidR="00DB6CB0" w:rsidRPr="00A25023" w:rsidRDefault="00DB6CB0" w:rsidP="00373996">
            <w:pPr>
              <w:spacing w:line="360" w:lineRule="auto"/>
              <w:ind w:left="180"/>
              <w:jc w:val="both"/>
              <w:rPr>
                <w:sz w:val="24"/>
                <w:szCs w:val="24"/>
              </w:rPr>
            </w:pPr>
            <w:r w:rsidRPr="00A25023">
              <w:rPr>
                <w:sz w:val="24"/>
                <w:szCs w:val="24"/>
              </w:rPr>
              <w:t>58%</w:t>
            </w:r>
          </w:p>
        </w:tc>
        <w:tc>
          <w:tcPr>
            <w:tcW w:w="2019" w:type="dxa"/>
            <w:vAlign w:val="bottom"/>
          </w:tcPr>
          <w:p w14:paraId="01CA3A1C" w14:textId="77777777" w:rsidR="00DB6CB0" w:rsidRPr="00A25023" w:rsidRDefault="00DB6CB0" w:rsidP="00373996">
            <w:pPr>
              <w:spacing w:line="360" w:lineRule="auto"/>
              <w:ind w:left="180"/>
              <w:jc w:val="both"/>
              <w:rPr>
                <w:sz w:val="24"/>
                <w:szCs w:val="24"/>
              </w:rPr>
            </w:pPr>
            <w:r w:rsidRPr="00A25023">
              <w:rPr>
                <w:sz w:val="24"/>
                <w:szCs w:val="24"/>
              </w:rPr>
              <w:t>35%</w:t>
            </w:r>
          </w:p>
        </w:tc>
        <w:tc>
          <w:tcPr>
            <w:tcW w:w="2019" w:type="dxa"/>
            <w:vAlign w:val="bottom"/>
          </w:tcPr>
          <w:p w14:paraId="4623FA0C" w14:textId="77777777" w:rsidR="00DB6CB0" w:rsidRPr="00A25023" w:rsidRDefault="00DB6CB0" w:rsidP="00373996">
            <w:pPr>
              <w:spacing w:line="360" w:lineRule="auto"/>
              <w:ind w:left="180"/>
              <w:jc w:val="both"/>
              <w:rPr>
                <w:sz w:val="24"/>
                <w:szCs w:val="24"/>
              </w:rPr>
            </w:pPr>
            <w:r w:rsidRPr="00A25023">
              <w:rPr>
                <w:sz w:val="24"/>
                <w:szCs w:val="24"/>
              </w:rPr>
              <w:t>28%</w:t>
            </w:r>
          </w:p>
        </w:tc>
        <w:tc>
          <w:tcPr>
            <w:tcW w:w="4038" w:type="dxa"/>
            <w:gridSpan w:val="2"/>
            <w:vAlign w:val="bottom"/>
          </w:tcPr>
          <w:p w14:paraId="6D3C68D7" w14:textId="77777777" w:rsidR="00DB6CB0" w:rsidRPr="00A25023" w:rsidRDefault="00DB6CB0" w:rsidP="00373996">
            <w:pPr>
              <w:spacing w:line="360" w:lineRule="auto"/>
              <w:jc w:val="both"/>
              <w:rPr>
                <w:sz w:val="24"/>
                <w:szCs w:val="24"/>
              </w:rPr>
            </w:pPr>
            <w:r w:rsidRPr="00A25023">
              <w:rPr>
                <w:sz w:val="24"/>
                <w:szCs w:val="24"/>
              </w:rPr>
              <w:t>43%</w:t>
            </w:r>
          </w:p>
        </w:tc>
      </w:tr>
    </w:tbl>
    <w:bookmarkEnd w:id="6"/>
    <w:p w14:paraId="212940A1" w14:textId="77777777" w:rsidR="00DB6CB0" w:rsidRPr="00A25023" w:rsidRDefault="00DB6CB0" w:rsidP="00DB6CB0">
      <w:pPr>
        <w:spacing w:line="360" w:lineRule="auto"/>
        <w:jc w:val="both"/>
        <w:rPr>
          <w:sz w:val="24"/>
          <w:szCs w:val="24"/>
        </w:rPr>
      </w:pPr>
      <w:r w:rsidRPr="00A25023">
        <w:rPr>
          <w:rFonts w:eastAsiaTheme="minorEastAsia"/>
          <w:b/>
          <w:sz w:val="24"/>
          <w:szCs w:val="24"/>
        </w:rPr>
        <w:t xml:space="preserve">Table 1: </w:t>
      </w:r>
      <w:r w:rsidRPr="00A25023">
        <w:rPr>
          <w:sz w:val="24"/>
          <w:szCs w:val="24"/>
        </w:rPr>
        <w:t>Respondents background characteristics’</w:t>
      </w:r>
    </w:p>
    <w:p w14:paraId="46A12F76" w14:textId="77777777" w:rsidR="00DB6CB0" w:rsidRPr="00A25023" w:rsidRDefault="00DB6CB0" w:rsidP="00DB6CB0">
      <w:pPr>
        <w:spacing w:line="360" w:lineRule="auto"/>
        <w:jc w:val="both"/>
        <w:rPr>
          <w:rFonts w:eastAsiaTheme="minorEastAsia"/>
          <w:sz w:val="24"/>
          <w:szCs w:val="24"/>
        </w:rPr>
      </w:pPr>
      <w:r w:rsidRPr="00A25023">
        <w:rPr>
          <w:rFonts w:eastAsiaTheme="minorEastAsia"/>
          <w:sz w:val="24"/>
          <w:szCs w:val="24"/>
          <w:vertAlign w:val="superscript"/>
        </w:rPr>
        <w:t>1</w:t>
      </w:r>
      <w:r w:rsidRPr="00A25023">
        <w:rPr>
          <w:rFonts w:eastAsiaTheme="minorEastAsia"/>
          <w:sz w:val="24"/>
          <w:szCs w:val="24"/>
        </w:rPr>
        <w:t xml:space="preserve"> 2% of respondents opted for ‘Other’</w:t>
      </w:r>
    </w:p>
    <w:p w14:paraId="30A6ACF1" w14:textId="77777777" w:rsidR="00DB6CB0" w:rsidRPr="00A25023" w:rsidRDefault="00DB6CB0" w:rsidP="00DB6CB0">
      <w:pPr>
        <w:spacing w:line="360" w:lineRule="auto"/>
        <w:jc w:val="both"/>
        <w:rPr>
          <w:rFonts w:eastAsiaTheme="minorEastAsia"/>
          <w:sz w:val="24"/>
          <w:szCs w:val="24"/>
        </w:rPr>
      </w:pPr>
      <w:r w:rsidRPr="00A25023">
        <w:rPr>
          <w:rFonts w:eastAsiaTheme="minorEastAsia"/>
          <w:sz w:val="24"/>
          <w:szCs w:val="24"/>
          <w:vertAlign w:val="superscript"/>
        </w:rPr>
        <w:t xml:space="preserve">2 </w:t>
      </w:r>
      <w:r w:rsidRPr="00A25023">
        <w:rPr>
          <w:rFonts w:eastAsiaTheme="minorEastAsia"/>
          <w:sz w:val="24"/>
          <w:szCs w:val="24"/>
        </w:rPr>
        <w:t>Hospital sites were taken to include all types of hospital such as acute, community etc.</w:t>
      </w:r>
    </w:p>
    <w:p w14:paraId="054562AF" w14:textId="77777777" w:rsidR="00DB6CB0" w:rsidRPr="00A25023" w:rsidRDefault="00DB6CB0" w:rsidP="00DB6CB0">
      <w:pPr>
        <w:spacing w:line="360" w:lineRule="auto"/>
        <w:jc w:val="both"/>
        <w:rPr>
          <w:rFonts w:eastAsiaTheme="minorEastAsia"/>
          <w:sz w:val="24"/>
          <w:szCs w:val="24"/>
        </w:rPr>
      </w:pPr>
      <w:r w:rsidRPr="00A25023">
        <w:rPr>
          <w:rFonts w:eastAsiaTheme="minorEastAsia"/>
          <w:sz w:val="24"/>
          <w:szCs w:val="24"/>
          <w:vertAlign w:val="superscript"/>
        </w:rPr>
        <w:lastRenderedPageBreak/>
        <w:t>3</w:t>
      </w:r>
      <w:r w:rsidRPr="00A25023">
        <w:rPr>
          <w:rFonts w:eastAsiaTheme="minorEastAsia"/>
          <w:sz w:val="24"/>
          <w:szCs w:val="24"/>
        </w:rPr>
        <w:t xml:space="preserve"> Mixed practice included areas such as IBD, Surgery, Research/Clinical Trials, Infusion, Stoma Care, Nutrition, Hepatology and Nurse Endoscopy.</w:t>
      </w:r>
    </w:p>
    <w:p w14:paraId="174F7976" w14:textId="77777777" w:rsidR="00B16944" w:rsidRPr="00A25023" w:rsidRDefault="00B16944" w:rsidP="00041DF8">
      <w:pPr>
        <w:rPr>
          <w:rFonts w:eastAsiaTheme="minorEastAsia"/>
          <w:sz w:val="24"/>
          <w:szCs w:val="24"/>
        </w:rPr>
      </w:pPr>
    </w:p>
    <w:tbl>
      <w:tblPr>
        <w:tblStyle w:val="PlainTable31"/>
        <w:tblW w:w="0" w:type="auto"/>
        <w:tblLook w:val="04A0" w:firstRow="1" w:lastRow="0" w:firstColumn="1" w:lastColumn="0" w:noHBand="0" w:noVBand="1"/>
      </w:tblPr>
      <w:tblGrid>
        <w:gridCol w:w="7230"/>
        <w:gridCol w:w="1786"/>
      </w:tblGrid>
      <w:tr w:rsidR="00041DF8" w:rsidRPr="00A25023" w14:paraId="6B6C21CE" w14:textId="77777777" w:rsidTr="008026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tcPr>
          <w:p w14:paraId="76C74257" w14:textId="77777777" w:rsidR="00041DF8" w:rsidRPr="00A25023" w:rsidRDefault="00041DF8" w:rsidP="0080260B">
            <w:pPr>
              <w:jc w:val="both"/>
              <w:rPr>
                <w:sz w:val="24"/>
                <w:szCs w:val="24"/>
              </w:rPr>
            </w:pPr>
            <w:r w:rsidRPr="00A25023">
              <w:rPr>
                <w:sz w:val="24"/>
                <w:szCs w:val="24"/>
              </w:rPr>
              <w:t>Work</w:t>
            </w:r>
          </w:p>
        </w:tc>
        <w:tc>
          <w:tcPr>
            <w:tcW w:w="1786" w:type="dxa"/>
          </w:tcPr>
          <w:p w14:paraId="5548F858" w14:textId="77777777" w:rsidR="00041DF8" w:rsidRPr="00A25023" w:rsidRDefault="00041DF8" w:rsidP="0080260B">
            <w:pPr>
              <w:jc w:val="both"/>
              <w:cnfStyle w:val="100000000000" w:firstRow="1" w:lastRow="0" w:firstColumn="0" w:lastColumn="0" w:oddVBand="0" w:evenVBand="0" w:oddHBand="0" w:evenHBand="0" w:firstRowFirstColumn="0" w:firstRowLastColumn="0" w:lastRowFirstColumn="0" w:lastRowLastColumn="0"/>
              <w:rPr>
                <w:sz w:val="24"/>
                <w:szCs w:val="24"/>
              </w:rPr>
            </w:pPr>
            <w:r w:rsidRPr="00A25023">
              <w:rPr>
                <w:sz w:val="24"/>
                <w:szCs w:val="24"/>
              </w:rPr>
              <w:t>Sessions</w:t>
            </w:r>
          </w:p>
        </w:tc>
      </w:tr>
      <w:tr w:rsidR="00041DF8" w:rsidRPr="00A25023" w14:paraId="7B565C62" w14:textId="77777777" w:rsidTr="00802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E59D3DF" w14:textId="77777777" w:rsidR="00041DF8" w:rsidRPr="00A25023" w:rsidRDefault="00041DF8" w:rsidP="0080260B">
            <w:pPr>
              <w:jc w:val="both"/>
              <w:rPr>
                <w:sz w:val="24"/>
                <w:szCs w:val="24"/>
              </w:rPr>
            </w:pPr>
            <w:r w:rsidRPr="00A25023">
              <w:rPr>
                <w:sz w:val="24"/>
                <w:szCs w:val="24"/>
              </w:rPr>
              <w:t>Advice Line</w:t>
            </w:r>
          </w:p>
        </w:tc>
        <w:tc>
          <w:tcPr>
            <w:tcW w:w="1786" w:type="dxa"/>
          </w:tcPr>
          <w:p w14:paraId="4721EB8D" w14:textId="77777777" w:rsidR="00041DF8" w:rsidRPr="00A25023" w:rsidRDefault="00041DF8" w:rsidP="0080260B">
            <w:pPr>
              <w:jc w:val="both"/>
              <w:cnfStyle w:val="000000100000" w:firstRow="0" w:lastRow="0" w:firstColumn="0" w:lastColumn="0" w:oddVBand="0" w:evenVBand="0" w:oddHBand="1" w:evenHBand="0" w:firstRowFirstColumn="0" w:firstRowLastColumn="0" w:lastRowFirstColumn="0" w:lastRowLastColumn="0"/>
              <w:rPr>
                <w:sz w:val="24"/>
                <w:szCs w:val="24"/>
              </w:rPr>
            </w:pPr>
            <w:r w:rsidRPr="00A25023">
              <w:rPr>
                <w:sz w:val="24"/>
                <w:szCs w:val="24"/>
              </w:rPr>
              <w:t>560</w:t>
            </w:r>
          </w:p>
        </w:tc>
      </w:tr>
      <w:tr w:rsidR="00041DF8" w:rsidRPr="00A25023" w14:paraId="16AA1412" w14:textId="77777777" w:rsidTr="0080260B">
        <w:tc>
          <w:tcPr>
            <w:cnfStyle w:val="001000000000" w:firstRow="0" w:lastRow="0" w:firstColumn="1" w:lastColumn="0" w:oddVBand="0" w:evenVBand="0" w:oddHBand="0" w:evenHBand="0" w:firstRowFirstColumn="0" w:firstRowLastColumn="0" w:lastRowFirstColumn="0" w:lastRowLastColumn="0"/>
            <w:tcW w:w="7230" w:type="dxa"/>
          </w:tcPr>
          <w:p w14:paraId="3B23057A" w14:textId="77777777" w:rsidR="00041DF8" w:rsidRPr="00A25023" w:rsidRDefault="00041DF8" w:rsidP="0080260B">
            <w:pPr>
              <w:jc w:val="both"/>
              <w:rPr>
                <w:sz w:val="24"/>
                <w:szCs w:val="24"/>
              </w:rPr>
            </w:pPr>
            <w:r w:rsidRPr="00A25023">
              <w:rPr>
                <w:sz w:val="24"/>
                <w:szCs w:val="24"/>
              </w:rPr>
              <w:t>Nurse lead outpatient clinic</w:t>
            </w:r>
          </w:p>
        </w:tc>
        <w:tc>
          <w:tcPr>
            <w:tcW w:w="1786" w:type="dxa"/>
          </w:tcPr>
          <w:p w14:paraId="4995E61F" w14:textId="77777777" w:rsidR="00041DF8" w:rsidRPr="00A25023" w:rsidRDefault="00041DF8" w:rsidP="0080260B">
            <w:pPr>
              <w:jc w:val="both"/>
              <w:cnfStyle w:val="000000000000" w:firstRow="0" w:lastRow="0" w:firstColumn="0" w:lastColumn="0" w:oddVBand="0" w:evenVBand="0" w:oddHBand="0" w:evenHBand="0" w:firstRowFirstColumn="0" w:firstRowLastColumn="0" w:lastRowFirstColumn="0" w:lastRowLastColumn="0"/>
              <w:rPr>
                <w:sz w:val="24"/>
                <w:szCs w:val="24"/>
              </w:rPr>
            </w:pPr>
            <w:r w:rsidRPr="00A25023">
              <w:rPr>
                <w:sz w:val="24"/>
                <w:szCs w:val="24"/>
              </w:rPr>
              <w:t>290</w:t>
            </w:r>
          </w:p>
        </w:tc>
      </w:tr>
      <w:tr w:rsidR="00041DF8" w:rsidRPr="00A25023" w14:paraId="58E2EFF7" w14:textId="77777777" w:rsidTr="00802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5D0C418" w14:textId="77777777" w:rsidR="00041DF8" w:rsidRPr="00A25023" w:rsidRDefault="00041DF8" w:rsidP="0080260B">
            <w:pPr>
              <w:jc w:val="both"/>
              <w:rPr>
                <w:sz w:val="24"/>
                <w:szCs w:val="24"/>
              </w:rPr>
            </w:pPr>
            <w:r w:rsidRPr="00A25023">
              <w:rPr>
                <w:sz w:val="24"/>
                <w:szCs w:val="24"/>
              </w:rPr>
              <w:t>inpatient working</w:t>
            </w:r>
          </w:p>
        </w:tc>
        <w:tc>
          <w:tcPr>
            <w:tcW w:w="1786" w:type="dxa"/>
          </w:tcPr>
          <w:p w14:paraId="04FF8020" w14:textId="77777777" w:rsidR="00041DF8" w:rsidRPr="00A25023" w:rsidRDefault="00041DF8" w:rsidP="0080260B">
            <w:pPr>
              <w:jc w:val="both"/>
              <w:cnfStyle w:val="000000100000" w:firstRow="0" w:lastRow="0" w:firstColumn="0" w:lastColumn="0" w:oddVBand="0" w:evenVBand="0" w:oddHBand="1" w:evenHBand="0" w:firstRowFirstColumn="0" w:firstRowLastColumn="0" w:lastRowFirstColumn="0" w:lastRowLastColumn="0"/>
              <w:rPr>
                <w:sz w:val="24"/>
                <w:szCs w:val="24"/>
              </w:rPr>
            </w:pPr>
            <w:r w:rsidRPr="00A25023">
              <w:rPr>
                <w:sz w:val="24"/>
                <w:szCs w:val="24"/>
              </w:rPr>
              <w:t>246</w:t>
            </w:r>
          </w:p>
        </w:tc>
      </w:tr>
      <w:tr w:rsidR="00041DF8" w:rsidRPr="00A25023" w14:paraId="4A1F3E26" w14:textId="77777777" w:rsidTr="0080260B">
        <w:tc>
          <w:tcPr>
            <w:cnfStyle w:val="001000000000" w:firstRow="0" w:lastRow="0" w:firstColumn="1" w:lastColumn="0" w:oddVBand="0" w:evenVBand="0" w:oddHBand="0" w:evenHBand="0" w:firstRowFirstColumn="0" w:firstRowLastColumn="0" w:lastRowFirstColumn="0" w:lastRowLastColumn="0"/>
            <w:tcW w:w="7230" w:type="dxa"/>
          </w:tcPr>
          <w:p w14:paraId="151CB43E" w14:textId="77777777" w:rsidR="00041DF8" w:rsidRPr="00A25023" w:rsidRDefault="00041DF8" w:rsidP="0080260B">
            <w:pPr>
              <w:jc w:val="both"/>
              <w:rPr>
                <w:sz w:val="24"/>
                <w:szCs w:val="24"/>
              </w:rPr>
            </w:pPr>
            <w:r w:rsidRPr="00A25023">
              <w:rPr>
                <w:sz w:val="24"/>
                <w:szCs w:val="24"/>
              </w:rPr>
              <w:t>telephone clinics</w:t>
            </w:r>
          </w:p>
        </w:tc>
        <w:tc>
          <w:tcPr>
            <w:tcW w:w="1786" w:type="dxa"/>
          </w:tcPr>
          <w:p w14:paraId="093B7C61" w14:textId="77777777" w:rsidR="00041DF8" w:rsidRPr="00A25023" w:rsidRDefault="00041DF8" w:rsidP="0080260B">
            <w:pPr>
              <w:jc w:val="both"/>
              <w:cnfStyle w:val="000000000000" w:firstRow="0" w:lastRow="0" w:firstColumn="0" w:lastColumn="0" w:oddVBand="0" w:evenVBand="0" w:oddHBand="0" w:evenHBand="0" w:firstRowFirstColumn="0" w:firstRowLastColumn="0" w:lastRowFirstColumn="0" w:lastRowLastColumn="0"/>
              <w:rPr>
                <w:sz w:val="24"/>
                <w:szCs w:val="24"/>
              </w:rPr>
            </w:pPr>
            <w:r w:rsidRPr="00A25023">
              <w:rPr>
                <w:sz w:val="24"/>
                <w:szCs w:val="24"/>
              </w:rPr>
              <w:t>193</w:t>
            </w:r>
          </w:p>
        </w:tc>
      </w:tr>
      <w:tr w:rsidR="00041DF8" w:rsidRPr="00A25023" w14:paraId="6B657295" w14:textId="77777777" w:rsidTr="00802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BA01864" w14:textId="77777777" w:rsidR="00041DF8" w:rsidRPr="00A25023" w:rsidRDefault="00041DF8" w:rsidP="0080260B">
            <w:pPr>
              <w:jc w:val="both"/>
              <w:rPr>
                <w:sz w:val="24"/>
                <w:szCs w:val="24"/>
              </w:rPr>
            </w:pPr>
            <w:r w:rsidRPr="00A25023">
              <w:rPr>
                <w:sz w:val="24"/>
                <w:szCs w:val="24"/>
              </w:rPr>
              <w:t>infusions</w:t>
            </w:r>
          </w:p>
        </w:tc>
        <w:tc>
          <w:tcPr>
            <w:tcW w:w="1786" w:type="dxa"/>
          </w:tcPr>
          <w:p w14:paraId="37D46CFA" w14:textId="77777777" w:rsidR="00041DF8" w:rsidRPr="00A25023" w:rsidRDefault="00041DF8" w:rsidP="0080260B">
            <w:pPr>
              <w:jc w:val="both"/>
              <w:cnfStyle w:val="000000100000" w:firstRow="0" w:lastRow="0" w:firstColumn="0" w:lastColumn="0" w:oddVBand="0" w:evenVBand="0" w:oddHBand="1" w:evenHBand="0" w:firstRowFirstColumn="0" w:firstRowLastColumn="0" w:lastRowFirstColumn="0" w:lastRowLastColumn="0"/>
              <w:rPr>
                <w:sz w:val="24"/>
                <w:szCs w:val="24"/>
              </w:rPr>
            </w:pPr>
            <w:r w:rsidRPr="00A25023">
              <w:rPr>
                <w:sz w:val="24"/>
                <w:szCs w:val="24"/>
              </w:rPr>
              <w:t>142</w:t>
            </w:r>
          </w:p>
        </w:tc>
      </w:tr>
      <w:tr w:rsidR="00041DF8" w:rsidRPr="00A25023" w14:paraId="24A0BC15" w14:textId="77777777" w:rsidTr="0080260B">
        <w:tc>
          <w:tcPr>
            <w:cnfStyle w:val="001000000000" w:firstRow="0" w:lastRow="0" w:firstColumn="1" w:lastColumn="0" w:oddVBand="0" w:evenVBand="0" w:oddHBand="0" w:evenHBand="0" w:firstRowFirstColumn="0" w:firstRowLastColumn="0" w:lastRowFirstColumn="0" w:lastRowLastColumn="0"/>
            <w:tcW w:w="7230" w:type="dxa"/>
          </w:tcPr>
          <w:p w14:paraId="2DE9AE13" w14:textId="77777777" w:rsidR="00041DF8" w:rsidRPr="00A25023" w:rsidRDefault="00041DF8" w:rsidP="0080260B">
            <w:pPr>
              <w:jc w:val="both"/>
              <w:rPr>
                <w:sz w:val="24"/>
                <w:szCs w:val="24"/>
              </w:rPr>
            </w:pPr>
            <w:r w:rsidRPr="00A25023">
              <w:rPr>
                <w:sz w:val="24"/>
                <w:szCs w:val="24"/>
              </w:rPr>
              <w:t>consultant lead outpatient clinic</w:t>
            </w:r>
          </w:p>
        </w:tc>
        <w:tc>
          <w:tcPr>
            <w:tcW w:w="1786" w:type="dxa"/>
          </w:tcPr>
          <w:p w14:paraId="78C7D0C3" w14:textId="77777777" w:rsidR="00041DF8" w:rsidRPr="00A25023" w:rsidRDefault="00041DF8" w:rsidP="0080260B">
            <w:pPr>
              <w:jc w:val="both"/>
              <w:cnfStyle w:val="000000000000" w:firstRow="0" w:lastRow="0" w:firstColumn="0" w:lastColumn="0" w:oddVBand="0" w:evenVBand="0" w:oddHBand="0" w:evenHBand="0" w:firstRowFirstColumn="0" w:firstRowLastColumn="0" w:lastRowFirstColumn="0" w:lastRowLastColumn="0"/>
              <w:rPr>
                <w:sz w:val="24"/>
                <w:szCs w:val="24"/>
              </w:rPr>
            </w:pPr>
            <w:r w:rsidRPr="00A25023">
              <w:rPr>
                <w:sz w:val="24"/>
                <w:szCs w:val="24"/>
              </w:rPr>
              <w:t>121</w:t>
            </w:r>
          </w:p>
        </w:tc>
      </w:tr>
      <w:tr w:rsidR="00041DF8" w:rsidRPr="00A25023" w14:paraId="046D6186" w14:textId="77777777" w:rsidTr="00802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455C3331" w14:textId="77777777" w:rsidR="00041DF8" w:rsidRPr="00A25023" w:rsidRDefault="00041DF8" w:rsidP="0080260B">
            <w:pPr>
              <w:jc w:val="both"/>
              <w:rPr>
                <w:sz w:val="24"/>
                <w:szCs w:val="24"/>
              </w:rPr>
            </w:pPr>
            <w:r w:rsidRPr="00A25023">
              <w:rPr>
                <w:sz w:val="24"/>
                <w:szCs w:val="24"/>
              </w:rPr>
              <w:t>Joint Nurse/Consultant Clinic</w:t>
            </w:r>
          </w:p>
        </w:tc>
        <w:tc>
          <w:tcPr>
            <w:tcW w:w="1786" w:type="dxa"/>
          </w:tcPr>
          <w:p w14:paraId="7D24B62A" w14:textId="77777777" w:rsidR="00041DF8" w:rsidRPr="00A25023" w:rsidRDefault="00041DF8" w:rsidP="0080260B">
            <w:pPr>
              <w:jc w:val="both"/>
              <w:cnfStyle w:val="000000100000" w:firstRow="0" w:lastRow="0" w:firstColumn="0" w:lastColumn="0" w:oddVBand="0" w:evenVBand="0" w:oddHBand="1" w:evenHBand="0" w:firstRowFirstColumn="0" w:firstRowLastColumn="0" w:lastRowFirstColumn="0" w:lastRowLastColumn="0"/>
              <w:rPr>
                <w:sz w:val="24"/>
                <w:szCs w:val="24"/>
              </w:rPr>
            </w:pPr>
            <w:r w:rsidRPr="00A25023">
              <w:rPr>
                <w:sz w:val="24"/>
                <w:szCs w:val="24"/>
              </w:rPr>
              <w:t>78</w:t>
            </w:r>
          </w:p>
        </w:tc>
      </w:tr>
      <w:tr w:rsidR="00041DF8" w:rsidRPr="00A25023" w14:paraId="6BA3AF4D" w14:textId="77777777" w:rsidTr="0080260B">
        <w:tc>
          <w:tcPr>
            <w:cnfStyle w:val="001000000000" w:firstRow="0" w:lastRow="0" w:firstColumn="1" w:lastColumn="0" w:oddVBand="0" w:evenVBand="0" w:oddHBand="0" w:evenHBand="0" w:firstRowFirstColumn="0" w:firstRowLastColumn="0" w:lastRowFirstColumn="0" w:lastRowLastColumn="0"/>
            <w:tcW w:w="7230" w:type="dxa"/>
          </w:tcPr>
          <w:p w14:paraId="7342F352" w14:textId="77777777" w:rsidR="00041DF8" w:rsidRPr="00A25023" w:rsidRDefault="00041DF8" w:rsidP="0080260B">
            <w:pPr>
              <w:jc w:val="both"/>
              <w:rPr>
                <w:sz w:val="24"/>
                <w:szCs w:val="24"/>
              </w:rPr>
            </w:pPr>
            <w:r w:rsidRPr="00A25023">
              <w:rPr>
                <w:sz w:val="24"/>
                <w:szCs w:val="24"/>
              </w:rPr>
              <w:t>virtual clinic</w:t>
            </w:r>
          </w:p>
        </w:tc>
        <w:tc>
          <w:tcPr>
            <w:tcW w:w="1786" w:type="dxa"/>
          </w:tcPr>
          <w:p w14:paraId="6A7D7FFB" w14:textId="77777777" w:rsidR="00041DF8" w:rsidRPr="00A25023" w:rsidRDefault="00041DF8" w:rsidP="0080260B">
            <w:pPr>
              <w:jc w:val="both"/>
              <w:cnfStyle w:val="000000000000" w:firstRow="0" w:lastRow="0" w:firstColumn="0" w:lastColumn="0" w:oddVBand="0" w:evenVBand="0" w:oddHBand="0" w:evenHBand="0" w:firstRowFirstColumn="0" w:firstRowLastColumn="0" w:lastRowFirstColumn="0" w:lastRowLastColumn="0"/>
              <w:rPr>
                <w:sz w:val="24"/>
                <w:szCs w:val="24"/>
              </w:rPr>
            </w:pPr>
            <w:r w:rsidRPr="00A25023">
              <w:rPr>
                <w:sz w:val="24"/>
                <w:szCs w:val="24"/>
              </w:rPr>
              <w:t>78</w:t>
            </w:r>
          </w:p>
        </w:tc>
      </w:tr>
      <w:tr w:rsidR="00041DF8" w:rsidRPr="00A25023" w14:paraId="2454A70C" w14:textId="77777777" w:rsidTr="00802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01890521" w14:textId="77777777" w:rsidR="00041DF8" w:rsidRPr="00A25023" w:rsidRDefault="00041DF8" w:rsidP="0080260B">
            <w:pPr>
              <w:jc w:val="both"/>
              <w:rPr>
                <w:sz w:val="24"/>
                <w:szCs w:val="24"/>
              </w:rPr>
            </w:pPr>
            <w:r w:rsidRPr="00A25023">
              <w:rPr>
                <w:sz w:val="24"/>
                <w:szCs w:val="24"/>
              </w:rPr>
              <w:t>endoscopy list</w:t>
            </w:r>
          </w:p>
        </w:tc>
        <w:tc>
          <w:tcPr>
            <w:tcW w:w="1786" w:type="dxa"/>
          </w:tcPr>
          <w:p w14:paraId="009662B0" w14:textId="77777777" w:rsidR="00041DF8" w:rsidRPr="00A25023" w:rsidRDefault="00041DF8" w:rsidP="0080260B">
            <w:pPr>
              <w:jc w:val="both"/>
              <w:cnfStyle w:val="000000100000" w:firstRow="0" w:lastRow="0" w:firstColumn="0" w:lastColumn="0" w:oddVBand="0" w:evenVBand="0" w:oddHBand="1" w:evenHBand="0" w:firstRowFirstColumn="0" w:firstRowLastColumn="0" w:lastRowFirstColumn="0" w:lastRowLastColumn="0"/>
              <w:rPr>
                <w:sz w:val="24"/>
                <w:szCs w:val="24"/>
              </w:rPr>
            </w:pPr>
            <w:r w:rsidRPr="00A25023">
              <w:rPr>
                <w:sz w:val="24"/>
                <w:szCs w:val="24"/>
              </w:rPr>
              <w:t>36</w:t>
            </w:r>
          </w:p>
        </w:tc>
      </w:tr>
      <w:tr w:rsidR="00041DF8" w:rsidRPr="00A25023" w14:paraId="1D1CD365" w14:textId="77777777" w:rsidTr="0080260B">
        <w:tc>
          <w:tcPr>
            <w:cnfStyle w:val="001000000000" w:firstRow="0" w:lastRow="0" w:firstColumn="1" w:lastColumn="0" w:oddVBand="0" w:evenVBand="0" w:oddHBand="0" w:evenHBand="0" w:firstRowFirstColumn="0" w:firstRowLastColumn="0" w:lastRowFirstColumn="0" w:lastRowLastColumn="0"/>
            <w:tcW w:w="7230" w:type="dxa"/>
          </w:tcPr>
          <w:p w14:paraId="5E9943AC" w14:textId="77777777" w:rsidR="00041DF8" w:rsidRPr="00A25023" w:rsidRDefault="00041DF8" w:rsidP="0080260B">
            <w:pPr>
              <w:jc w:val="both"/>
              <w:rPr>
                <w:sz w:val="24"/>
                <w:szCs w:val="24"/>
              </w:rPr>
            </w:pPr>
          </w:p>
        </w:tc>
        <w:tc>
          <w:tcPr>
            <w:tcW w:w="1786" w:type="dxa"/>
          </w:tcPr>
          <w:p w14:paraId="38C5F38A" w14:textId="77777777" w:rsidR="00041DF8" w:rsidRPr="00A25023" w:rsidRDefault="00041DF8" w:rsidP="0080260B">
            <w:pPr>
              <w:jc w:val="both"/>
              <w:cnfStyle w:val="000000000000" w:firstRow="0" w:lastRow="0" w:firstColumn="0" w:lastColumn="0" w:oddVBand="0" w:evenVBand="0" w:oddHBand="0" w:evenHBand="0" w:firstRowFirstColumn="0" w:firstRowLastColumn="0" w:lastRowFirstColumn="0" w:lastRowLastColumn="0"/>
              <w:rPr>
                <w:sz w:val="24"/>
                <w:szCs w:val="24"/>
              </w:rPr>
            </w:pPr>
          </w:p>
        </w:tc>
      </w:tr>
    </w:tbl>
    <w:p w14:paraId="75E6907F" w14:textId="0808C8A3" w:rsidR="00041DF8" w:rsidRDefault="00041DF8" w:rsidP="00041DF8">
      <w:pPr>
        <w:spacing w:line="360" w:lineRule="auto"/>
        <w:jc w:val="both"/>
        <w:rPr>
          <w:rFonts w:eastAsiaTheme="minorEastAsia"/>
          <w:sz w:val="24"/>
          <w:szCs w:val="24"/>
        </w:rPr>
      </w:pPr>
      <w:r w:rsidRPr="00A25023">
        <w:rPr>
          <w:rFonts w:eastAsiaTheme="minorEastAsia"/>
          <w:b/>
          <w:sz w:val="24"/>
          <w:szCs w:val="24"/>
        </w:rPr>
        <w:t xml:space="preserve">Table </w:t>
      </w:r>
      <w:r w:rsidR="00B16944" w:rsidRPr="00A25023">
        <w:rPr>
          <w:rFonts w:eastAsiaTheme="minorEastAsia"/>
          <w:b/>
          <w:sz w:val="24"/>
          <w:szCs w:val="24"/>
        </w:rPr>
        <w:t>2</w:t>
      </w:r>
      <w:r w:rsidRPr="00A25023">
        <w:rPr>
          <w:rFonts w:eastAsiaTheme="minorEastAsia"/>
          <w:sz w:val="24"/>
          <w:szCs w:val="24"/>
        </w:rPr>
        <w:t>: Number of sessions spent on each work group per week.</w:t>
      </w:r>
    </w:p>
    <w:p w14:paraId="5405C2D8" w14:textId="3F91DE2D" w:rsidR="00A25023" w:rsidRDefault="00A25023" w:rsidP="00041DF8">
      <w:pPr>
        <w:spacing w:line="360" w:lineRule="auto"/>
        <w:jc w:val="both"/>
        <w:rPr>
          <w:rFonts w:eastAsiaTheme="minorEastAsia"/>
          <w:b/>
          <w:sz w:val="24"/>
          <w:szCs w:val="24"/>
        </w:rPr>
      </w:pPr>
      <w:r w:rsidRPr="00A25023">
        <w:rPr>
          <w:rFonts w:eastAsiaTheme="minorEastAsia"/>
          <w:b/>
          <w:sz w:val="24"/>
          <w:szCs w:val="24"/>
        </w:rPr>
        <w:t>Figure 1</w:t>
      </w:r>
    </w:p>
    <w:p w14:paraId="5A052CE1" w14:textId="7E0DE3BD" w:rsidR="00A25023" w:rsidRDefault="00A25023" w:rsidP="00041DF8">
      <w:pPr>
        <w:spacing w:line="360" w:lineRule="auto"/>
        <w:jc w:val="both"/>
        <w:rPr>
          <w:rFonts w:eastAsiaTheme="minorEastAsia"/>
          <w:b/>
          <w:sz w:val="24"/>
          <w:szCs w:val="24"/>
        </w:rPr>
      </w:pPr>
      <w:r>
        <w:rPr>
          <w:noProof/>
          <w:lang w:eastAsia="en-GB"/>
        </w:rPr>
        <w:drawing>
          <wp:inline distT="0" distB="0" distL="0" distR="0" wp14:anchorId="2E3B680E" wp14:editId="689A2F1A">
            <wp:extent cx="5731510" cy="27469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46943"/>
                    </a:xfrm>
                    <a:prstGeom prst="rect">
                      <a:avLst/>
                    </a:prstGeom>
                    <a:noFill/>
                    <a:ln>
                      <a:noFill/>
                    </a:ln>
                  </pic:spPr>
                </pic:pic>
              </a:graphicData>
            </a:graphic>
          </wp:inline>
        </w:drawing>
      </w:r>
    </w:p>
    <w:p w14:paraId="34AA7944" w14:textId="77777777" w:rsidR="00A25023" w:rsidRDefault="00A25023" w:rsidP="00041DF8">
      <w:pPr>
        <w:spacing w:line="360" w:lineRule="auto"/>
        <w:jc w:val="both"/>
        <w:rPr>
          <w:rFonts w:eastAsiaTheme="minorEastAsia"/>
          <w:b/>
          <w:sz w:val="24"/>
          <w:szCs w:val="24"/>
        </w:rPr>
      </w:pPr>
    </w:p>
    <w:p w14:paraId="56561544" w14:textId="77777777" w:rsidR="00A25023" w:rsidRDefault="00A25023" w:rsidP="00041DF8">
      <w:pPr>
        <w:spacing w:line="360" w:lineRule="auto"/>
        <w:jc w:val="both"/>
        <w:rPr>
          <w:rFonts w:eastAsiaTheme="minorEastAsia"/>
          <w:b/>
          <w:sz w:val="24"/>
          <w:szCs w:val="24"/>
        </w:rPr>
      </w:pPr>
    </w:p>
    <w:p w14:paraId="63A2FC2B" w14:textId="77777777" w:rsidR="00A25023" w:rsidRDefault="00A25023" w:rsidP="00041DF8">
      <w:pPr>
        <w:spacing w:line="360" w:lineRule="auto"/>
        <w:jc w:val="both"/>
        <w:rPr>
          <w:rFonts w:eastAsiaTheme="minorEastAsia"/>
          <w:b/>
          <w:sz w:val="24"/>
          <w:szCs w:val="24"/>
        </w:rPr>
      </w:pPr>
    </w:p>
    <w:p w14:paraId="66A77D97" w14:textId="77777777" w:rsidR="00A25023" w:rsidRDefault="00A25023" w:rsidP="00041DF8">
      <w:pPr>
        <w:spacing w:line="360" w:lineRule="auto"/>
        <w:jc w:val="both"/>
        <w:rPr>
          <w:rFonts w:eastAsiaTheme="minorEastAsia"/>
          <w:b/>
          <w:sz w:val="24"/>
          <w:szCs w:val="24"/>
        </w:rPr>
      </w:pPr>
    </w:p>
    <w:p w14:paraId="420491E7" w14:textId="77777777" w:rsidR="00A25023" w:rsidRDefault="00A25023" w:rsidP="00041DF8">
      <w:pPr>
        <w:spacing w:line="360" w:lineRule="auto"/>
        <w:jc w:val="both"/>
        <w:rPr>
          <w:rFonts w:eastAsiaTheme="minorEastAsia"/>
          <w:b/>
          <w:sz w:val="24"/>
          <w:szCs w:val="24"/>
        </w:rPr>
      </w:pPr>
    </w:p>
    <w:p w14:paraId="682595A2" w14:textId="77777777" w:rsidR="00A25023" w:rsidRDefault="00A25023" w:rsidP="00041DF8">
      <w:pPr>
        <w:spacing w:line="360" w:lineRule="auto"/>
        <w:jc w:val="both"/>
        <w:rPr>
          <w:rFonts w:eastAsiaTheme="minorEastAsia"/>
          <w:b/>
          <w:sz w:val="24"/>
          <w:szCs w:val="24"/>
        </w:rPr>
      </w:pPr>
    </w:p>
    <w:p w14:paraId="75E6CE0E" w14:textId="445E13AC" w:rsidR="00A25023" w:rsidRDefault="00A25023" w:rsidP="00041DF8">
      <w:pPr>
        <w:spacing w:line="360" w:lineRule="auto"/>
        <w:jc w:val="both"/>
        <w:rPr>
          <w:rFonts w:eastAsiaTheme="minorEastAsia"/>
          <w:b/>
          <w:sz w:val="24"/>
          <w:szCs w:val="24"/>
        </w:rPr>
      </w:pPr>
      <w:r>
        <w:rPr>
          <w:rFonts w:eastAsiaTheme="minorEastAsia"/>
          <w:b/>
          <w:sz w:val="24"/>
          <w:szCs w:val="24"/>
        </w:rPr>
        <w:lastRenderedPageBreak/>
        <w:t>Figure 2</w:t>
      </w:r>
    </w:p>
    <w:p w14:paraId="2355558C" w14:textId="21B1A7D7" w:rsidR="00A25023" w:rsidRDefault="00A25023" w:rsidP="00041DF8">
      <w:pPr>
        <w:spacing w:line="360" w:lineRule="auto"/>
        <w:jc w:val="both"/>
        <w:rPr>
          <w:rFonts w:eastAsiaTheme="minorEastAsia"/>
          <w:b/>
          <w:sz w:val="24"/>
          <w:szCs w:val="24"/>
        </w:rPr>
      </w:pPr>
      <w:r>
        <w:rPr>
          <w:noProof/>
          <w:lang w:eastAsia="en-GB"/>
        </w:rPr>
        <w:drawing>
          <wp:inline distT="0" distB="0" distL="0" distR="0" wp14:anchorId="102A54BA" wp14:editId="500317B7">
            <wp:extent cx="5731510" cy="727358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273580"/>
                    </a:xfrm>
                    <a:prstGeom prst="rect">
                      <a:avLst/>
                    </a:prstGeom>
                    <a:noFill/>
                    <a:ln>
                      <a:noFill/>
                    </a:ln>
                  </pic:spPr>
                </pic:pic>
              </a:graphicData>
            </a:graphic>
          </wp:inline>
        </w:drawing>
      </w:r>
    </w:p>
    <w:p w14:paraId="0DA9CB75" w14:textId="77777777" w:rsidR="00A25023" w:rsidRDefault="00A25023" w:rsidP="00041DF8">
      <w:pPr>
        <w:spacing w:line="360" w:lineRule="auto"/>
        <w:jc w:val="both"/>
        <w:rPr>
          <w:rFonts w:eastAsiaTheme="minorEastAsia"/>
          <w:b/>
          <w:sz w:val="24"/>
          <w:szCs w:val="24"/>
        </w:rPr>
      </w:pPr>
    </w:p>
    <w:p w14:paraId="7E5E26FD" w14:textId="77777777" w:rsidR="00A25023" w:rsidRDefault="00A25023" w:rsidP="00041DF8">
      <w:pPr>
        <w:spacing w:line="360" w:lineRule="auto"/>
        <w:jc w:val="both"/>
        <w:rPr>
          <w:rFonts w:eastAsiaTheme="minorEastAsia"/>
          <w:b/>
          <w:sz w:val="24"/>
          <w:szCs w:val="24"/>
        </w:rPr>
      </w:pPr>
    </w:p>
    <w:p w14:paraId="2CAA1529" w14:textId="77777777" w:rsidR="00A25023" w:rsidRDefault="00A25023" w:rsidP="00041DF8">
      <w:pPr>
        <w:spacing w:line="360" w:lineRule="auto"/>
        <w:jc w:val="both"/>
        <w:rPr>
          <w:rFonts w:eastAsiaTheme="minorEastAsia"/>
          <w:b/>
          <w:sz w:val="24"/>
          <w:szCs w:val="24"/>
        </w:rPr>
      </w:pPr>
    </w:p>
    <w:p w14:paraId="3780AD36" w14:textId="04EA5420" w:rsidR="00A25023" w:rsidRDefault="00A25023" w:rsidP="00041DF8">
      <w:pPr>
        <w:spacing w:line="360" w:lineRule="auto"/>
        <w:jc w:val="both"/>
        <w:rPr>
          <w:rFonts w:eastAsiaTheme="minorEastAsia"/>
          <w:b/>
          <w:sz w:val="24"/>
          <w:szCs w:val="24"/>
        </w:rPr>
      </w:pPr>
      <w:r>
        <w:rPr>
          <w:rFonts w:eastAsiaTheme="minorEastAsia"/>
          <w:b/>
          <w:sz w:val="24"/>
          <w:szCs w:val="24"/>
        </w:rPr>
        <w:lastRenderedPageBreak/>
        <w:t>Figure 3</w:t>
      </w:r>
    </w:p>
    <w:p w14:paraId="6EA95120" w14:textId="76F63293" w:rsidR="00A25023" w:rsidRDefault="00A25023" w:rsidP="00041DF8">
      <w:pPr>
        <w:spacing w:line="360" w:lineRule="auto"/>
        <w:jc w:val="both"/>
        <w:rPr>
          <w:rFonts w:eastAsiaTheme="minorEastAsia"/>
          <w:b/>
          <w:sz w:val="24"/>
          <w:szCs w:val="24"/>
        </w:rPr>
      </w:pPr>
      <w:r>
        <w:rPr>
          <w:noProof/>
          <w:lang w:eastAsia="en-GB"/>
        </w:rPr>
        <w:drawing>
          <wp:inline distT="0" distB="0" distL="0" distR="0" wp14:anchorId="650654E4" wp14:editId="6AAFD7C9">
            <wp:extent cx="5731510" cy="331688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316886"/>
                    </a:xfrm>
                    <a:prstGeom prst="rect">
                      <a:avLst/>
                    </a:prstGeom>
                    <a:noFill/>
                    <a:ln>
                      <a:noFill/>
                    </a:ln>
                  </pic:spPr>
                </pic:pic>
              </a:graphicData>
            </a:graphic>
          </wp:inline>
        </w:drawing>
      </w:r>
    </w:p>
    <w:p w14:paraId="5DFF3B92" w14:textId="33A50C1D" w:rsidR="00A25023" w:rsidRDefault="00A25023" w:rsidP="00041DF8">
      <w:pPr>
        <w:spacing w:line="360" w:lineRule="auto"/>
        <w:jc w:val="both"/>
        <w:rPr>
          <w:rFonts w:eastAsiaTheme="minorEastAsia"/>
          <w:b/>
          <w:sz w:val="24"/>
          <w:szCs w:val="24"/>
        </w:rPr>
      </w:pPr>
      <w:r>
        <w:rPr>
          <w:rFonts w:eastAsiaTheme="minorEastAsia"/>
          <w:b/>
          <w:sz w:val="24"/>
          <w:szCs w:val="24"/>
        </w:rPr>
        <w:t>Figure 4</w:t>
      </w:r>
    </w:p>
    <w:p w14:paraId="5DCE8887" w14:textId="0697F7AD" w:rsidR="00A25023" w:rsidRPr="00A25023" w:rsidRDefault="00A25023" w:rsidP="00041DF8">
      <w:pPr>
        <w:spacing w:line="360" w:lineRule="auto"/>
        <w:jc w:val="both"/>
        <w:rPr>
          <w:rFonts w:eastAsiaTheme="minorEastAsia"/>
          <w:b/>
          <w:sz w:val="24"/>
          <w:szCs w:val="24"/>
        </w:rPr>
      </w:pPr>
      <w:r>
        <w:rPr>
          <w:noProof/>
          <w:lang w:eastAsia="en-GB"/>
        </w:rPr>
        <w:drawing>
          <wp:inline distT="0" distB="0" distL="0" distR="0" wp14:anchorId="483D8C71" wp14:editId="32902EEA">
            <wp:extent cx="5731510" cy="3276452"/>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76452"/>
                    </a:xfrm>
                    <a:prstGeom prst="rect">
                      <a:avLst/>
                    </a:prstGeom>
                    <a:noFill/>
                    <a:ln>
                      <a:noFill/>
                    </a:ln>
                  </pic:spPr>
                </pic:pic>
              </a:graphicData>
            </a:graphic>
          </wp:inline>
        </w:drawing>
      </w:r>
    </w:p>
    <w:p w14:paraId="0D86422E" w14:textId="77777777" w:rsidR="00041DF8" w:rsidRPr="00152950" w:rsidRDefault="00041DF8" w:rsidP="00041DF8">
      <w:pPr>
        <w:rPr>
          <w:rFonts w:eastAsiaTheme="minorEastAsia"/>
          <w:sz w:val="16"/>
          <w:szCs w:val="16"/>
        </w:rPr>
      </w:pPr>
    </w:p>
    <w:p w14:paraId="1F25C0FE" w14:textId="77777777" w:rsidR="00041DF8" w:rsidRPr="00152950" w:rsidRDefault="00041DF8" w:rsidP="00AF7289">
      <w:pPr>
        <w:spacing w:line="360" w:lineRule="auto"/>
        <w:jc w:val="both"/>
        <w:rPr>
          <w:rFonts w:eastAsiaTheme="minorEastAsia"/>
          <w:sz w:val="24"/>
          <w:szCs w:val="24"/>
        </w:rPr>
      </w:pPr>
    </w:p>
    <w:p w14:paraId="6119507B" w14:textId="77777777" w:rsidR="00AF7289" w:rsidRDefault="00AF7289" w:rsidP="00AF7289">
      <w:pPr>
        <w:spacing w:line="360" w:lineRule="auto"/>
        <w:jc w:val="both"/>
        <w:rPr>
          <w:rFonts w:eastAsiaTheme="minorEastAsia"/>
          <w:sz w:val="24"/>
          <w:szCs w:val="24"/>
        </w:rPr>
      </w:pPr>
    </w:p>
    <w:p w14:paraId="5EF0F4C4" w14:textId="77777777" w:rsidR="00AF7289" w:rsidRPr="00152950" w:rsidRDefault="00AF7289" w:rsidP="00AF7289">
      <w:pPr>
        <w:jc w:val="both"/>
        <w:rPr>
          <w:rFonts w:eastAsiaTheme="minorEastAsia"/>
          <w:sz w:val="24"/>
          <w:szCs w:val="24"/>
        </w:rPr>
      </w:pPr>
    </w:p>
    <w:p w14:paraId="60E48AA6" w14:textId="77777777" w:rsidR="00AF7289" w:rsidRPr="00C11A4B" w:rsidRDefault="00AF7289" w:rsidP="00AF7289">
      <w:pPr>
        <w:spacing w:line="360" w:lineRule="auto"/>
        <w:jc w:val="both"/>
        <w:rPr>
          <w:rFonts w:eastAsiaTheme="minorEastAsia"/>
          <w:sz w:val="24"/>
          <w:szCs w:val="24"/>
        </w:rPr>
      </w:pPr>
    </w:p>
    <w:p w14:paraId="7F662BC9" w14:textId="77777777" w:rsidR="00AF7289" w:rsidRPr="00AF7289" w:rsidRDefault="00AF7289">
      <w:pPr>
        <w:rPr>
          <w:b/>
          <w:sz w:val="24"/>
          <w:szCs w:val="24"/>
        </w:rPr>
      </w:pPr>
      <w:bookmarkStart w:id="7" w:name="_GoBack"/>
      <w:bookmarkEnd w:id="7"/>
    </w:p>
    <w:sectPr w:rsidR="00AF7289" w:rsidRPr="00AF7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5E7"/>
    <w:multiLevelType w:val="hybridMultilevel"/>
    <w:tmpl w:val="29D0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F5651"/>
    <w:multiLevelType w:val="hybridMultilevel"/>
    <w:tmpl w:val="BE02CD4A"/>
    <w:lvl w:ilvl="0" w:tplc="3C90F35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77492"/>
    <w:multiLevelType w:val="hybridMultilevel"/>
    <w:tmpl w:val="46A82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B9"/>
    <w:rsid w:val="00000DE7"/>
    <w:rsid w:val="00001BD5"/>
    <w:rsid w:val="000027A1"/>
    <w:rsid w:val="00010275"/>
    <w:rsid w:val="0001424D"/>
    <w:rsid w:val="00016B90"/>
    <w:rsid w:val="00020DB4"/>
    <w:rsid w:val="00041DF8"/>
    <w:rsid w:val="00042F6C"/>
    <w:rsid w:val="00046390"/>
    <w:rsid w:val="000561B7"/>
    <w:rsid w:val="000568DD"/>
    <w:rsid w:val="00057C80"/>
    <w:rsid w:val="00060CA9"/>
    <w:rsid w:val="00063806"/>
    <w:rsid w:val="0006532D"/>
    <w:rsid w:val="00075BA3"/>
    <w:rsid w:val="00076727"/>
    <w:rsid w:val="00077C0C"/>
    <w:rsid w:val="00091080"/>
    <w:rsid w:val="00093AA5"/>
    <w:rsid w:val="00095442"/>
    <w:rsid w:val="00096615"/>
    <w:rsid w:val="000A7161"/>
    <w:rsid w:val="000B012B"/>
    <w:rsid w:val="000B382E"/>
    <w:rsid w:val="000C4D5A"/>
    <w:rsid w:val="000D297F"/>
    <w:rsid w:val="000D2F78"/>
    <w:rsid w:val="000D55C0"/>
    <w:rsid w:val="000D6D66"/>
    <w:rsid w:val="000E02FD"/>
    <w:rsid w:val="000E0E69"/>
    <w:rsid w:val="000F2A31"/>
    <w:rsid w:val="0011061F"/>
    <w:rsid w:val="0011297F"/>
    <w:rsid w:val="00117D8C"/>
    <w:rsid w:val="00120EB7"/>
    <w:rsid w:val="00123FC6"/>
    <w:rsid w:val="001257CA"/>
    <w:rsid w:val="00141A1F"/>
    <w:rsid w:val="00143B0B"/>
    <w:rsid w:val="00152950"/>
    <w:rsid w:val="001532AE"/>
    <w:rsid w:val="00154AC2"/>
    <w:rsid w:val="00154BB7"/>
    <w:rsid w:val="00155D42"/>
    <w:rsid w:val="00157AB5"/>
    <w:rsid w:val="001835FA"/>
    <w:rsid w:val="00183CAD"/>
    <w:rsid w:val="00184D73"/>
    <w:rsid w:val="00185407"/>
    <w:rsid w:val="00187AA7"/>
    <w:rsid w:val="001A71FB"/>
    <w:rsid w:val="001C11CD"/>
    <w:rsid w:val="001C412D"/>
    <w:rsid w:val="001C50A5"/>
    <w:rsid w:val="001D1DAC"/>
    <w:rsid w:val="001D5371"/>
    <w:rsid w:val="001D5A84"/>
    <w:rsid w:val="001D6D01"/>
    <w:rsid w:val="001E0647"/>
    <w:rsid w:val="001F7194"/>
    <w:rsid w:val="0020048E"/>
    <w:rsid w:val="002041F8"/>
    <w:rsid w:val="00205C4A"/>
    <w:rsid w:val="00211A8C"/>
    <w:rsid w:val="00215588"/>
    <w:rsid w:val="00223AF6"/>
    <w:rsid w:val="002477A7"/>
    <w:rsid w:val="00247EC4"/>
    <w:rsid w:val="00256110"/>
    <w:rsid w:val="00282C7A"/>
    <w:rsid w:val="002855C2"/>
    <w:rsid w:val="0029164E"/>
    <w:rsid w:val="0029204E"/>
    <w:rsid w:val="002A07F6"/>
    <w:rsid w:val="002D11C8"/>
    <w:rsid w:val="002D226E"/>
    <w:rsid w:val="002D6A3C"/>
    <w:rsid w:val="002D7E71"/>
    <w:rsid w:val="002E0299"/>
    <w:rsid w:val="002E309E"/>
    <w:rsid w:val="002F3CF6"/>
    <w:rsid w:val="002F59C7"/>
    <w:rsid w:val="003066BE"/>
    <w:rsid w:val="003118E0"/>
    <w:rsid w:val="0031432A"/>
    <w:rsid w:val="003146B9"/>
    <w:rsid w:val="00324599"/>
    <w:rsid w:val="00333AA4"/>
    <w:rsid w:val="00335203"/>
    <w:rsid w:val="0034536B"/>
    <w:rsid w:val="00347FE3"/>
    <w:rsid w:val="00353024"/>
    <w:rsid w:val="0035380F"/>
    <w:rsid w:val="00367A84"/>
    <w:rsid w:val="00374F83"/>
    <w:rsid w:val="00383D39"/>
    <w:rsid w:val="00393493"/>
    <w:rsid w:val="003A1310"/>
    <w:rsid w:val="003A24FF"/>
    <w:rsid w:val="003A770F"/>
    <w:rsid w:val="003C0C40"/>
    <w:rsid w:val="003C5D7F"/>
    <w:rsid w:val="003D1331"/>
    <w:rsid w:val="003E3109"/>
    <w:rsid w:val="003E3EE7"/>
    <w:rsid w:val="00413CBD"/>
    <w:rsid w:val="00415427"/>
    <w:rsid w:val="00416F0F"/>
    <w:rsid w:val="00426C51"/>
    <w:rsid w:val="004309B9"/>
    <w:rsid w:val="004366FB"/>
    <w:rsid w:val="00437705"/>
    <w:rsid w:val="00440E43"/>
    <w:rsid w:val="004419E4"/>
    <w:rsid w:val="00447460"/>
    <w:rsid w:val="004500B2"/>
    <w:rsid w:val="00482D50"/>
    <w:rsid w:val="00483986"/>
    <w:rsid w:val="00485B1E"/>
    <w:rsid w:val="00491023"/>
    <w:rsid w:val="004A011C"/>
    <w:rsid w:val="004B09B4"/>
    <w:rsid w:val="004B6EA2"/>
    <w:rsid w:val="004C11BD"/>
    <w:rsid w:val="004C6249"/>
    <w:rsid w:val="004D26D6"/>
    <w:rsid w:val="004D5ACE"/>
    <w:rsid w:val="004E56B4"/>
    <w:rsid w:val="004E683F"/>
    <w:rsid w:val="004F09CF"/>
    <w:rsid w:val="004F29C4"/>
    <w:rsid w:val="004F2EE3"/>
    <w:rsid w:val="0051727E"/>
    <w:rsid w:val="0052053B"/>
    <w:rsid w:val="005273A8"/>
    <w:rsid w:val="005567F2"/>
    <w:rsid w:val="00574BAD"/>
    <w:rsid w:val="00580632"/>
    <w:rsid w:val="00580EC7"/>
    <w:rsid w:val="00581007"/>
    <w:rsid w:val="005828E3"/>
    <w:rsid w:val="00591CB5"/>
    <w:rsid w:val="005976E6"/>
    <w:rsid w:val="005A0686"/>
    <w:rsid w:val="005A3526"/>
    <w:rsid w:val="005A3E5A"/>
    <w:rsid w:val="005D11A8"/>
    <w:rsid w:val="005D73CA"/>
    <w:rsid w:val="005F0B44"/>
    <w:rsid w:val="005F29CF"/>
    <w:rsid w:val="005F53CA"/>
    <w:rsid w:val="005F72F9"/>
    <w:rsid w:val="005F7E95"/>
    <w:rsid w:val="00612607"/>
    <w:rsid w:val="0061520A"/>
    <w:rsid w:val="00615DCA"/>
    <w:rsid w:val="00616F32"/>
    <w:rsid w:val="00626384"/>
    <w:rsid w:val="006323CC"/>
    <w:rsid w:val="00642EB2"/>
    <w:rsid w:val="006501DF"/>
    <w:rsid w:val="0065444B"/>
    <w:rsid w:val="00660A5B"/>
    <w:rsid w:val="00681A53"/>
    <w:rsid w:val="00682310"/>
    <w:rsid w:val="006A20FE"/>
    <w:rsid w:val="006A6006"/>
    <w:rsid w:val="006A7F4A"/>
    <w:rsid w:val="006B24E4"/>
    <w:rsid w:val="006B531D"/>
    <w:rsid w:val="006C27F9"/>
    <w:rsid w:val="006C7AC4"/>
    <w:rsid w:val="006D6826"/>
    <w:rsid w:val="00700A7B"/>
    <w:rsid w:val="00710D88"/>
    <w:rsid w:val="00716953"/>
    <w:rsid w:val="0072292F"/>
    <w:rsid w:val="00724B96"/>
    <w:rsid w:val="007342E9"/>
    <w:rsid w:val="00734B68"/>
    <w:rsid w:val="0073737D"/>
    <w:rsid w:val="00756D52"/>
    <w:rsid w:val="00766C9A"/>
    <w:rsid w:val="007703B2"/>
    <w:rsid w:val="007745F1"/>
    <w:rsid w:val="00780D51"/>
    <w:rsid w:val="00794944"/>
    <w:rsid w:val="007A034D"/>
    <w:rsid w:val="007C50C7"/>
    <w:rsid w:val="007D7953"/>
    <w:rsid w:val="00803B83"/>
    <w:rsid w:val="008173F6"/>
    <w:rsid w:val="008220EE"/>
    <w:rsid w:val="00831B10"/>
    <w:rsid w:val="00840350"/>
    <w:rsid w:val="008508AB"/>
    <w:rsid w:val="00857003"/>
    <w:rsid w:val="00865074"/>
    <w:rsid w:val="00876B93"/>
    <w:rsid w:val="008A18C3"/>
    <w:rsid w:val="008B2143"/>
    <w:rsid w:val="008B44D3"/>
    <w:rsid w:val="008D07D4"/>
    <w:rsid w:val="008F77BF"/>
    <w:rsid w:val="00924A19"/>
    <w:rsid w:val="00930C30"/>
    <w:rsid w:val="009374FD"/>
    <w:rsid w:val="00940B0E"/>
    <w:rsid w:val="00946E77"/>
    <w:rsid w:val="009A080C"/>
    <w:rsid w:val="009B69E0"/>
    <w:rsid w:val="009C65F7"/>
    <w:rsid w:val="009D7432"/>
    <w:rsid w:val="009E3A98"/>
    <w:rsid w:val="009E468A"/>
    <w:rsid w:val="009E6C2B"/>
    <w:rsid w:val="009F184B"/>
    <w:rsid w:val="00A05137"/>
    <w:rsid w:val="00A07B22"/>
    <w:rsid w:val="00A20F2E"/>
    <w:rsid w:val="00A23C33"/>
    <w:rsid w:val="00A25023"/>
    <w:rsid w:val="00A33E8A"/>
    <w:rsid w:val="00A44BE5"/>
    <w:rsid w:val="00A50802"/>
    <w:rsid w:val="00A52FF6"/>
    <w:rsid w:val="00A61A05"/>
    <w:rsid w:val="00A63992"/>
    <w:rsid w:val="00A76E07"/>
    <w:rsid w:val="00A81EAE"/>
    <w:rsid w:val="00A9288F"/>
    <w:rsid w:val="00A940F5"/>
    <w:rsid w:val="00AC1316"/>
    <w:rsid w:val="00AC1738"/>
    <w:rsid w:val="00AC1832"/>
    <w:rsid w:val="00AE054D"/>
    <w:rsid w:val="00AE486E"/>
    <w:rsid w:val="00AF368A"/>
    <w:rsid w:val="00AF7289"/>
    <w:rsid w:val="00B00E18"/>
    <w:rsid w:val="00B017DC"/>
    <w:rsid w:val="00B03C18"/>
    <w:rsid w:val="00B04491"/>
    <w:rsid w:val="00B07726"/>
    <w:rsid w:val="00B125BB"/>
    <w:rsid w:val="00B16944"/>
    <w:rsid w:val="00B26C19"/>
    <w:rsid w:val="00B3022C"/>
    <w:rsid w:val="00B30B9C"/>
    <w:rsid w:val="00B365CD"/>
    <w:rsid w:val="00B40F64"/>
    <w:rsid w:val="00B5389E"/>
    <w:rsid w:val="00B61BED"/>
    <w:rsid w:val="00B635D5"/>
    <w:rsid w:val="00B67BE1"/>
    <w:rsid w:val="00B73780"/>
    <w:rsid w:val="00B74C78"/>
    <w:rsid w:val="00B75476"/>
    <w:rsid w:val="00B84169"/>
    <w:rsid w:val="00B851C4"/>
    <w:rsid w:val="00BA6A36"/>
    <w:rsid w:val="00BC739B"/>
    <w:rsid w:val="00BC7CCC"/>
    <w:rsid w:val="00BE3B00"/>
    <w:rsid w:val="00BF2CBE"/>
    <w:rsid w:val="00BF6087"/>
    <w:rsid w:val="00C011A9"/>
    <w:rsid w:val="00C10A36"/>
    <w:rsid w:val="00C11A4B"/>
    <w:rsid w:val="00C12871"/>
    <w:rsid w:val="00C1668E"/>
    <w:rsid w:val="00C20A38"/>
    <w:rsid w:val="00C25DEA"/>
    <w:rsid w:val="00C260F1"/>
    <w:rsid w:val="00C2740E"/>
    <w:rsid w:val="00C32F67"/>
    <w:rsid w:val="00C3492F"/>
    <w:rsid w:val="00C363B5"/>
    <w:rsid w:val="00C406B3"/>
    <w:rsid w:val="00C46AAC"/>
    <w:rsid w:val="00C542A6"/>
    <w:rsid w:val="00C578BC"/>
    <w:rsid w:val="00C57C37"/>
    <w:rsid w:val="00C603A4"/>
    <w:rsid w:val="00C67B73"/>
    <w:rsid w:val="00C74985"/>
    <w:rsid w:val="00C74F10"/>
    <w:rsid w:val="00C8262C"/>
    <w:rsid w:val="00C84805"/>
    <w:rsid w:val="00C86F93"/>
    <w:rsid w:val="00C965D0"/>
    <w:rsid w:val="00CB28C4"/>
    <w:rsid w:val="00CB52E6"/>
    <w:rsid w:val="00CB63CA"/>
    <w:rsid w:val="00CC55A1"/>
    <w:rsid w:val="00CD4D0C"/>
    <w:rsid w:val="00CD5247"/>
    <w:rsid w:val="00CF39AD"/>
    <w:rsid w:val="00CF4A7A"/>
    <w:rsid w:val="00CF50E2"/>
    <w:rsid w:val="00D06E6F"/>
    <w:rsid w:val="00D1361B"/>
    <w:rsid w:val="00D22037"/>
    <w:rsid w:val="00D2346A"/>
    <w:rsid w:val="00D24C95"/>
    <w:rsid w:val="00D27AF6"/>
    <w:rsid w:val="00D32D3D"/>
    <w:rsid w:val="00D40367"/>
    <w:rsid w:val="00D4262D"/>
    <w:rsid w:val="00D5002C"/>
    <w:rsid w:val="00D57474"/>
    <w:rsid w:val="00D6333F"/>
    <w:rsid w:val="00D923EB"/>
    <w:rsid w:val="00D96AF7"/>
    <w:rsid w:val="00DA01A6"/>
    <w:rsid w:val="00DA030D"/>
    <w:rsid w:val="00DB05D7"/>
    <w:rsid w:val="00DB1F05"/>
    <w:rsid w:val="00DB5EF4"/>
    <w:rsid w:val="00DB6CB0"/>
    <w:rsid w:val="00DC3AD9"/>
    <w:rsid w:val="00DE465F"/>
    <w:rsid w:val="00DF33FD"/>
    <w:rsid w:val="00E01866"/>
    <w:rsid w:val="00E02BC6"/>
    <w:rsid w:val="00E032E4"/>
    <w:rsid w:val="00E03CA3"/>
    <w:rsid w:val="00E149C4"/>
    <w:rsid w:val="00E3276F"/>
    <w:rsid w:val="00E4329F"/>
    <w:rsid w:val="00E55B7F"/>
    <w:rsid w:val="00E6293B"/>
    <w:rsid w:val="00E65ED5"/>
    <w:rsid w:val="00E67968"/>
    <w:rsid w:val="00E679A0"/>
    <w:rsid w:val="00E733A3"/>
    <w:rsid w:val="00E7492C"/>
    <w:rsid w:val="00E759DD"/>
    <w:rsid w:val="00E97B63"/>
    <w:rsid w:val="00EA5078"/>
    <w:rsid w:val="00EA5D54"/>
    <w:rsid w:val="00EA7851"/>
    <w:rsid w:val="00ED6670"/>
    <w:rsid w:val="00EE2387"/>
    <w:rsid w:val="00EE512A"/>
    <w:rsid w:val="00EF2805"/>
    <w:rsid w:val="00EF5B81"/>
    <w:rsid w:val="00EF6D84"/>
    <w:rsid w:val="00F00789"/>
    <w:rsid w:val="00F06DCF"/>
    <w:rsid w:val="00F075C1"/>
    <w:rsid w:val="00F11065"/>
    <w:rsid w:val="00F1179B"/>
    <w:rsid w:val="00F152E4"/>
    <w:rsid w:val="00F2016F"/>
    <w:rsid w:val="00F33000"/>
    <w:rsid w:val="00F60B6E"/>
    <w:rsid w:val="00F65DFE"/>
    <w:rsid w:val="00F828BD"/>
    <w:rsid w:val="00F90051"/>
    <w:rsid w:val="00FB09F4"/>
    <w:rsid w:val="00FB4F1D"/>
    <w:rsid w:val="00FC560B"/>
    <w:rsid w:val="00FD3092"/>
    <w:rsid w:val="00FD5EE3"/>
    <w:rsid w:val="00FE0F77"/>
    <w:rsid w:val="00FE26EC"/>
    <w:rsid w:val="00FE302F"/>
    <w:rsid w:val="00FF2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none"/>
    </o:shapedefaults>
    <o:shapelayout v:ext="edit">
      <o:idmap v:ext="edit" data="1"/>
    </o:shapelayout>
  </w:shapeDefaults>
  <w:decimalSymbol w:val="."/>
  <w:listSeparator w:val=","/>
  <w14:docId w14:val="68E2C173"/>
  <w15:docId w15:val="{78923926-5321-42C9-B3B0-C52256F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9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152950"/>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152950"/>
    <w:pPr>
      <w:ind w:left="720"/>
      <w:contextualSpacing/>
    </w:pPr>
    <w:rPr>
      <w:rFonts w:eastAsiaTheme="minorEastAsia"/>
    </w:rPr>
  </w:style>
  <w:style w:type="character" w:styleId="CommentReference">
    <w:name w:val="annotation reference"/>
    <w:basedOn w:val="DefaultParagraphFont"/>
    <w:uiPriority w:val="99"/>
    <w:semiHidden/>
    <w:unhideWhenUsed/>
    <w:rsid w:val="005F53CA"/>
    <w:rPr>
      <w:sz w:val="16"/>
      <w:szCs w:val="16"/>
    </w:rPr>
  </w:style>
  <w:style w:type="paragraph" w:styleId="CommentText">
    <w:name w:val="annotation text"/>
    <w:basedOn w:val="Normal"/>
    <w:link w:val="CommentTextChar"/>
    <w:uiPriority w:val="99"/>
    <w:semiHidden/>
    <w:unhideWhenUsed/>
    <w:rsid w:val="005F53CA"/>
    <w:pPr>
      <w:spacing w:line="240" w:lineRule="auto"/>
    </w:pPr>
    <w:rPr>
      <w:sz w:val="20"/>
      <w:szCs w:val="20"/>
    </w:rPr>
  </w:style>
  <w:style w:type="character" w:customStyle="1" w:styleId="CommentTextChar">
    <w:name w:val="Comment Text Char"/>
    <w:basedOn w:val="DefaultParagraphFont"/>
    <w:link w:val="CommentText"/>
    <w:uiPriority w:val="99"/>
    <w:semiHidden/>
    <w:rsid w:val="005F53CA"/>
    <w:rPr>
      <w:sz w:val="20"/>
      <w:szCs w:val="20"/>
    </w:rPr>
  </w:style>
  <w:style w:type="paragraph" w:styleId="CommentSubject">
    <w:name w:val="annotation subject"/>
    <w:basedOn w:val="CommentText"/>
    <w:next w:val="CommentText"/>
    <w:link w:val="CommentSubjectChar"/>
    <w:uiPriority w:val="99"/>
    <w:semiHidden/>
    <w:unhideWhenUsed/>
    <w:rsid w:val="005F53CA"/>
    <w:rPr>
      <w:b/>
      <w:bCs/>
    </w:rPr>
  </w:style>
  <w:style w:type="character" w:customStyle="1" w:styleId="CommentSubjectChar">
    <w:name w:val="Comment Subject Char"/>
    <w:basedOn w:val="CommentTextChar"/>
    <w:link w:val="CommentSubject"/>
    <w:uiPriority w:val="99"/>
    <w:semiHidden/>
    <w:rsid w:val="005F53CA"/>
    <w:rPr>
      <w:b/>
      <w:bCs/>
      <w:sz w:val="20"/>
      <w:szCs w:val="20"/>
    </w:rPr>
  </w:style>
  <w:style w:type="paragraph" w:styleId="BalloonText">
    <w:name w:val="Balloon Text"/>
    <w:basedOn w:val="Normal"/>
    <w:link w:val="BalloonTextChar"/>
    <w:uiPriority w:val="99"/>
    <w:semiHidden/>
    <w:unhideWhenUsed/>
    <w:rsid w:val="005F5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3CA"/>
    <w:rPr>
      <w:rFonts w:ascii="Segoe UI" w:hAnsi="Segoe UI" w:cs="Segoe UI"/>
      <w:sz w:val="18"/>
      <w:szCs w:val="18"/>
    </w:rPr>
  </w:style>
  <w:style w:type="character" w:styleId="Hyperlink">
    <w:name w:val="Hyperlink"/>
    <w:basedOn w:val="DefaultParagraphFont"/>
    <w:uiPriority w:val="99"/>
    <w:unhideWhenUsed/>
    <w:rsid w:val="00C10A36"/>
    <w:rPr>
      <w:color w:val="0563C1" w:themeColor="hyperlink"/>
      <w:u w:val="single"/>
    </w:rPr>
  </w:style>
  <w:style w:type="character" w:customStyle="1" w:styleId="UnresolvedMention1">
    <w:name w:val="Unresolved Mention1"/>
    <w:basedOn w:val="DefaultParagraphFont"/>
    <w:uiPriority w:val="99"/>
    <w:semiHidden/>
    <w:unhideWhenUsed/>
    <w:rsid w:val="00C10A36"/>
    <w:rPr>
      <w:color w:val="808080"/>
      <w:shd w:val="clear" w:color="auto" w:fill="E6E6E6"/>
    </w:rPr>
  </w:style>
  <w:style w:type="paragraph" w:styleId="Revision">
    <w:name w:val="Revision"/>
    <w:hidden/>
    <w:uiPriority w:val="99"/>
    <w:semiHidden/>
    <w:rsid w:val="003C5D7F"/>
    <w:pPr>
      <w:spacing w:after="0" w:line="240" w:lineRule="auto"/>
    </w:pPr>
  </w:style>
  <w:style w:type="character" w:customStyle="1" w:styleId="UnresolvedMention2">
    <w:name w:val="Unresolved Mention2"/>
    <w:basedOn w:val="DefaultParagraphFont"/>
    <w:uiPriority w:val="99"/>
    <w:semiHidden/>
    <w:unhideWhenUsed/>
    <w:rsid w:val="004C11BD"/>
    <w:rPr>
      <w:color w:val="808080"/>
      <w:shd w:val="clear" w:color="auto" w:fill="E6E6E6"/>
    </w:rPr>
  </w:style>
  <w:style w:type="character" w:customStyle="1" w:styleId="UnresolvedMention3">
    <w:name w:val="Unresolved Mention3"/>
    <w:basedOn w:val="DefaultParagraphFont"/>
    <w:uiPriority w:val="99"/>
    <w:semiHidden/>
    <w:unhideWhenUsed/>
    <w:rsid w:val="00CB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n.org.uk/professional-development/publications/pub-004197https://www2.rcn.org.uk/__data/assets/pdf_file/0008/433736/004197.pdf"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Isobel.Mason@CrohnsandColitis.org,uk"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onleary@yahoo.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hsj.co.uk/Uploads/2015/02/25/f/c/y/HSJ-Workforce-Supplement-15022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F4A9F-07B5-43F5-A37D-1B92BADA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Leary, Alison</cp:lastModifiedBy>
  <cp:revision>2</cp:revision>
  <cp:lastPrinted>2018-07-01T11:27:00Z</cp:lastPrinted>
  <dcterms:created xsi:type="dcterms:W3CDTF">2018-07-20T10:04:00Z</dcterms:created>
  <dcterms:modified xsi:type="dcterms:W3CDTF">2018-07-20T10:04:00Z</dcterms:modified>
</cp:coreProperties>
</file>