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DDB2A" w14:textId="77777777" w:rsidR="00B3456D" w:rsidRDefault="00B3456D" w:rsidP="00A32CBE">
      <w:pPr>
        <w:rPr>
          <w:rFonts w:ascii="Times New Roman" w:hAnsi="Times New Roman" w:cs="Times New Roman"/>
          <w:b/>
          <w:sz w:val="28"/>
          <w:szCs w:val="28"/>
        </w:rPr>
      </w:pPr>
    </w:p>
    <w:p w14:paraId="491DC8A1" w14:textId="77777777" w:rsidR="00B3456D" w:rsidRDefault="00B3456D" w:rsidP="002A303C">
      <w:pPr>
        <w:jc w:val="center"/>
        <w:rPr>
          <w:rFonts w:ascii="Times New Roman" w:hAnsi="Times New Roman" w:cs="Times New Roman"/>
          <w:b/>
          <w:sz w:val="28"/>
          <w:szCs w:val="28"/>
        </w:rPr>
      </w:pPr>
    </w:p>
    <w:p w14:paraId="16A69152" w14:textId="6259A16E" w:rsidR="009242CC" w:rsidRPr="004F0BEB" w:rsidRDefault="009242CC" w:rsidP="009242CC">
      <w:pPr>
        <w:jc w:val="center"/>
        <w:rPr>
          <w:rFonts w:ascii="Times New Roman" w:hAnsi="Times New Roman" w:cs="Times New Roman"/>
          <w:b/>
        </w:rPr>
      </w:pPr>
      <w:r w:rsidRPr="004F0BEB">
        <w:rPr>
          <w:rFonts w:ascii="Times New Roman" w:hAnsi="Times New Roman" w:cs="Times New Roman"/>
          <w:b/>
        </w:rPr>
        <w:t xml:space="preserve">How </w:t>
      </w:r>
      <w:r w:rsidR="00CF26DC" w:rsidRPr="004F0BEB">
        <w:rPr>
          <w:rFonts w:ascii="Times New Roman" w:hAnsi="Times New Roman" w:cs="Times New Roman"/>
          <w:b/>
        </w:rPr>
        <w:t>markets grow</w:t>
      </w:r>
      <w:r w:rsidRPr="004F0BEB">
        <w:rPr>
          <w:rFonts w:ascii="Times New Roman" w:hAnsi="Times New Roman" w:cs="Times New Roman"/>
          <w:b/>
        </w:rPr>
        <w:t xml:space="preserve">. </w:t>
      </w:r>
      <w:r w:rsidR="00CF26DC" w:rsidRPr="004F0BEB">
        <w:rPr>
          <w:rFonts w:ascii="Times New Roman" w:hAnsi="Times New Roman" w:cs="Times New Roman"/>
          <w:b/>
        </w:rPr>
        <w:t>The f</w:t>
      </w:r>
      <w:r w:rsidRPr="004F0BEB">
        <w:rPr>
          <w:rFonts w:ascii="Times New Roman" w:hAnsi="Times New Roman" w:cs="Times New Roman"/>
          <w:b/>
        </w:rPr>
        <w:t xml:space="preserve">actors associated with </w:t>
      </w:r>
      <w:r w:rsidR="00CF26DC" w:rsidRPr="004F0BEB">
        <w:rPr>
          <w:rFonts w:ascii="Times New Roman" w:hAnsi="Times New Roman" w:cs="Times New Roman"/>
          <w:b/>
        </w:rPr>
        <w:t>category expansion.</w:t>
      </w:r>
    </w:p>
    <w:p w14:paraId="0F21BF8C" w14:textId="77777777" w:rsidR="002A303C" w:rsidRDefault="002A303C" w:rsidP="002A303C">
      <w:pPr>
        <w:jc w:val="center"/>
        <w:rPr>
          <w:rFonts w:ascii="Times New Roman" w:hAnsi="Times New Roman" w:cs="Times New Roman"/>
          <w:b/>
          <w:sz w:val="28"/>
          <w:szCs w:val="28"/>
        </w:rPr>
      </w:pPr>
    </w:p>
    <w:p w14:paraId="1CBE1FA6" w14:textId="77777777" w:rsidR="002A303C" w:rsidRDefault="002A303C" w:rsidP="002A303C">
      <w:pPr>
        <w:jc w:val="center"/>
        <w:rPr>
          <w:rFonts w:ascii="Times New Roman" w:hAnsi="Times New Roman" w:cs="Times New Roman"/>
        </w:rPr>
      </w:pPr>
    </w:p>
    <w:p w14:paraId="44D0E936" w14:textId="77777777" w:rsidR="002A303C" w:rsidRDefault="002A303C" w:rsidP="002A303C">
      <w:pPr>
        <w:rPr>
          <w:rFonts w:ascii="Times New Roman" w:hAnsi="Times New Roman" w:cs="Times New Roman"/>
          <w:b/>
        </w:rPr>
      </w:pPr>
    </w:p>
    <w:p w14:paraId="1D8FA884" w14:textId="77777777" w:rsidR="00A32CBE" w:rsidRDefault="00A32CBE" w:rsidP="002A303C">
      <w:pPr>
        <w:rPr>
          <w:rFonts w:ascii="Times New Roman" w:hAnsi="Times New Roman" w:cs="Times New Roman"/>
          <w:b/>
        </w:rPr>
      </w:pPr>
    </w:p>
    <w:p w14:paraId="2B409903" w14:textId="77777777" w:rsidR="002A303C" w:rsidRDefault="002A303C" w:rsidP="002A303C">
      <w:pPr>
        <w:rPr>
          <w:rFonts w:ascii="Times New Roman" w:hAnsi="Times New Roman" w:cs="Times New Roman"/>
          <w:b/>
        </w:rPr>
      </w:pPr>
    </w:p>
    <w:p w14:paraId="683ABF63" w14:textId="77777777" w:rsidR="002A303C" w:rsidRDefault="002A303C" w:rsidP="002A303C">
      <w:pPr>
        <w:rPr>
          <w:rFonts w:ascii="Times New Roman" w:hAnsi="Times New Roman" w:cs="Times New Roman"/>
          <w:b/>
        </w:rPr>
      </w:pPr>
    </w:p>
    <w:p w14:paraId="30CD14C1" w14:textId="6AC7E9C6" w:rsidR="002A303C" w:rsidRDefault="005433EC" w:rsidP="002A303C">
      <w:pPr>
        <w:rPr>
          <w:rFonts w:ascii="Times New Roman" w:hAnsi="Times New Roman" w:cs="Times New Roman"/>
          <w:b/>
        </w:rPr>
      </w:pPr>
      <w:r>
        <w:rPr>
          <w:rFonts w:ascii="Times New Roman" w:hAnsi="Times New Roman" w:cs="Times New Roman"/>
          <w:b/>
        </w:rPr>
        <w:t xml:space="preserve">Short </w:t>
      </w:r>
      <w:r w:rsidR="002A303C">
        <w:rPr>
          <w:rFonts w:ascii="Times New Roman" w:hAnsi="Times New Roman" w:cs="Times New Roman"/>
          <w:b/>
        </w:rPr>
        <w:t>Abstract</w:t>
      </w:r>
    </w:p>
    <w:p w14:paraId="46A1F725" w14:textId="251D0ED2" w:rsidR="002A303C" w:rsidRPr="00620615" w:rsidRDefault="004D0692" w:rsidP="002A303C">
      <w:pPr>
        <w:rPr>
          <w:rFonts w:ascii="Times New Roman" w:hAnsi="Times New Roman" w:cs="Times New Roman"/>
          <w:lang w:val="en-US"/>
        </w:rPr>
      </w:pPr>
      <w:r>
        <w:rPr>
          <w:rFonts w:ascii="Times New Roman" w:hAnsi="Times New Roman" w:cs="Times New Roman"/>
          <w:lang w:val="en-US"/>
        </w:rPr>
        <w:t xml:space="preserve">We </w:t>
      </w:r>
      <w:r w:rsidR="00F22BB5" w:rsidRPr="00F22BB5">
        <w:rPr>
          <w:rFonts w:ascii="Times New Roman" w:hAnsi="Times New Roman" w:cs="Times New Roman"/>
          <w:lang w:val="en-US"/>
        </w:rPr>
        <w:t xml:space="preserve">advance knowledge of </w:t>
      </w:r>
      <w:r w:rsidR="00F22BB5" w:rsidRPr="00620615">
        <w:rPr>
          <w:rFonts w:ascii="Times New Roman" w:hAnsi="Times New Roman" w:cs="Times New Roman"/>
          <w:bCs/>
          <w:lang w:val="en-US"/>
        </w:rPr>
        <w:t xml:space="preserve">category growth </w:t>
      </w:r>
      <w:r w:rsidR="00E44337">
        <w:rPr>
          <w:rFonts w:ascii="Times New Roman" w:hAnsi="Times New Roman" w:cs="Times New Roman"/>
          <w:bCs/>
          <w:lang w:val="en-US"/>
        </w:rPr>
        <w:t xml:space="preserve">in </w:t>
      </w:r>
      <w:r w:rsidR="00F6178F">
        <w:rPr>
          <w:rFonts w:ascii="Times New Roman" w:hAnsi="Times New Roman" w:cs="Times New Roman"/>
          <w:bCs/>
          <w:lang w:val="en-US"/>
        </w:rPr>
        <w:t>developed</w:t>
      </w:r>
      <w:r w:rsidR="00E44337">
        <w:rPr>
          <w:rFonts w:ascii="Times New Roman" w:hAnsi="Times New Roman" w:cs="Times New Roman"/>
          <w:bCs/>
          <w:lang w:val="en-US"/>
        </w:rPr>
        <w:t xml:space="preserve"> markets</w:t>
      </w:r>
      <w:r>
        <w:rPr>
          <w:rFonts w:ascii="Times New Roman" w:hAnsi="Times New Roman" w:cs="Times New Roman"/>
          <w:bCs/>
          <w:lang w:val="en-US"/>
        </w:rPr>
        <w:t>,</w:t>
      </w:r>
      <w:r w:rsidR="00F22BB5" w:rsidRPr="00F22BB5">
        <w:rPr>
          <w:rFonts w:ascii="Times New Roman" w:hAnsi="Times New Roman" w:cs="Times New Roman"/>
          <w:lang w:val="en-US"/>
        </w:rPr>
        <w:t xml:space="preserve"> </w:t>
      </w:r>
      <w:r>
        <w:rPr>
          <w:rFonts w:ascii="Times New Roman" w:hAnsi="Times New Roman" w:cs="Times New Roman"/>
          <w:lang w:val="en-US"/>
        </w:rPr>
        <w:t>identifying</w:t>
      </w:r>
      <w:r w:rsidR="00F22BB5" w:rsidRPr="00F22BB5">
        <w:rPr>
          <w:rFonts w:ascii="Times New Roman" w:hAnsi="Times New Roman" w:cs="Times New Roman"/>
          <w:lang w:val="en-US"/>
        </w:rPr>
        <w:t xml:space="preserve"> </w:t>
      </w:r>
      <w:r>
        <w:rPr>
          <w:rFonts w:ascii="Times New Roman" w:hAnsi="Times New Roman" w:cs="Times New Roman"/>
          <w:lang w:val="en-US"/>
        </w:rPr>
        <w:t>the</w:t>
      </w:r>
      <w:r w:rsidR="00F22BB5" w:rsidRPr="00F22BB5">
        <w:rPr>
          <w:rFonts w:ascii="Times New Roman" w:hAnsi="Times New Roman" w:cs="Times New Roman"/>
          <w:lang w:val="en-US"/>
        </w:rPr>
        <w:t xml:space="preserve"> factors</w:t>
      </w:r>
      <w:r w:rsidR="00423AC2">
        <w:rPr>
          <w:rFonts w:ascii="Times New Roman" w:hAnsi="Times New Roman" w:cs="Times New Roman"/>
          <w:lang w:val="en-US"/>
        </w:rPr>
        <w:t xml:space="preserve"> </w:t>
      </w:r>
      <w:r w:rsidR="004D5002">
        <w:rPr>
          <w:rFonts w:ascii="Times New Roman" w:hAnsi="Times New Roman" w:cs="Times New Roman"/>
          <w:lang w:val="en-US"/>
        </w:rPr>
        <w:t xml:space="preserve">under </w:t>
      </w:r>
      <w:r w:rsidR="00423AC2">
        <w:rPr>
          <w:rFonts w:ascii="Times New Roman" w:hAnsi="Times New Roman" w:cs="Times New Roman"/>
          <w:lang w:val="en-US"/>
        </w:rPr>
        <w:t>manufacturer control</w:t>
      </w:r>
      <w:r w:rsidR="00F22BB5" w:rsidRPr="00F22BB5">
        <w:rPr>
          <w:rFonts w:ascii="Times New Roman" w:hAnsi="Times New Roman" w:cs="Times New Roman"/>
          <w:lang w:val="en-US"/>
        </w:rPr>
        <w:t xml:space="preserve"> </w:t>
      </w:r>
      <w:r>
        <w:rPr>
          <w:rFonts w:ascii="Times New Roman" w:hAnsi="Times New Roman" w:cs="Times New Roman"/>
          <w:lang w:val="en-US"/>
        </w:rPr>
        <w:t xml:space="preserve">that </w:t>
      </w:r>
      <w:r w:rsidR="00F22BB5" w:rsidRPr="00F22BB5">
        <w:rPr>
          <w:rFonts w:ascii="Times New Roman" w:hAnsi="Times New Roman" w:cs="Times New Roman"/>
          <w:lang w:val="en-US"/>
        </w:rPr>
        <w:t xml:space="preserve">are consistently associated with change in </w:t>
      </w:r>
      <w:r w:rsidR="004D5002">
        <w:rPr>
          <w:rFonts w:ascii="Times New Roman" w:hAnsi="Times New Roman" w:cs="Times New Roman"/>
          <w:lang w:val="en-US"/>
        </w:rPr>
        <w:t xml:space="preserve">category </w:t>
      </w:r>
      <w:r w:rsidR="00F22BB5" w:rsidRPr="00F22BB5">
        <w:rPr>
          <w:rFonts w:ascii="Times New Roman" w:hAnsi="Times New Roman" w:cs="Times New Roman"/>
          <w:lang w:val="en-US"/>
        </w:rPr>
        <w:t xml:space="preserve">sales </w:t>
      </w:r>
      <w:r w:rsidR="00795C72">
        <w:rPr>
          <w:rFonts w:ascii="Times New Roman" w:hAnsi="Times New Roman" w:cs="Times New Roman"/>
          <w:lang w:val="en-US"/>
        </w:rPr>
        <w:t>level</w:t>
      </w:r>
      <w:r w:rsidR="004D5002">
        <w:rPr>
          <w:rFonts w:ascii="Times New Roman" w:hAnsi="Times New Roman" w:cs="Times New Roman"/>
          <w:lang w:val="en-US"/>
        </w:rPr>
        <w:t>.</w:t>
      </w:r>
      <w:r w:rsidR="00795C72">
        <w:rPr>
          <w:rFonts w:ascii="Times New Roman" w:hAnsi="Times New Roman" w:cs="Times New Roman"/>
          <w:lang w:val="en-US"/>
        </w:rPr>
        <w:t xml:space="preserve"> </w:t>
      </w:r>
      <w:r w:rsidR="00B21304">
        <w:rPr>
          <w:rFonts w:ascii="Times New Roman" w:hAnsi="Times New Roman" w:cs="Times New Roman"/>
          <w:lang w:val="en-US"/>
        </w:rPr>
        <w:t>T</w:t>
      </w:r>
      <w:r w:rsidR="00B21304" w:rsidRPr="00B21304">
        <w:rPr>
          <w:rFonts w:ascii="Times New Roman" w:hAnsi="Times New Roman" w:cs="Times New Roman"/>
          <w:lang w:val="en-US"/>
        </w:rPr>
        <w:t>he analysis is based on</w:t>
      </w:r>
      <w:r w:rsidR="00C44D06">
        <w:rPr>
          <w:rFonts w:ascii="Times New Roman" w:hAnsi="Times New Roman" w:cs="Times New Roman"/>
          <w:lang w:val="en-US"/>
        </w:rPr>
        <w:t xml:space="preserve"> </w:t>
      </w:r>
      <w:r w:rsidR="004D5002">
        <w:rPr>
          <w:rFonts w:ascii="Times New Roman" w:hAnsi="Times New Roman" w:cs="Times New Roman"/>
          <w:lang w:val="en-US"/>
        </w:rPr>
        <w:t xml:space="preserve">scanner </w:t>
      </w:r>
      <w:r w:rsidR="00C44D06">
        <w:rPr>
          <w:rFonts w:ascii="Times New Roman" w:hAnsi="Times New Roman" w:cs="Times New Roman"/>
          <w:lang w:val="en-US"/>
        </w:rPr>
        <w:t xml:space="preserve">data from four developed markets, 20 packaged goods categories, </w:t>
      </w:r>
      <w:r w:rsidR="004D5002">
        <w:rPr>
          <w:rFonts w:ascii="Times New Roman" w:hAnsi="Times New Roman" w:cs="Times New Roman"/>
          <w:lang w:val="en-US"/>
        </w:rPr>
        <w:t>over</w:t>
      </w:r>
      <w:r w:rsidR="00C44D06">
        <w:rPr>
          <w:rFonts w:ascii="Times New Roman" w:hAnsi="Times New Roman" w:cs="Times New Roman"/>
          <w:lang w:val="en-US"/>
        </w:rPr>
        <w:t xml:space="preserve"> 6-8 years.</w:t>
      </w:r>
      <w:r w:rsidR="00B21304" w:rsidRPr="00B21304">
        <w:rPr>
          <w:rFonts w:ascii="Times New Roman" w:hAnsi="Times New Roman" w:cs="Times New Roman"/>
          <w:lang w:val="en-US"/>
        </w:rPr>
        <w:t xml:space="preserve"> </w:t>
      </w:r>
      <w:r w:rsidR="00B21304">
        <w:rPr>
          <w:rFonts w:ascii="Times New Roman" w:hAnsi="Times New Roman" w:cs="Times New Roman"/>
          <w:lang w:val="en-US"/>
        </w:rPr>
        <w:t>We find that</w:t>
      </w:r>
      <w:r w:rsidR="00C44D06">
        <w:rPr>
          <w:rFonts w:ascii="Times New Roman" w:hAnsi="Times New Roman" w:cs="Times New Roman"/>
          <w:lang w:val="en-US"/>
        </w:rPr>
        <w:t xml:space="preserve"> of all factors,</w:t>
      </w:r>
      <w:r w:rsidR="00B21304">
        <w:rPr>
          <w:rFonts w:ascii="Times New Roman" w:hAnsi="Times New Roman" w:cs="Times New Roman"/>
          <w:lang w:val="en-US"/>
        </w:rPr>
        <w:t xml:space="preserve"> </w:t>
      </w:r>
      <w:r w:rsidR="00C44D06">
        <w:rPr>
          <w:rFonts w:ascii="Times New Roman" w:hAnsi="Times New Roman" w:cs="Times New Roman"/>
          <w:lang w:val="en-US"/>
        </w:rPr>
        <w:t xml:space="preserve">change in </w:t>
      </w:r>
      <w:r w:rsidR="00B21304">
        <w:rPr>
          <w:rFonts w:ascii="Times New Roman" w:hAnsi="Times New Roman" w:cs="Times New Roman"/>
          <w:lang w:val="en-US"/>
        </w:rPr>
        <w:t xml:space="preserve">price per </w:t>
      </w:r>
      <w:r w:rsidR="003961AB">
        <w:rPr>
          <w:rFonts w:ascii="Times New Roman" w:hAnsi="Times New Roman" w:cs="Times New Roman"/>
          <w:lang w:val="en-US"/>
        </w:rPr>
        <w:t>volume</w:t>
      </w:r>
      <w:r w:rsidR="00B21304">
        <w:rPr>
          <w:rFonts w:ascii="Times New Roman" w:hAnsi="Times New Roman" w:cs="Times New Roman"/>
          <w:lang w:val="en-US"/>
        </w:rPr>
        <w:t xml:space="preserve"> </w:t>
      </w:r>
      <w:r w:rsidR="00C44D06">
        <w:rPr>
          <w:rFonts w:ascii="Times New Roman" w:hAnsi="Times New Roman" w:cs="Times New Roman"/>
          <w:lang w:val="en-US"/>
        </w:rPr>
        <w:t>ha</w:t>
      </w:r>
      <w:r w:rsidR="004D5002">
        <w:rPr>
          <w:rFonts w:ascii="Times New Roman" w:hAnsi="Times New Roman" w:cs="Times New Roman"/>
          <w:lang w:val="en-US"/>
        </w:rPr>
        <w:t>s</w:t>
      </w:r>
      <w:r w:rsidR="00B21304">
        <w:rPr>
          <w:rFonts w:ascii="Times New Roman" w:hAnsi="Times New Roman" w:cs="Times New Roman"/>
          <w:lang w:val="en-US"/>
        </w:rPr>
        <w:t xml:space="preserve"> the </w:t>
      </w:r>
      <w:r w:rsidR="00C44D06">
        <w:rPr>
          <w:rFonts w:ascii="Times New Roman" w:hAnsi="Times New Roman" w:cs="Times New Roman"/>
          <w:lang w:val="en-US"/>
        </w:rPr>
        <w:t>strongest</w:t>
      </w:r>
      <w:r w:rsidR="00B21304">
        <w:rPr>
          <w:rFonts w:ascii="Times New Roman" w:hAnsi="Times New Roman" w:cs="Times New Roman"/>
          <w:lang w:val="en-US"/>
        </w:rPr>
        <w:t xml:space="preserve"> association with change in category sales</w:t>
      </w:r>
      <w:r w:rsidR="005433EC">
        <w:rPr>
          <w:rFonts w:ascii="Times New Roman" w:hAnsi="Times New Roman" w:cs="Times New Roman"/>
          <w:lang w:val="en-US"/>
        </w:rPr>
        <w:t>,</w:t>
      </w:r>
      <w:r w:rsidR="00B21304">
        <w:rPr>
          <w:rFonts w:ascii="Times New Roman" w:hAnsi="Times New Roman" w:cs="Times New Roman"/>
          <w:lang w:val="en-US"/>
        </w:rPr>
        <w:t xml:space="preserve"> followed by</w:t>
      </w:r>
      <w:r w:rsidR="00C44D06">
        <w:rPr>
          <w:rFonts w:ascii="Times New Roman" w:hAnsi="Times New Roman" w:cs="Times New Roman"/>
          <w:lang w:val="en-US"/>
        </w:rPr>
        <w:t xml:space="preserve"> change in</w:t>
      </w:r>
      <w:r w:rsidR="00B21304">
        <w:rPr>
          <w:rFonts w:ascii="Times New Roman" w:hAnsi="Times New Roman" w:cs="Times New Roman"/>
          <w:lang w:val="en-US"/>
        </w:rPr>
        <w:t xml:space="preserve"> the number of SKUs. </w:t>
      </w:r>
      <w:r w:rsidR="00C71F28">
        <w:rPr>
          <w:rFonts w:ascii="Times New Roman" w:hAnsi="Times New Roman" w:cs="Times New Roman"/>
          <w:lang w:val="en-US"/>
        </w:rPr>
        <w:t xml:space="preserve">The intensity of price promotions in the category </w:t>
      </w:r>
      <w:r w:rsidR="00C44D06">
        <w:rPr>
          <w:rFonts w:ascii="Times New Roman" w:hAnsi="Times New Roman" w:cs="Times New Roman"/>
          <w:lang w:val="en-US"/>
        </w:rPr>
        <w:t>has</w:t>
      </w:r>
      <w:r w:rsidR="00C71F28">
        <w:rPr>
          <w:rFonts w:ascii="Times New Roman" w:hAnsi="Times New Roman" w:cs="Times New Roman"/>
          <w:lang w:val="en-US"/>
        </w:rPr>
        <w:t xml:space="preserve"> no relationship with category sales</w:t>
      </w:r>
      <w:r w:rsidR="004D5002">
        <w:rPr>
          <w:rFonts w:ascii="Times New Roman" w:hAnsi="Times New Roman" w:cs="Times New Roman"/>
          <w:lang w:val="en-US"/>
        </w:rPr>
        <w:t xml:space="preserve"> increase</w:t>
      </w:r>
      <w:r w:rsidR="00C71F28">
        <w:rPr>
          <w:rFonts w:ascii="Times New Roman" w:hAnsi="Times New Roman" w:cs="Times New Roman"/>
          <w:lang w:val="en-US"/>
        </w:rPr>
        <w:t xml:space="preserve">. </w:t>
      </w:r>
      <w:r w:rsidR="004D5002">
        <w:rPr>
          <w:rFonts w:ascii="Times New Roman" w:hAnsi="Times New Roman" w:cs="Times New Roman"/>
          <w:lang w:val="en-US"/>
        </w:rPr>
        <w:t>C</w:t>
      </w:r>
      <w:r w:rsidR="00C71F28">
        <w:rPr>
          <w:rFonts w:ascii="Times New Roman" w:hAnsi="Times New Roman" w:cs="Times New Roman"/>
          <w:lang w:val="en-US"/>
        </w:rPr>
        <w:t xml:space="preserve">ategory maturity, in terms of </w:t>
      </w:r>
      <w:r w:rsidR="004D5002">
        <w:rPr>
          <w:rFonts w:ascii="Times New Roman" w:hAnsi="Times New Roman" w:cs="Times New Roman"/>
          <w:lang w:val="en-US"/>
        </w:rPr>
        <w:t>relative</w:t>
      </w:r>
      <w:r w:rsidR="00C71F28">
        <w:rPr>
          <w:rFonts w:ascii="Times New Roman" w:hAnsi="Times New Roman" w:cs="Times New Roman"/>
          <w:lang w:val="en-US"/>
        </w:rPr>
        <w:t xml:space="preserve"> quarterly penetration</w:t>
      </w:r>
      <w:r w:rsidR="004D5002">
        <w:rPr>
          <w:rFonts w:ascii="Times New Roman" w:hAnsi="Times New Roman" w:cs="Times New Roman"/>
          <w:lang w:val="en-US"/>
        </w:rPr>
        <w:t>,</w:t>
      </w:r>
      <w:r w:rsidR="00C71F28">
        <w:rPr>
          <w:rFonts w:ascii="Times New Roman" w:hAnsi="Times New Roman" w:cs="Times New Roman"/>
          <w:lang w:val="en-US"/>
        </w:rPr>
        <w:t xml:space="preserve"> is </w:t>
      </w:r>
      <w:r w:rsidR="004D5002">
        <w:rPr>
          <w:rFonts w:ascii="Times New Roman" w:hAnsi="Times New Roman" w:cs="Times New Roman"/>
          <w:lang w:val="en-US"/>
        </w:rPr>
        <w:t>an important</w:t>
      </w:r>
      <w:r w:rsidR="00C71F28">
        <w:rPr>
          <w:rFonts w:ascii="Times New Roman" w:hAnsi="Times New Roman" w:cs="Times New Roman"/>
          <w:lang w:val="en-US"/>
        </w:rPr>
        <w:t xml:space="preserve"> </w:t>
      </w:r>
      <w:r w:rsidR="004D5002">
        <w:rPr>
          <w:rFonts w:ascii="Times New Roman" w:hAnsi="Times New Roman" w:cs="Times New Roman"/>
          <w:lang w:val="en-US"/>
        </w:rPr>
        <w:t xml:space="preserve">defining </w:t>
      </w:r>
      <w:r w:rsidR="00C71F28">
        <w:rPr>
          <w:rFonts w:ascii="Times New Roman" w:hAnsi="Times New Roman" w:cs="Times New Roman"/>
          <w:lang w:val="en-US"/>
        </w:rPr>
        <w:t>condition</w:t>
      </w:r>
      <w:r w:rsidR="004D5002">
        <w:rPr>
          <w:rFonts w:ascii="Times New Roman" w:hAnsi="Times New Roman" w:cs="Times New Roman"/>
          <w:lang w:val="en-US"/>
        </w:rPr>
        <w:t>;</w:t>
      </w:r>
      <w:r w:rsidR="00C71F28">
        <w:rPr>
          <w:rFonts w:ascii="Times New Roman" w:hAnsi="Times New Roman" w:cs="Times New Roman"/>
          <w:lang w:val="en-US"/>
        </w:rPr>
        <w:t xml:space="preserve"> </w:t>
      </w:r>
      <w:r w:rsidR="004D5002">
        <w:rPr>
          <w:rFonts w:ascii="Times New Roman" w:hAnsi="Times New Roman" w:cs="Times New Roman"/>
          <w:lang w:val="en-US"/>
        </w:rPr>
        <w:t>below</w:t>
      </w:r>
      <w:r w:rsidR="00C71F28">
        <w:rPr>
          <w:rFonts w:ascii="Times New Roman" w:hAnsi="Times New Roman" w:cs="Times New Roman"/>
          <w:lang w:val="en-US"/>
        </w:rPr>
        <w:t xml:space="preserve"> 50%</w:t>
      </w:r>
      <w:r w:rsidR="004D5002">
        <w:rPr>
          <w:rFonts w:ascii="Times New Roman" w:hAnsi="Times New Roman" w:cs="Times New Roman"/>
          <w:lang w:val="en-US"/>
        </w:rPr>
        <w:t>,</w:t>
      </w:r>
      <w:r w:rsidR="00C71F28">
        <w:rPr>
          <w:rFonts w:ascii="Times New Roman" w:hAnsi="Times New Roman" w:cs="Times New Roman"/>
          <w:lang w:val="en-US"/>
        </w:rPr>
        <w:t xml:space="preserve"> </w:t>
      </w:r>
      <w:r w:rsidR="004D5002">
        <w:rPr>
          <w:rFonts w:ascii="Times New Roman" w:hAnsi="Times New Roman" w:cs="Times New Roman"/>
          <w:lang w:val="en-US"/>
        </w:rPr>
        <w:t xml:space="preserve">category sales grow through volume increases. Above </w:t>
      </w:r>
      <w:r w:rsidR="00C71F28">
        <w:rPr>
          <w:rFonts w:ascii="Times New Roman" w:hAnsi="Times New Roman" w:cs="Times New Roman"/>
          <w:lang w:val="en-US"/>
        </w:rPr>
        <w:t>that threshold</w:t>
      </w:r>
      <w:r w:rsidR="004D5002">
        <w:rPr>
          <w:rFonts w:ascii="Times New Roman" w:hAnsi="Times New Roman" w:cs="Times New Roman"/>
          <w:lang w:val="en-US"/>
        </w:rPr>
        <w:t>,</w:t>
      </w:r>
      <w:r w:rsidR="00C71F28">
        <w:rPr>
          <w:rFonts w:ascii="Times New Roman" w:hAnsi="Times New Roman" w:cs="Times New Roman"/>
          <w:lang w:val="en-US"/>
        </w:rPr>
        <w:t xml:space="preserve"> growth </w:t>
      </w:r>
      <w:r w:rsidR="004D5002">
        <w:rPr>
          <w:rFonts w:ascii="Times New Roman" w:hAnsi="Times New Roman" w:cs="Times New Roman"/>
          <w:lang w:val="en-US"/>
        </w:rPr>
        <w:t xml:space="preserve">is driven by </w:t>
      </w:r>
      <w:r w:rsidR="00C71F28">
        <w:rPr>
          <w:rFonts w:ascii="Times New Roman" w:hAnsi="Times New Roman" w:cs="Times New Roman"/>
          <w:lang w:val="en-US"/>
        </w:rPr>
        <w:t>increases i</w:t>
      </w:r>
      <w:r w:rsidR="00566497">
        <w:rPr>
          <w:rFonts w:ascii="Times New Roman" w:hAnsi="Times New Roman" w:cs="Times New Roman"/>
          <w:lang w:val="en-US"/>
        </w:rPr>
        <w:t xml:space="preserve">n </w:t>
      </w:r>
      <w:r w:rsidR="00075E62">
        <w:rPr>
          <w:rFonts w:ascii="Times New Roman" w:hAnsi="Times New Roman" w:cs="Times New Roman"/>
          <w:lang w:val="en-US"/>
        </w:rPr>
        <w:t>price</w:t>
      </w:r>
      <w:r w:rsidR="00CF26DC">
        <w:rPr>
          <w:rFonts w:ascii="Times New Roman" w:hAnsi="Times New Roman" w:cs="Times New Roman"/>
          <w:lang w:val="en-US"/>
        </w:rPr>
        <w:t>, but</w:t>
      </w:r>
      <w:r w:rsidR="00C44D06">
        <w:rPr>
          <w:rFonts w:ascii="Times New Roman" w:hAnsi="Times New Roman" w:cs="Times New Roman"/>
          <w:lang w:val="en-US"/>
        </w:rPr>
        <w:t xml:space="preserve"> we find that </w:t>
      </w:r>
      <w:r w:rsidR="004D5002">
        <w:rPr>
          <w:rFonts w:ascii="Times New Roman" w:hAnsi="Times New Roman" w:cs="Times New Roman"/>
          <w:lang w:val="en-US"/>
        </w:rPr>
        <w:t xml:space="preserve">introducing </w:t>
      </w:r>
      <w:r w:rsidR="00C44D06">
        <w:rPr>
          <w:rFonts w:ascii="Times New Roman" w:hAnsi="Times New Roman" w:cs="Times New Roman"/>
          <w:lang w:val="en-US"/>
        </w:rPr>
        <w:t xml:space="preserve">new SKUs </w:t>
      </w:r>
      <w:r w:rsidR="004D5002">
        <w:rPr>
          <w:rFonts w:ascii="Times New Roman" w:hAnsi="Times New Roman" w:cs="Times New Roman"/>
          <w:lang w:val="en-US"/>
        </w:rPr>
        <w:t>is a common method for</w:t>
      </w:r>
      <w:r w:rsidR="00C44D06">
        <w:rPr>
          <w:rFonts w:ascii="Times New Roman" w:hAnsi="Times New Roman" w:cs="Times New Roman"/>
          <w:lang w:val="en-US"/>
        </w:rPr>
        <w:t xml:space="preserve"> manufacturers to increase price</w:t>
      </w:r>
      <w:r w:rsidR="00EF4C2B">
        <w:rPr>
          <w:rFonts w:ascii="Times New Roman" w:hAnsi="Times New Roman" w:cs="Times New Roman"/>
          <w:lang w:val="en-US"/>
        </w:rPr>
        <w:t xml:space="preserve"> per unit </w:t>
      </w:r>
      <w:r w:rsidR="00CF26DC">
        <w:rPr>
          <w:rFonts w:ascii="Times New Roman" w:hAnsi="Times New Roman" w:cs="Times New Roman"/>
          <w:lang w:val="en-US"/>
        </w:rPr>
        <w:t>at maturity.</w:t>
      </w:r>
      <w:r w:rsidR="004D5002">
        <w:rPr>
          <w:rFonts w:ascii="Times New Roman" w:hAnsi="Times New Roman" w:cs="Times New Roman"/>
          <w:lang w:val="en-US"/>
        </w:rPr>
        <w:t xml:space="preserve"> </w:t>
      </w:r>
      <w:r w:rsidR="00CF26DC">
        <w:rPr>
          <w:rFonts w:ascii="Times New Roman" w:hAnsi="Times New Roman" w:cs="Times New Roman"/>
          <w:lang w:val="en-US"/>
        </w:rPr>
        <w:t xml:space="preserve">Brand </w:t>
      </w:r>
      <w:proofErr w:type="spellStart"/>
      <w:r w:rsidR="00CF26DC">
        <w:rPr>
          <w:rFonts w:ascii="Times New Roman" w:hAnsi="Times New Roman" w:cs="Times New Roman"/>
          <w:lang w:val="en-US"/>
        </w:rPr>
        <w:t>p</w:t>
      </w:r>
      <w:r w:rsidR="00EF4C2B">
        <w:rPr>
          <w:rFonts w:ascii="Times New Roman" w:hAnsi="Times New Roman" w:cs="Times New Roman"/>
          <w:lang w:val="en-US"/>
        </w:rPr>
        <w:t>remiu</w:t>
      </w:r>
      <w:r w:rsidR="004D5002">
        <w:rPr>
          <w:rFonts w:ascii="Times New Roman" w:hAnsi="Times New Roman" w:cs="Times New Roman"/>
          <w:lang w:val="en-US"/>
        </w:rPr>
        <w:t>m</w:t>
      </w:r>
      <w:r w:rsidR="00EF4C2B">
        <w:rPr>
          <w:rFonts w:ascii="Times New Roman" w:hAnsi="Times New Roman" w:cs="Times New Roman"/>
          <w:lang w:val="en-US"/>
        </w:rPr>
        <w:t>isation</w:t>
      </w:r>
      <w:proofErr w:type="spellEnd"/>
      <w:r w:rsidR="00EF4C2B">
        <w:rPr>
          <w:rFonts w:ascii="Times New Roman" w:hAnsi="Times New Roman" w:cs="Times New Roman"/>
          <w:lang w:val="en-US"/>
        </w:rPr>
        <w:t xml:space="preserve"> </w:t>
      </w:r>
      <w:r w:rsidR="00CF26DC">
        <w:rPr>
          <w:rFonts w:ascii="Times New Roman" w:hAnsi="Times New Roman" w:cs="Times New Roman"/>
          <w:lang w:val="en-US"/>
        </w:rPr>
        <w:t>therefore holds the key to growth in equilibrium markets.</w:t>
      </w:r>
      <w:r w:rsidR="00EF4C2B">
        <w:rPr>
          <w:rFonts w:ascii="Times New Roman" w:hAnsi="Times New Roman" w:cs="Times New Roman"/>
          <w:lang w:val="en-US"/>
        </w:rPr>
        <w:t xml:space="preserve"> </w:t>
      </w:r>
    </w:p>
    <w:p w14:paraId="4E9327C6" w14:textId="77777777" w:rsidR="002A303C" w:rsidRDefault="002A303C" w:rsidP="002A303C">
      <w:pPr>
        <w:rPr>
          <w:rFonts w:ascii="Times New Roman" w:hAnsi="Times New Roman" w:cs="Times New Roman"/>
          <w:b/>
        </w:rPr>
      </w:pPr>
    </w:p>
    <w:p w14:paraId="7E69AEE4" w14:textId="77777777" w:rsidR="002A303C" w:rsidRDefault="002A303C" w:rsidP="002A303C">
      <w:pPr>
        <w:rPr>
          <w:rFonts w:ascii="Times New Roman" w:hAnsi="Times New Roman" w:cs="Times New Roman"/>
          <w:b/>
        </w:rPr>
      </w:pPr>
    </w:p>
    <w:p w14:paraId="37676A79" w14:textId="77777777" w:rsidR="002A303C" w:rsidRDefault="002A303C" w:rsidP="002A303C">
      <w:pPr>
        <w:rPr>
          <w:rFonts w:ascii="Times New Roman" w:hAnsi="Times New Roman" w:cs="Times New Roman"/>
          <w:b/>
        </w:rPr>
      </w:pPr>
    </w:p>
    <w:p w14:paraId="156C715C" w14:textId="6D589E77" w:rsidR="002A303C" w:rsidRPr="005433EC" w:rsidRDefault="00513A2C" w:rsidP="002A303C">
      <w:pPr>
        <w:rPr>
          <w:rFonts w:ascii="Times New Roman" w:hAnsi="Times New Roman" w:cs="Times New Roman"/>
          <w:b/>
          <w:i/>
        </w:rPr>
      </w:pPr>
      <w:r w:rsidRPr="005433EC">
        <w:rPr>
          <w:rFonts w:ascii="Times New Roman" w:hAnsi="Times New Roman" w:cs="Times New Roman"/>
          <w:b/>
          <w:i/>
        </w:rPr>
        <w:t>Keywords</w:t>
      </w:r>
      <w:r w:rsidR="00A32CBE" w:rsidRPr="005433EC">
        <w:rPr>
          <w:rFonts w:ascii="Times New Roman" w:hAnsi="Times New Roman" w:cs="Times New Roman"/>
          <w:b/>
          <w:i/>
        </w:rPr>
        <w:t xml:space="preserve">: </w:t>
      </w:r>
      <w:r w:rsidR="00A32CBE" w:rsidRPr="005433EC">
        <w:rPr>
          <w:rFonts w:ascii="Times New Roman" w:hAnsi="Times New Roman" w:cs="Times New Roman"/>
          <w:i/>
        </w:rPr>
        <w:t xml:space="preserve">Category </w:t>
      </w:r>
      <w:r w:rsidR="005433EC" w:rsidRPr="005433EC">
        <w:rPr>
          <w:rFonts w:ascii="Times New Roman" w:hAnsi="Times New Roman" w:cs="Times New Roman"/>
          <w:i/>
        </w:rPr>
        <w:t>G</w:t>
      </w:r>
      <w:r w:rsidR="00A32CBE" w:rsidRPr="005433EC">
        <w:rPr>
          <w:rFonts w:ascii="Times New Roman" w:hAnsi="Times New Roman" w:cs="Times New Roman"/>
          <w:i/>
        </w:rPr>
        <w:t>rowth</w:t>
      </w:r>
      <w:r w:rsidR="00A32CBE" w:rsidRPr="005433EC">
        <w:rPr>
          <w:rFonts w:ascii="Times New Roman" w:hAnsi="Times New Roman" w:cs="Times New Roman"/>
          <w:b/>
          <w:i/>
        </w:rPr>
        <w:t xml:space="preserve">, </w:t>
      </w:r>
      <w:proofErr w:type="spellStart"/>
      <w:r w:rsidR="00431B7C" w:rsidRPr="005433EC">
        <w:rPr>
          <w:rFonts w:ascii="Times New Roman" w:hAnsi="Times New Roman" w:cs="Times New Roman"/>
          <w:i/>
        </w:rPr>
        <w:t>Premiu</w:t>
      </w:r>
      <w:r w:rsidR="005433EC" w:rsidRPr="005433EC">
        <w:rPr>
          <w:rFonts w:ascii="Times New Roman" w:hAnsi="Times New Roman" w:cs="Times New Roman"/>
          <w:i/>
        </w:rPr>
        <w:t>m</w:t>
      </w:r>
      <w:r w:rsidR="00431B7C" w:rsidRPr="005433EC">
        <w:rPr>
          <w:rFonts w:ascii="Times New Roman" w:hAnsi="Times New Roman" w:cs="Times New Roman"/>
          <w:i/>
        </w:rPr>
        <w:t>isation</w:t>
      </w:r>
      <w:proofErr w:type="spellEnd"/>
      <w:r w:rsidR="00A32CBE" w:rsidRPr="005433EC">
        <w:rPr>
          <w:rFonts w:ascii="Times New Roman" w:hAnsi="Times New Roman" w:cs="Times New Roman"/>
          <w:i/>
        </w:rPr>
        <w:t>,</w:t>
      </w:r>
      <w:r w:rsidR="00A32CBE" w:rsidRPr="005433EC">
        <w:rPr>
          <w:rFonts w:ascii="Times New Roman" w:hAnsi="Times New Roman" w:cs="Times New Roman"/>
          <w:b/>
          <w:i/>
        </w:rPr>
        <w:t xml:space="preserve"> </w:t>
      </w:r>
      <w:proofErr w:type="gramStart"/>
      <w:r w:rsidR="00431B7C" w:rsidRPr="005433EC">
        <w:rPr>
          <w:rFonts w:ascii="Times New Roman" w:hAnsi="Times New Roman" w:cs="Times New Roman"/>
          <w:i/>
        </w:rPr>
        <w:t>Category</w:t>
      </w:r>
      <w:proofErr w:type="gramEnd"/>
      <w:r w:rsidR="00431B7C" w:rsidRPr="005433EC">
        <w:rPr>
          <w:rFonts w:ascii="Times New Roman" w:hAnsi="Times New Roman" w:cs="Times New Roman"/>
          <w:i/>
        </w:rPr>
        <w:t xml:space="preserve"> </w:t>
      </w:r>
      <w:r w:rsidR="005433EC" w:rsidRPr="005433EC">
        <w:rPr>
          <w:rFonts w:ascii="Times New Roman" w:hAnsi="Times New Roman" w:cs="Times New Roman"/>
          <w:i/>
        </w:rPr>
        <w:t>M</w:t>
      </w:r>
      <w:r w:rsidR="00431B7C" w:rsidRPr="005433EC">
        <w:rPr>
          <w:rFonts w:ascii="Times New Roman" w:hAnsi="Times New Roman" w:cs="Times New Roman"/>
          <w:i/>
        </w:rPr>
        <w:t>aturity</w:t>
      </w:r>
    </w:p>
    <w:p w14:paraId="7C45A23F" w14:textId="77777777" w:rsidR="002A303C" w:rsidRPr="005433EC" w:rsidRDefault="002A303C" w:rsidP="002A303C">
      <w:pPr>
        <w:rPr>
          <w:rFonts w:ascii="Times New Roman" w:hAnsi="Times New Roman" w:cs="Times New Roman"/>
          <w:b/>
          <w:i/>
        </w:rPr>
      </w:pPr>
    </w:p>
    <w:p w14:paraId="7BC43044" w14:textId="307C966B" w:rsidR="005433EC" w:rsidRPr="005433EC" w:rsidRDefault="005433EC" w:rsidP="002A303C">
      <w:pPr>
        <w:rPr>
          <w:rFonts w:ascii="Times New Roman" w:hAnsi="Times New Roman" w:cs="Times New Roman"/>
          <w:b/>
          <w:i/>
        </w:rPr>
      </w:pPr>
      <w:r w:rsidRPr="005433EC">
        <w:rPr>
          <w:rFonts w:ascii="Times New Roman" w:hAnsi="Times New Roman" w:cs="Times New Roman"/>
          <w:b/>
          <w:i/>
        </w:rPr>
        <w:t>Track:</w:t>
      </w:r>
    </w:p>
    <w:p w14:paraId="166E4433" w14:textId="77777777" w:rsidR="002A303C" w:rsidRDefault="002A303C" w:rsidP="002A303C">
      <w:pPr>
        <w:rPr>
          <w:rFonts w:ascii="Times New Roman" w:hAnsi="Times New Roman" w:cs="Times New Roman"/>
          <w:b/>
        </w:rPr>
      </w:pPr>
    </w:p>
    <w:p w14:paraId="1F3B0F01" w14:textId="77777777" w:rsidR="002A303C" w:rsidRDefault="002A303C" w:rsidP="002A303C">
      <w:pPr>
        <w:rPr>
          <w:rFonts w:ascii="Times New Roman" w:hAnsi="Times New Roman" w:cs="Times New Roman"/>
          <w:b/>
        </w:rPr>
      </w:pPr>
    </w:p>
    <w:p w14:paraId="37BB4EDD" w14:textId="77777777" w:rsidR="002A303C" w:rsidRDefault="002A303C" w:rsidP="002A303C">
      <w:pPr>
        <w:rPr>
          <w:rFonts w:ascii="Times New Roman" w:hAnsi="Times New Roman" w:cs="Times New Roman"/>
          <w:b/>
        </w:rPr>
      </w:pPr>
    </w:p>
    <w:p w14:paraId="27CD424A" w14:textId="77777777" w:rsidR="002A303C" w:rsidRDefault="002A303C" w:rsidP="002A303C">
      <w:pPr>
        <w:rPr>
          <w:rFonts w:ascii="Times New Roman" w:hAnsi="Times New Roman" w:cs="Times New Roman"/>
          <w:b/>
        </w:rPr>
      </w:pPr>
    </w:p>
    <w:p w14:paraId="0874C7BC" w14:textId="77777777" w:rsidR="002A303C" w:rsidRDefault="002A303C" w:rsidP="002A303C">
      <w:pPr>
        <w:rPr>
          <w:rFonts w:ascii="Times New Roman" w:hAnsi="Times New Roman" w:cs="Times New Roman"/>
          <w:b/>
        </w:rPr>
      </w:pPr>
    </w:p>
    <w:p w14:paraId="031F2947" w14:textId="77777777" w:rsidR="002A303C" w:rsidRDefault="002A303C" w:rsidP="002A303C">
      <w:pPr>
        <w:rPr>
          <w:rFonts w:ascii="Times New Roman" w:hAnsi="Times New Roman" w:cs="Times New Roman"/>
          <w:b/>
        </w:rPr>
      </w:pPr>
    </w:p>
    <w:p w14:paraId="5D7F4230" w14:textId="77777777" w:rsidR="002A303C" w:rsidRDefault="002A303C" w:rsidP="002A303C">
      <w:pPr>
        <w:rPr>
          <w:rFonts w:ascii="Times New Roman" w:hAnsi="Times New Roman" w:cs="Times New Roman"/>
          <w:b/>
        </w:rPr>
      </w:pPr>
    </w:p>
    <w:p w14:paraId="761B0A85" w14:textId="77777777" w:rsidR="002A303C" w:rsidRDefault="002A303C" w:rsidP="002A303C">
      <w:pPr>
        <w:rPr>
          <w:rFonts w:ascii="Times New Roman" w:hAnsi="Times New Roman" w:cs="Times New Roman"/>
          <w:b/>
        </w:rPr>
      </w:pPr>
    </w:p>
    <w:p w14:paraId="066F946B" w14:textId="77777777" w:rsidR="002A303C" w:rsidRDefault="002A303C" w:rsidP="002A303C">
      <w:pPr>
        <w:rPr>
          <w:rFonts w:ascii="Times New Roman" w:hAnsi="Times New Roman" w:cs="Times New Roman"/>
          <w:b/>
        </w:rPr>
      </w:pPr>
    </w:p>
    <w:p w14:paraId="019D8958" w14:textId="77777777" w:rsidR="002A303C" w:rsidRDefault="002A303C" w:rsidP="002A303C">
      <w:pPr>
        <w:rPr>
          <w:rFonts w:ascii="Times New Roman" w:hAnsi="Times New Roman" w:cs="Times New Roman"/>
          <w:b/>
        </w:rPr>
      </w:pPr>
    </w:p>
    <w:p w14:paraId="13AA987D" w14:textId="77777777" w:rsidR="002A303C" w:rsidRDefault="002A303C" w:rsidP="002A303C">
      <w:pPr>
        <w:rPr>
          <w:rFonts w:ascii="Times New Roman" w:hAnsi="Times New Roman" w:cs="Times New Roman"/>
          <w:b/>
        </w:rPr>
      </w:pPr>
    </w:p>
    <w:p w14:paraId="12A8AAA3" w14:textId="77777777" w:rsidR="002A303C" w:rsidRDefault="002A303C" w:rsidP="002A303C">
      <w:pPr>
        <w:rPr>
          <w:rFonts w:ascii="Times New Roman" w:hAnsi="Times New Roman" w:cs="Times New Roman"/>
          <w:b/>
        </w:rPr>
      </w:pPr>
    </w:p>
    <w:p w14:paraId="6BA6E92B" w14:textId="77777777" w:rsidR="002A303C" w:rsidRDefault="002A303C" w:rsidP="002A303C">
      <w:pPr>
        <w:rPr>
          <w:rFonts w:ascii="Times New Roman" w:hAnsi="Times New Roman" w:cs="Times New Roman"/>
          <w:b/>
        </w:rPr>
      </w:pPr>
    </w:p>
    <w:p w14:paraId="7D4C16C8" w14:textId="77777777" w:rsidR="002A303C" w:rsidRDefault="002A303C" w:rsidP="002A303C">
      <w:pPr>
        <w:rPr>
          <w:rFonts w:ascii="Times New Roman" w:hAnsi="Times New Roman" w:cs="Times New Roman"/>
          <w:b/>
        </w:rPr>
      </w:pPr>
    </w:p>
    <w:p w14:paraId="6B12FE80" w14:textId="77777777" w:rsidR="002A303C" w:rsidRDefault="002A303C" w:rsidP="002A303C">
      <w:pPr>
        <w:rPr>
          <w:rFonts w:ascii="Times New Roman" w:hAnsi="Times New Roman" w:cs="Times New Roman"/>
          <w:b/>
        </w:rPr>
      </w:pPr>
    </w:p>
    <w:p w14:paraId="52BA5A7A" w14:textId="77777777" w:rsidR="00E776DC" w:rsidRDefault="00E776DC" w:rsidP="002A303C">
      <w:pPr>
        <w:rPr>
          <w:rFonts w:ascii="Times New Roman" w:hAnsi="Times New Roman" w:cs="Times New Roman"/>
          <w:b/>
        </w:rPr>
      </w:pPr>
    </w:p>
    <w:p w14:paraId="522DDC67" w14:textId="77777777" w:rsidR="00E776DC" w:rsidRDefault="00E776DC" w:rsidP="002A303C">
      <w:pPr>
        <w:rPr>
          <w:rFonts w:ascii="Times New Roman" w:hAnsi="Times New Roman" w:cs="Times New Roman"/>
          <w:b/>
        </w:rPr>
      </w:pPr>
    </w:p>
    <w:p w14:paraId="446D2C57" w14:textId="77777777" w:rsidR="002A303C" w:rsidRDefault="002A303C" w:rsidP="002A303C">
      <w:pPr>
        <w:rPr>
          <w:rFonts w:ascii="Times New Roman" w:hAnsi="Times New Roman" w:cs="Times New Roman"/>
          <w:b/>
        </w:rPr>
      </w:pPr>
    </w:p>
    <w:p w14:paraId="2B4AE60A" w14:textId="77777777" w:rsidR="002A303C" w:rsidRDefault="002A303C" w:rsidP="002A303C">
      <w:pPr>
        <w:rPr>
          <w:rFonts w:ascii="Times New Roman" w:hAnsi="Times New Roman" w:cs="Times New Roman"/>
          <w:b/>
        </w:rPr>
      </w:pPr>
    </w:p>
    <w:p w14:paraId="7367DEB4" w14:textId="77777777" w:rsidR="009242CC" w:rsidRDefault="009242CC" w:rsidP="00697F78">
      <w:pPr>
        <w:jc w:val="center"/>
        <w:rPr>
          <w:rFonts w:ascii="Times New Roman" w:hAnsi="Times New Roman" w:cs="Times New Roman"/>
          <w:b/>
          <w:sz w:val="28"/>
          <w:szCs w:val="28"/>
        </w:rPr>
      </w:pPr>
    </w:p>
    <w:p w14:paraId="72D78DC2" w14:textId="77777777" w:rsidR="009242CC" w:rsidRDefault="009242CC" w:rsidP="009242CC">
      <w:pPr>
        <w:jc w:val="center"/>
        <w:rPr>
          <w:rFonts w:ascii="Times New Roman" w:hAnsi="Times New Roman" w:cs="Times New Roman"/>
          <w:b/>
          <w:sz w:val="28"/>
          <w:szCs w:val="28"/>
        </w:rPr>
      </w:pPr>
    </w:p>
    <w:p w14:paraId="0EC1D498" w14:textId="77777777" w:rsidR="00CF26DC" w:rsidRDefault="00CF26DC" w:rsidP="005433EC">
      <w:pPr>
        <w:rPr>
          <w:rFonts w:ascii="Times New Roman" w:hAnsi="Times New Roman" w:cs="Times New Roman"/>
          <w:b/>
          <w:sz w:val="28"/>
          <w:szCs w:val="28"/>
        </w:rPr>
      </w:pPr>
    </w:p>
    <w:p w14:paraId="52663ABF" w14:textId="0FAE1CE1" w:rsidR="00B3456D" w:rsidRPr="004F0BEB" w:rsidRDefault="009242CC" w:rsidP="009242CC">
      <w:pPr>
        <w:jc w:val="center"/>
        <w:rPr>
          <w:rFonts w:ascii="Times New Roman" w:hAnsi="Times New Roman" w:cs="Times New Roman"/>
          <w:b/>
        </w:rPr>
      </w:pPr>
      <w:r w:rsidRPr="004F0BEB">
        <w:rPr>
          <w:rFonts w:ascii="Times New Roman" w:hAnsi="Times New Roman" w:cs="Times New Roman"/>
          <w:b/>
        </w:rPr>
        <w:lastRenderedPageBreak/>
        <w:t xml:space="preserve">How </w:t>
      </w:r>
      <w:r w:rsidR="001E448C" w:rsidRPr="004F0BEB">
        <w:rPr>
          <w:rFonts w:ascii="Times New Roman" w:hAnsi="Times New Roman" w:cs="Times New Roman"/>
          <w:b/>
        </w:rPr>
        <w:t>markets</w:t>
      </w:r>
      <w:r w:rsidRPr="004F0BEB">
        <w:rPr>
          <w:rFonts w:ascii="Times New Roman" w:hAnsi="Times New Roman" w:cs="Times New Roman"/>
          <w:b/>
        </w:rPr>
        <w:t xml:space="preserve"> grow. </w:t>
      </w:r>
      <w:r w:rsidR="00CF26DC" w:rsidRPr="004F0BEB">
        <w:rPr>
          <w:rFonts w:ascii="Times New Roman" w:hAnsi="Times New Roman" w:cs="Times New Roman"/>
          <w:b/>
        </w:rPr>
        <w:t>The f</w:t>
      </w:r>
      <w:r w:rsidR="002504EA" w:rsidRPr="004F0BEB">
        <w:rPr>
          <w:rFonts w:ascii="Times New Roman" w:hAnsi="Times New Roman" w:cs="Times New Roman"/>
          <w:b/>
        </w:rPr>
        <w:t xml:space="preserve">actors associated with </w:t>
      </w:r>
      <w:r w:rsidR="001E448C" w:rsidRPr="004F0BEB">
        <w:rPr>
          <w:rFonts w:ascii="Times New Roman" w:hAnsi="Times New Roman" w:cs="Times New Roman"/>
          <w:b/>
        </w:rPr>
        <w:t>category</w:t>
      </w:r>
      <w:r w:rsidRPr="004F0BEB">
        <w:rPr>
          <w:rFonts w:ascii="Times New Roman" w:hAnsi="Times New Roman" w:cs="Times New Roman"/>
          <w:b/>
        </w:rPr>
        <w:t xml:space="preserve"> expansion.</w:t>
      </w:r>
    </w:p>
    <w:p w14:paraId="36E88130" w14:textId="77777777" w:rsidR="002A303C" w:rsidRDefault="002A303C" w:rsidP="002A303C">
      <w:pPr>
        <w:rPr>
          <w:rFonts w:ascii="Times New Roman" w:hAnsi="Times New Roman" w:cs="Times New Roman"/>
          <w:b/>
        </w:rPr>
      </w:pPr>
    </w:p>
    <w:p w14:paraId="10B0D313" w14:textId="77777777" w:rsidR="002A303C" w:rsidRDefault="002A303C" w:rsidP="005433EC">
      <w:pPr>
        <w:rPr>
          <w:rFonts w:ascii="Times New Roman" w:hAnsi="Times New Roman" w:cs="Times New Roman"/>
          <w:b/>
        </w:rPr>
      </w:pPr>
      <w:r>
        <w:rPr>
          <w:rFonts w:ascii="Times New Roman" w:hAnsi="Times New Roman" w:cs="Times New Roman"/>
          <w:b/>
        </w:rPr>
        <w:t>Introduction</w:t>
      </w:r>
      <w:bookmarkStart w:id="0" w:name="_GoBack"/>
      <w:bookmarkEnd w:id="0"/>
    </w:p>
    <w:p w14:paraId="6A9E4210" w14:textId="77777777" w:rsidR="00020254" w:rsidRPr="007137D7" w:rsidRDefault="002944E5" w:rsidP="00620615">
      <w:pPr>
        <w:rPr>
          <w:rFonts w:ascii="Times New Roman" w:hAnsi="Times New Roman" w:cs="Times New Roman"/>
          <w:lang w:val="en-US"/>
        </w:rPr>
      </w:pPr>
      <w:r w:rsidRPr="002944E5">
        <w:rPr>
          <w:rFonts w:ascii="Times New Roman" w:hAnsi="Times New Roman" w:cs="Times New Roman"/>
          <w:lang w:val="en-US"/>
        </w:rPr>
        <w:t>Businesses</w:t>
      </w:r>
      <w:r w:rsidR="00F6178F">
        <w:rPr>
          <w:rFonts w:ascii="Times New Roman" w:hAnsi="Times New Roman" w:cs="Times New Roman"/>
          <w:lang w:val="en-US"/>
        </w:rPr>
        <w:t xml:space="preserve"> around the world</w:t>
      </w:r>
      <w:r w:rsidRPr="002944E5">
        <w:rPr>
          <w:rFonts w:ascii="Times New Roman" w:hAnsi="Times New Roman" w:cs="Times New Roman"/>
          <w:lang w:val="en-US"/>
        </w:rPr>
        <w:t xml:space="preserve"> face a growth imperative, and marketers are being asked loudly to deliver </w:t>
      </w:r>
      <w:r w:rsidR="00D84151">
        <w:rPr>
          <w:rFonts w:ascii="Times New Roman" w:hAnsi="Times New Roman" w:cs="Times New Roman"/>
          <w:lang w:val="en-US"/>
        </w:rPr>
        <w:t>that growth</w:t>
      </w:r>
      <w:r w:rsidRPr="002944E5">
        <w:rPr>
          <w:rFonts w:ascii="Times New Roman" w:hAnsi="Times New Roman" w:cs="Times New Roman"/>
          <w:lang w:val="en-US"/>
        </w:rPr>
        <w:t>.</w:t>
      </w:r>
      <w:r>
        <w:rPr>
          <w:rFonts w:ascii="Times New Roman" w:hAnsi="Times New Roman" w:cs="Times New Roman"/>
          <w:lang w:val="en-US"/>
        </w:rPr>
        <w:t xml:space="preserve"> </w:t>
      </w:r>
      <w:r w:rsidR="001201C2">
        <w:rPr>
          <w:rFonts w:ascii="Times New Roman" w:hAnsi="Times New Roman" w:cs="Times New Roman"/>
          <w:lang w:val="en-US"/>
        </w:rPr>
        <w:t xml:space="preserve">In </w:t>
      </w:r>
      <w:r w:rsidR="00864F84">
        <w:rPr>
          <w:rFonts w:ascii="Times New Roman" w:hAnsi="Times New Roman" w:cs="Times New Roman"/>
          <w:lang w:val="en-US"/>
        </w:rPr>
        <w:t>developed</w:t>
      </w:r>
      <w:r w:rsidR="001201C2">
        <w:rPr>
          <w:rFonts w:ascii="Times New Roman" w:hAnsi="Times New Roman" w:cs="Times New Roman"/>
          <w:lang w:val="en-US"/>
        </w:rPr>
        <w:t xml:space="preserve"> markets, one way brands </w:t>
      </w:r>
      <w:r w:rsidR="000A148E">
        <w:rPr>
          <w:rFonts w:ascii="Times New Roman" w:hAnsi="Times New Roman" w:cs="Times New Roman"/>
          <w:lang w:val="en-US"/>
        </w:rPr>
        <w:t>might</w:t>
      </w:r>
      <w:r w:rsidR="001201C2">
        <w:rPr>
          <w:rFonts w:ascii="Times New Roman" w:hAnsi="Times New Roman" w:cs="Times New Roman"/>
          <w:lang w:val="en-US"/>
        </w:rPr>
        <w:t xml:space="preserve"> deliver growth is through category expansion</w:t>
      </w:r>
      <w:r w:rsidR="00D01FC9">
        <w:rPr>
          <w:rFonts w:ascii="Times New Roman" w:hAnsi="Times New Roman" w:cs="Times New Roman"/>
          <w:lang w:val="en-US"/>
        </w:rPr>
        <w:t xml:space="preserve"> </w:t>
      </w:r>
      <w:r w:rsidR="009242CC">
        <w:rPr>
          <w:rFonts w:ascii="Times New Roman" w:hAnsi="Times New Roman" w:cs="Times New Roman"/>
          <w:lang w:val="en-US"/>
        </w:rPr>
        <w:t>(Yoon et al., 2017)</w:t>
      </w:r>
      <w:r w:rsidR="001201C2">
        <w:rPr>
          <w:rFonts w:ascii="Times New Roman" w:hAnsi="Times New Roman" w:cs="Times New Roman"/>
          <w:lang w:val="en-US"/>
        </w:rPr>
        <w:t xml:space="preserve">. </w:t>
      </w:r>
      <w:r w:rsidR="000A148E">
        <w:rPr>
          <w:rFonts w:ascii="Times New Roman" w:hAnsi="Times New Roman" w:cs="Times New Roman"/>
        </w:rPr>
        <w:t>E</w:t>
      </w:r>
      <w:r w:rsidR="001201C2" w:rsidRPr="001201C2">
        <w:rPr>
          <w:rFonts w:ascii="Times New Roman" w:hAnsi="Times New Roman" w:cs="Times New Roman"/>
        </w:rPr>
        <w:t xml:space="preserve">xpansion from maturity has been the subject of very little </w:t>
      </w:r>
      <w:r w:rsidR="001201C2">
        <w:rPr>
          <w:rFonts w:ascii="Times New Roman" w:hAnsi="Times New Roman" w:cs="Times New Roman"/>
        </w:rPr>
        <w:t>empirical</w:t>
      </w:r>
      <w:r w:rsidR="001201C2" w:rsidRPr="001201C2">
        <w:rPr>
          <w:rFonts w:ascii="Times New Roman" w:hAnsi="Times New Roman" w:cs="Times New Roman"/>
        </w:rPr>
        <w:t xml:space="preserve"> investigation</w:t>
      </w:r>
      <w:r w:rsidR="000A148E">
        <w:rPr>
          <w:rFonts w:ascii="Times New Roman" w:hAnsi="Times New Roman" w:cs="Times New Roman"/>
        </w:rPr>
        <w:t xml:space="preserve"> but</w:t>
      </w:r>
      <w:r w:rsidR="001201C2">
        <w:rPr>
          <w:rFonts w:ascii="Times New Roman" w:hAnsi="Times New Roman" w:cs="Times New Roman"/>
        </w:rPr>
        <w:t>, i</w:t>
      </w:r>
      <w:r w:rsidR="001201C2" w:rsidRPr="001201C2">
        <w:rPr>
          <w:rFonts w:ascii="Times New Roman" w:hAnsi="Times New Roman" w:cs="Times New Roman"/>
        </w:rPr>
        <w:t xml:space="preserve">f successful, it benefits all actors in the marketing channels, with the highest rewards reserved for the brand leader. </w:t>
      </w:r>
      <w:r w:rsidR="000A148E">
        <w:rPr>
          <w:rFonts w:ascii="Times New Roman" w:hAnsi="Times New Roman" w:cs="Times New Roman"/>
        </w:rPr>
        <w:t xml:space="preserve">Therefore, </w:t>
      </w:r>
      <w:r w:rsidR="00020254" w:rsidRPr="00020254">
        <w:rPr>
          <w:rFonts w:ascii="Times New Roman" w:hAnsi="Times New Roman" w:cs="Times New Roman"/>
          <w:lang w:val="en-AU"/>
        </w:rPr>
        <w:t xml:space="preserve">to </w:t>
      </w:r>
      <w:r w:rsidR="00D84151">
        <w:rPr>
          <w:rFonts w:ascii="Times New Roman" w:hAnsi="Times New Roman" w:cs="Times New Roman"/>
          <w:lang w:val="en-AU"/>
        </w:rPr>
        <w:t>advance category growth knowledge</w:t>
      </w:r>
      <w:r w:rsidR="00020254">
        <w:rPr>
          <w:rFonts w:ascii="Times New Roman" w:hAnsi="Times New Roman" w:cs="Times New Roman"/>
          <w:lang w:val="en-AU"/>
        </w:rPr>
        <w:t xml:space="preserve"> </w:t>
      </w:r>
      <w:r w:rsidR="001201C2">
        <w:rPr>
          <w:rFonts w:ascii="Times New Roman" w:hAnsi="Times New Roman" w:cs="Times New Roman"/>
          <w:lang w:val="en-AU"/>
        </w:rPr>
        <w:t xml:space="preserve">this </w:t>
      </w:r>
      <w:r w:rsidR="009242CC">
        <w:rPr>
          <w:rFonts w:ascii="Times New Roman" w:hAnsi="Times New Roman" w:cs="Times New Roman"/>
          <w:lang w:val="en-AU"/>
        </w:rPr>
        <w:t>study</w:t>
      </w:r>
      <w:r w:rsidR="001201C2">
        <w:rPr>
          <w:rFonts w:ascii="Times New Roman" w:hAnsi="Times New Roman" w:cs="Times New Roman"/>
          <w:lang w:val="en-AU"/>
        </w:rPr>
        <w:t xml:space="preserve"> </w:t>
      </w:r>
      <w:r w:rsidR="009242CC">
        <w:rPr>
          <w:rFonts w:ascii="Times New Roman" w:hAnsi="Times New Roman" w:cs="Times New Roman"/>
          <w:lang w:val="en-AU"/>
        </w:rPr>
        <w:t>investigate</w:t>
      </w:r>
      <w:r w:rsidR="000A148E">
        <w:rPr>
          <w:rFonts w:ascii="Times New Roman" w:hAnsi="Times New Roman" w:cs="Times New Roman"/>
          <w:lang w:val="en-AU"/>
        </w:rPr>
        <w:t>s</w:t>
      </w:r>
      <w:r w:rsidR="001201C2">
        <w:rPr>
          <w:rFonts w:ascii="Times New Roman" w:hAnsi="Times New Roman" w:cs="Times New Roman"/>
          <w:lang w:val="en-AU"/>
        </w:rPr>
        <w:t xml:space="preserve"> factors in manufacturer</w:t>
      </w:r>
      <w:r w:rsidR="009242CC">
        <w:rPr>
          <w:rFonts w:ascii="Times New Roman" w:hAnsi="Times New Roman" w:cs="Times New Roman"/>
          <w:lang w:val="en-AU"/>
        </w:rPr>
        <w:t>s’</w:t>
      </w:r>
      <w:r w:rsidR="001201C2">
        <w:rPr>
          <w:rFonts w:ascii="Times New Roman" w:hAnsi="Times New Roman" w:cs="Times New Roman"/>
          <w:lang w:val="en-AU"/>
        </w:rPr>
        <w:t xml:space="preserve"> control </w:t>
      </w:r>
      <w:r w:rsidR="000A148E">
        <w:rPr>
          <w:rFonts w:ascii="Times New Roman" w:hAnsi="Times New Roman" w:cs="Times New Roman"/>
          <w:lang w:val="en-AU"/>
        </w:rPr>
        <w:t>in developed markets and asks</w:t>
      </w:r>
      <w:r w:rsidR="001201C2">
        <w:rPr>
          <w:rFonts w:ascii="Times New Roman" w:hAnsi="Times New Roman" w:cs="Times New Roman"/>
          <w:lang w:val="en-AU"/>
        </w:rPr>
        <w:t xml:space="preserve"> </w:t>
      </w:r>
      <w:r w:rsidR="001201C2" w:rsidRPr="007137D7">
        <w:rPr>
          <w:rFonts w:ascii="Times New Roman" w:hAnsi="Times New Roman" w:cs="Times New Roman"/>
          <w:lang w:val="en-AU"/>
        </w:rPr>
        <w:t xml:space="preserve">which are </w:t>
      </w:r>
      <w:r w:rsidR="007137D7" w:rsidRPr="007137D7">
        <w:rPr>
          <w:rFonts w:ascii="Times New Roman" w:hAnsi="Times New Roman" w:cs="Times New Roman"/>
          <w:lang w:val="en-AU"/>
        </w:rPr>
        <w:t xml:space="preserve">most </w:t>
      </w:r>
      <w:r w:rsidR="001201C2" w:rsidRPr="007137D7">
        <w:rPr>
          <w:rFonts w:ascii="Times New Roman" w:hAnsi="Times New Roman" w:cs="Times New Roman"/>
          <w:lang w:val="en-AU"/>
        </w:rPr>
        <w:t>associated with category</w:t>
      </w:r>
      <w:r w:rsidR="00EC3D54" w:rsidRPr="007137D7">
        <w:rPr>
          <w:rFonts w:ascii="Times New Roman" w:hAnsi="Times New Roman" w:cs="Times New Roman"/>
          <w:lang w:val="en-AU"/>
        </w:rPr>
        <w:t xml:space="preserve"> sales</w:t>
      </w:r>
      <w:r w:rsidR="001201C2" w:rsidRPr="007137D7">
        <w:rPr>
          <w:rFonts w:ascii="Times New Roman" w:hAnsi="Times New Roman" w:cs="Times New Roman"/>
          <w:lang w:val="en-AU"/>
        </w:rPr>
        <w:t xml:space="preserve"> </w:t>
      </w:r>
      <w:r w:rsidR="00EC3D54" w:rsidRPr="007137D7">
        <w:rPr>
          <w:rFonts w:ascii="Times New Roman" w:hAnsi="Times New Roman" w:cs="Times New Roman"/>
          <w:lang w:val="en-AU"/>
        </w:rPr>
        <w:t>dynamics</w:t>
      </w:r>
      <w:r w:rsidR="001201C2" w:rsidRPr="007137D7">
        <w:rPr>
          <w:rFonts w:ascii="Times New Roman" w:hAnsi="Times New Roman" w:cs="Times New Roman"/>
          <w:lang w:val="en-AU"/>
        </w:rPr>
        <w:t xml:space="preserve"> and under what conditions</w:t>
      </w:r>
      <w:r w:rsidR="007137D7">
        <w:rPr>
          <w:rFonts w:ascii="Times New Roman" w:hAnsi="Times New Roman" w:cs="Times New Roman"/>
          <w:lang w:val="en-AU"/>
        </w:rPr>
        <w:t>.</w:t>
      </w:r>
    </w:p>
    <w:p w14:paraId="54594890" w14:textId="77777777" w:rsidR="00020254" w:rsidRPr="00020254" w:rsidRDefault="00020254" w:rsidP="00620615">
      <w:pPr>
        <w:rPr>
          <w:rFonts w:ascii="Times New Roman" w:hAnsi="Times New Roman" w:cs="Times New Roman"/>
          <w:lang w:val="en-AU"/>
        </w:rPr>
      </w:pPr>
    </w:p>
    <w:p w14:paraId="0041939C" w14:textId="77777777" w:rsidR="00757EB1" w:rsidRPr="00C625DA" w:rsidRDefault="00757EB1" w:rsidP="005433EC">
      <w:pPr>
        <w:rPr>
          <w:rFonts w:ascii="Times New Roman" w:hAnsi="Times New Roman" w:cs="Times New Roman"/>
          <w:b/>
        </w:rPr>
      </w:pPr>
      <w:r w:rsidRPr="00C625DA">
        <w:rPr>
          <w:rFonts w:ascii="Times New Roman" w:hAnsi="Times New Roman" w:cs="Times New Roman"/>
          <w:b/>
        </w:rPr>
        <w:t>Background</w:t>
      </w:r>
    </w:p>
    <w:p w14:paraId="6EC86C3C" w14:textId="594B03C1" w:rsidR="00020254" w:rsidRPr="009242CC" w:rsidRDefault="00511CAF" w:rsidP="00020254">
      <w:pPr>
        <w:rPr>
          <w:rFonts w:ascii="Times New Roman" w:hAnsi="Times New Roman" w:cs="Times New Roman"/>
        </w:rPr>
      </w:pPr>
      <w:r w:rsidRPr="00511CAF">
        <w:rPr>
          <w:rFonts w:ascii="Times New Roman" w:hAnsi="Times New Roman" w:cs="Times New Roman"/>
        </w:rPr>
        <w:t xml:space="preserve">Most FMCG brands compete in equilibrium markets where supply side (manufacturers) and demand side (broadly, retailers) face a ceiling on </w:t>
      </w:r>
      <w:r w:rsidR="009D6E93">
        <w:rPr>
          <w:rFonts w:ascii="Times New Roman" w:hAnsi="Times New Roman" w:cs="Times New Roman"/>
        </w:rPr>
        <w:t>category purchase volume</w:t>
      </w:r>
      <w:r w:rsidR="001E448C">
        <w:rPr>
          <w:rFonts w:ascii="Times New Roman" w:hAnsi="Times New Roman" w:cs="Times New Roman"/>
        </w:rPr>
        <w:t xml:space="preserve"> and</w:t>
      </w:r>
      <w:r w:rsidR="009D6E93">
        <w:rPr>
          <w:rFonts w:ascii="Times New Roman" w:hAnsi="Times New Roman" w:cs="Times New Roman"/>
        </w:rPr>
        <w:t xml:space="preserve"> </w:t>
      </w:r>
      <w:r w:rsidRPr="00511CAF">
        <w:rPr>
          <w:rFonts w:ascii="Times New Roman" w:hAnsi="Times New Roman" w:cs="Times New Roman"/>
        </w:rPr>
        <w:t>persistent, zero-sum competition.</w:t>
      </w:r>
      <w:r w:rsidR="00F93FCE">
        <w:rPr>
          <w:rFonts w:ascii="Times New Roman" w:hAnsi="Times New Roman" w:cs="Times New Roman"/>
        </w:rPr>
        <w:t xml:space="preserve"> </w:t>
      </w:r>
      <w:r w:rsidR="00F93FCE" w:rsidRPr="00F93FCE">
        <w:rPr>
          <w:rFonts w:ascii="Times New Roman" w:hAnsi="Times New Roman" w:cs="Times New Roman"/>
        </w:rPr>
        <w:t xml:space="preserve">To outsiders, such markets are “unattractive”: to incumbents an increasingly pressing objective is category expansion. </w:t>
      </w:r>
      <w:r w:rsidR="00020254" w:rsidRPr="00020254">
        <w:rPr>
          <w:rFonts w:ascii="Times New Roman" w:hAnsi="Times New Roman" w:cs="Times New Roman"/>
          <w:lang w:val="en-US"/>
        </w:rPr>
        <w:t xml:space="preserve">Although </w:t>
      </w:r>
      <w:r w:rsidR="00234829">
        <w:rPr>
          <w:rFonts w:ascii="Times New Roman" w:hAnsi="Times New Roman" w:cs="Times New Roman"/>
          <w:lang w:val="en-US"/>
        </w:rPr>
        <w:t>this</w:t>
      </w:r>
      <w:r w:rsidR="00020254" w:rsidRPr="00020254">
        <w:rPr>
          <w:rFonts w:ascii="Times New Roman" w:hAnsi="Times New Roman" w:cs="Times New Roman"/>
          <w:lang w:val="en-US"/>
        </w:rPr>
        <w:t xml:space="preserve"> </w:t>
      </w:r>
      <w:r w:rsidR="001E448C">
        <w:rPr>
          <w:rFonts w:ascii="Times New Roman" w:hAnsi="Times New Roman" w:cs="Times New Roman"/>
          <w:lang w:val="en-US"/>
        </w:rPr>
        <w:t xml:space="preserve">remains </w:t>
      </w:r>
      <w:r w:rsidR="00020254" w:rsidRPr="00020254">
        <w:rPr>
          <w:rFonts w:ascii="Times New Roman" w:hAnsi="Times New Roman" w:cs="Times New Roman"/>
          <w:lang w:val="en-US"/>
        </w:rPr>
        <w:t xml:space="preserve">an area of interest </w:t>
      </w:r>
      <w:r w:rsidR="009D6E93">
        <w:rPr>
          <w:rFonts w:ascii="Times New Roman" w:hAnsi="Times New Roman" w:cs="Times New Roman"/>
          <w:lang w:val="en-US"/>
        </w:rPr>
        <w:t>for</w:t>
      </w:r>
      <w:r w:rsidR="00020254" w:rsidRPr="00020254">
        <w:rPr>
          <w:rFonts w:ascii="Times New Roman" w:hAnsi="Times New Roman" w:cs="Times New Roman"/>
          <w:lang w:val="en-US"/>
        </w:rPr>
        <w:t xml:space="preserve"> </w:t>
      </w:r>
      <w:r w:rsidR="00B719C9" w:rsidRPr="00020254">
        <w:rPr>
          <w:rFonts w:ascii="Times New Roman" w:hAnsi="Times New Roman" w:cs="Times New Roman"/>
          <w:lang w:val="en-US"/>
        </w:rPr>
        <w:t>manufacturers</w:t>
      </w:r>
      <w:r w:rsidR="00020254" w:rsidRPr="00020254">
        <w:rPr>
          <w:rFonts w:ascii="Times New Roman" w:hAnsi="Times New Roman" w:cs="Times New Roman"/>
          <w:lang w:val="en-US"/>
        </w:rPr>
        <w:t xml:space="preserve"> and retailers, </w:t>
      </w:r>
      <w:r w:rsidR="009D6E93">
        <w:rPr>
          <w:rFonts w:ascii="Times New Roman" w:hAnsi="Times New Roman" w:cs="Times New Roman"/>
          <w:lang w:val="en-US"/>
        </w:rPr>
        <w:t xml:space="preserve">understanding </w:t>
      </w:r>
      <w:r w:rsidR="00020254" w:rsidRPr="00020254">
        <w:rPr>
          <w:rFonts w:ascii="Times New Roman" w:hAnsi="Times New Roman" w:cs="Times New Roman"/>
          <w:lang w:val="en-US"/>
        </w:rPr>
        <w:t xml:space="preserve">the </w:t>
      </w:r>
      <w:r w:rsidR="00234829">
        <w:rPr>
          <w:rFonts w:ascii="Times New Roman" w:hAnsi="Times New Roman" w:cs="Times New Roman"/>
          <w:lang w:val="en-US"/>
        </w:rPr>
        <w:t xml:space="preserve">expansion </w:t>
      </w:r>
      <w:r w:rsidR="00020254" w:rsidRPr="00020254">
        <w:rPr>
          <w:rFonts w:ascii="Times New Roman" w:hAnsi="Times New Roman" w:cs="Times New Roman"/>
          <w:lang w:val="en-US"/>
        </w:rPr>
        <w:t>drivers continue</w:t>
      </w:r>
      <w:r w:rsidR="009D6E93">
        <w:rPr>
          <w:rFonts w:ascii="Times New Roman" w:hAnsi="Times New Roman" w:cs="Times New Roman"/>
          <w:lang w:val="en-US"/>
        </w:rPr>
        <w:t>s</w:t>
      </w:r>
      <w:r w:rsidR="00020254" w:rsidRPr="00020254">
        <w:rPr>
          <w:rFonts w:ascii="Times New Roman" w:hAnsi="Times New Roman" w:cs="Times New Roman"/>
          <w:lang w:val="en-US"/>
        </w:rPr>
        <w:t xml:space="preserve"> to be a challenge in </w:t>
      </w:r>
      <w:r w:rsidR="00B719C9">
        <w:rPr>
          <w:rFonts w:ascii="Times New Roman" w:hAnsi="Times New Roman" w:cs="Times New Roman"/>
          <w:lang w:val="en-US"/>
        </w:rPr>
        <w:t xml:space="preserve">academic </w:t>
      </w:r>
      <w:r w:rsidR="00020254" w:rsidRPr="00020254">
        <w:rPr>
          <w:rFonts w:ascii="Times New Roman" w:hAnsi="Times New Roman" w:cs="Times New Roman"/>
          <w:lang w:val="en-US"/>
        </w:rPr>
        <w:t xml:space="preserve">research. Prior studies </w:t>
      </w:r>
      <w:r w:rsidR="001E448C">
        <w:rPr>
          <w:rFonts w:ascii="Times New Roman" w:hAnsi="Times New Roman" w:cs="Times New Roman"/>
          <w:lang w:val="en-US"/>
        </w:rPr>
        <w:t xml:space="preserve">have </w:t>
      </w:r>
      <w:r w:rsidR="00020254" w:rsidRPr="00020254">
        <w:rPr>
          <w:rFonts w:ascii="Times New Roman" w:hAnsi="Times New Roman" w:cs="Times New Roman"/>
          <w:lang w:val="en-US"/>
        </w:rPr>
        <w:t>suggest</w:t>
      </w:r>
      <w:r w:rsidR="001E448C">
        <w:rPr>
          <w:rFonts w:ascii="Times New Roman" w:hAnsi="Times New Roman" w:cs="Times New Roman"/>
          <w:lang w:val="en-US"/>
        </w:rPr>
        <w:t>ed</w:t>
      </w:r>
      <w:r w:rsidR="00020254" w:rsidRPr="00020254">
        <w:rPr>
          <w:rFonts w:ascii="Times New Roman" w:hAnsi="Times New Roman" w:cs="Times New Roman"/>
          <w:lang w:val="en-US"/>
        </w:rPr>
        <w:t xml:space="preserve"> that categories grow </w:t>
      </w:r>
      <w:r w:rsidR="009E56B2">
        <w:rPr>
          <w:rFonts w:ascii="Times New Roman" w:hAnsi="Times New Roman" w:cs="Times New Roman"/>
          <w:lang w:val="en-US"/>
        </w:rPr>
        <w:t>through</w:t>
      </w:r>
      <w:r w:rsidR="00020254" w:rsidRPr="00020254">
        <w:rPr>
          <w:rFonts w:ascii="Times New Roman" w:hAnsi="Times New Roman" w:cs="Times New Roman"/>
          <w:lang w:val="en-US"/>
        </w:rPr>
        <w:t xml:space="preserve"> manufacturer or industry-specific factors </w:t>
      </w:r>
      <w:r w:rsidR="00020254" w:rsidRPr="00020254">
        <w:rPr>
          <w:rFonts w:ascii="Times New Roman" w:hAnsi="Times New Roman" w:cs="Times New Roman"/>
          <w:lang w:val="en-US"/>
        </w:rPr>
        <w:fldChar w:fldCharType="begin"/>
      </w:r>
      <w:r w:rsidR="008E532F">
        <w:rPr>
          <w:rFonts w:ascii="Times New Roman" w:hAnsi="Times New Roman" w:cs="Times New Roman"/>
          <w:lang w:val="en-US"/>
        </w:rPr>
        <w:instrText xml:space="preserve"> ADDIN EN.CITE &lt;EndNote&gt;&lt;Cite&gt;&lt;Author&gt;Putsis Jr&lt;/Author&gt;&lt;Year&gt;1998&lt;/Year&gt;&lt;RecNum&gt;25935&lt;/RecNum&gt;&lt;DisplayText&gt;(Putsis Jr, 1998)&lt;/DisplayText&gt;&lt;record&gt;&lt;rec-number&gt;25935&lt;/rec-number&gt;&lt;foreign-keys&gt;&lt;key app="EN" db-id="sx2xx5asfvve5nev2dk5sseztwa92sptwfz0"&gt;25935</w:instrText>
      </w:r>
      <w:r w:rsidR="008E532F">
        <w:rPr>
          <w:rFonts w:ascii="Times New Roman" w:hAnsi="Times New Roman" w:cs="Times New Roman" w:hint="eastAsia"/>
          <w:lang w:val="en-US"/>
        </w:rPr>
        <w:instrText>&lt;/key&gt;&lt;/foreign-keys&gt;&lt;ref-type name="Journal Article"&gt;17&lt;/ref-type&gt;&lt;contributors&gt;&lt;authors&gt;&lt;author&gt;Putsis Jr, William P.&lt;/author&gt;&lt;/authors&gt;&lt;/contributors&gt;&lt;titles&gt;&lt;title&gt;Are Brand Promotions Just a Zero</w:instrText>
      </w:r>
      <w:r w:rsidR="008E532F">
        <w:rPr>
          <w:rFonts w:ascii="Times New Roman" w:hAnsi="Times New Roman" w:cs="Times New Roman" w:hint="eastAsia"/>
          <w:lang w:val="en-US"/>
        </w:rPr>
        <w:instrText>‐</w:instrText>
      </w:r>
      <w:r w:rsidR="008E532F">
        <w:rPr>
          <w:rFonts w:ascii="Times New Roman" w:hAnsi="Times New Roman" w:cs="Times New Roman" w:hint="eastAsia"/>
          <w:lang w:val="en-US"/>
        </w:rPr>
        <w:instrText>Sum Game</w:instrText>
      </w:r>
      <w:r w:rsidR="008E532F">
        <w:rPr>
          <w:rFonts w:ascii="Times New Roman" w:hAnsi="Times New Roman" w:cs="Times New Roman" w:hint="eastAsia"/>
          <w:lang w:val="en-US"/>
        </w:rPr>
        <w:instrText>–</w:instrText>
      </w:r>
      <w:r w:rsidR="008E532F">
        <w:rPr>
          <w:rFonts w:ascii="Times New Roman" w:hAnsi="Times New Roman" w:cs="Times New Roman" w:hint="eastAsia"/>
          <w:lang w:val="en-US"/>
        </w:rPr>
        <w:instrText>or Can They Increase the Size of the Pie?&lt;/ti</w:instrText>
      </w:r>
      <w:r w:rsidR="008E532F">
        <w:rPr>
          <w:rFonts w:ascii="Times New Roman" w:hAnsi="Times New Roman" w:cs="Times New Roman"/>
          <w:lang w:val="en-US"/>
        </w:rPr>
        <w:instrText>tle&gt;&lt;secondary-title&gt;Business Strategy Review&lt;/secondary-title&gt;&lt;/titles&gt;&lt;pages&gt;21-32&lt;/pages&gt;&lt;volume&gt;9&lt;/volume&gt;&lt;number&gt;3&lt;/number&gt;&lt;dates&gt;&lt;year&gt;1998&lt;/year&gt;&lt;/dates&gt;&lt;publisher&gt;Wiley Online&lt;/publisher&gt;&lt;isbn&gt;1467-8616&lt;/isbn&gt;&lt;urls&gt;&lt;/urls&gt;&lt;/record&gt;&lt;/Cite&gt;&lt;/EndNote&gt;</w:instrText>
      </w:r>
      <w:r w:rsidR="00020254" w:rsidRPr="00020254">
        <w:rPr>
          <w:rFonts w:ascii="Times New Roman" w:hAnsi="Times New Roman" w:cs="Times New Roman"/>
          <w:lang w:val="en-US"/>
        </w:rPr>
        <w:fldChar w:fldCharType="separate"/>
      </w:r>
      <w:r w:rsidR="008E532F">
        <w:rPr>
          <w:rFonts w:ascii="Times New Roman" w:hAnsi="Times New Roman" w:cs="Times New Roman"/>
          <w:noProof/>
          <w:lang w:val="en-US"/>
        </w:rPr>
        <w:t>(Putsis Jr, 1998)</w:t>
      </w:r>
      <w:r w:rsidR="00020254" w:rsidRPr="00020254">
        <w:rPr>
          <w:rFonts w:ascii="Times New Roman" w:hAnsi="Times New Roman" w:cs="Times New Roman"/>
        </w:rPr>
        <w:fldChar w:fldCharType="end"/>
      </w:r>
      <w:r w:rsidR="00020254" w:rsidRPr="00020254">
        <w:rPr>
          <w:rFonts w:ascii="Times New Roman" w:hAnsi="Times New Roman" w:cs="Times New Roman"/>
          <w:lang w:val="en-US"/>
        </w:rPr>
        <w:t xml:space="preserve"> under manufacturers’ control or influence</w:t>
      </w:r>
      <w:r w:rsidR="001E448C">
        <w:rPr>
          <w:rFonts w:ascii="Times New Roman" w:hAnsi="Times New Roman" w:cs="Times New Roman"/>
          <w:lang w:val="en-US"/>
        </w:rPr>
        <w:t>;</w:t>
      </w:r>
      <w:r w:rsidR="00020254" w:rsidRPr="00020254">
        <w:rPr>
          <w:rFonts w:ascii="Times New Roman" w:hAnsi="Times New Roman" w:cs="Times New Roman"/>
          <w:lang w:val="en-US"/>
        </w:rPr>
        <w:t xml:space="preserve"> or </w:t>
      </w:r>
      <w:r w:rsidR="001E448C">
        <w:rPr>
          <w:rFonts w:ascii="Times New Roman" w:hAnsi="Times New Roman" w:cs="Times New Roman"/>
          <w:lang w:val="en-US"/>
        </w:rPr>
        <w:t>through</w:t>
      </w:r>
      <w:r w:rsidR="00020254" w:rsidRPr="00020254">
        <w:rPr>
          <w:rFonts w:ascii="Times New Roman" w:hAnsi="Times New Roman" w:cs="Times New Roman"/>
          <w:lang w:val="en-US"/>
        </w:rPr>
        <w:t xml:space="preserve"> macroeconomic factors </w:t>
      </w:r>
      <w:r w:rsidR="00234829">
        <w:rPr>
          <w:rFonts w:ascii="Times New Roman" w:hAnsi="Times New Roman" w:cs="Times New Roman"/>
          <w:lang w:val="en-US"/>
        </w:rPr>
        <w:t>beyond manufacture</w:t>
      </w:r>
      <w:r w:rsidR="00020254" w:rsidRPr="00020254">
        <w:rPr>
          <w:rFonts w:ascii="Times New Roman" w:hAnsi="Times New Roman" w:cs="Times New Roman"/>
          <w:lang w:val="en-US"/>
        </w:rPr>
        <w:t xml:space="preserve"> control or influence </w:t>
      </w:r>
      <w:r w:rsidR="00020254" w:rsidRPr="00020254">
        <w:rPr>
          <w:rFonts w:ascii="Times New Roman" w:hAnsi="Times New Roman" w:cs="Times New Roman"/>
          <w:lang w:val="en-US"/>
        </w:rPr>
        <w:fldChar w:fldCharType="begin"/>
      </w:r>
      <w:r w:rsidR="008E532F">
        <w:rPr>
          <w:rFonts w:ascii="Times New Roman" w:hAnsi="Times New Roman" w:cs="Times New Roman"/>
          <w:lang w:val="en-US"/>
        </w:rPr>
        <w:instrText xml:space="preserve"> ADDIN EN.CITE &lt;EndNote&gt;&lt;Cite&gt;&lt;Author&gt;Storey&lt;/Author&gt;&lt;Year&gt;2003&lt;/Year&gt;&lt;RecNum&gt;25943&lt;/RecNum&gt;&lt;DisplayText&gt;(Storey, 2003)&lt;/DisplayText&gt;&lt;record&gt;&lt;rec-number&gt;25943&lt;/rec-number&gt;&lt;foreign-keys&gt;&lt;key app="EN" db-id="sx2xx5asfvve5nev2dk5sseztwa92sptwfz0"&gt;25943&lt;/key&gt;&lt;/foreign-keys&gt;&lt;ref-type name="Conference Paper"&gt;47&lt;/ref-type&gt;&lt;contributors&gt;&lt;authors&gt;&lt;author&gt;Storey, John&lt;/author&gt;&lt;/authors&gt;&lt;/contributors&gt;&lt;titles&gt;&lt;title&gt;Harnessing consumer and market trends to drive the category: A case study of the pizza market in general and the effect on the chilled pizza category&lt;/title&gt;&lt;secondary-title&gt;ESOMAR&lt;/secondary-title&gt;&lt;/titles&gt;&lt;dates&gt;&lt;year&gt;2003&lt;/year&gt;&lt;pub-dates&gt;&lt;date&gt;October&lt;/date&gt;&lt;/pub-dates&gt;&lt;/dates&gt;&lt;pub-location&gt;Dublin&lt;/pub-location&gt;&lt;publisher&gt;WARC&lt;/publisher&gt;&lt;urls&gt;&lt;/urls&gt;&lt;/record&gt;&lt;/Cite&gt;&lt;/EndNote&gt;</w:instrText>
      </w:r>
      <w:r w:rsidR="00020254" w:rsidRPr="00020254">
        <w:rPr>
          <w:rFonts w:ascii="Times New Roman" w:hAnsi="Times New Roman" w:cs="Times New Roman"/>
          <w:lang w:val="en-US"/>
        </w:rPr>
        <w:fldChar w:fldCharType="separate"/>
      </w:r>
      <w:r w:rsidR="008E532F">
        <w:rPr>
          <w:rFonts w:ascii="Times New Roman" w:hAnsi="Times New Roman" w:cs="Times New Roman"/>
          <w:noProof/>
          <w:lang w:val="en-US"/>
        </w:rPr>
        <w:t>(Storey, 2003)</w:t>
      </w:r>
      <w:r w:rsidR="00020254" w:rsidRPr="00020254">
        <w:rPr>
          <w:rFonts w:ascii="Times New Roman" w:hAnsi="Times New Roman" w:cs="Times New Roman"/>
        </w:rPr>
        <w:fldChar w:fldCharType="end"/>
      </w:r>
      <w:r w:rsidR="00020254" w:rsidRPr="00020254">
        <w:rPr>
          <w:rFonts w:ascii="Times New Roman" w:hAnsi="Times New Roman" w:cs="Times New Roman"/>
          <w:lang w:val="en-US"/>
        </w:rPr>
        <w:t xml:space="preserve">. However, </w:t>
      </w:r>
      <w:r w:rsidR="001E448C">
        <w:rPr>
          <w:rFonts w:ascii="Times New Roman" w:hAnsi="Times New Roman" w:cs="Times New Roman"/>
          <w:lang w:val="en-US"/>
        </w:rPr>
        <w:t>it</w:t>
      </w:r>
      <w:r w:rsidR="00020254" w:rsidRPr="00020254">
        <w:rPr>
          <w:rFonts w:ascii="Times New Roman" w:hAnsi="Times New Roman" w:cs="Times New Roman"/>
          <w:lang w:val="en-US"/>
        </w:rPr>
        <w:t xml:space="preserve"> </w:t>
      </w:r>
      <w:r w:rsidR="001E448C">
        <w:rPr>
          <w:rFonts w:ascii="Times New Roman" w:hAnsi="Times New Roman" w:cs="Times New Roman"/>
          <w:lang w:val="en-US"/>
        </w:rPr>
        <w:t xml:space="preserve">has </w:t>
      </w:r>
      <w:r w:rsidR="00020254" w:rsidRPr="00020254">
        <w:rPr>
          <w:rFonts w:ascii="Times New Roman" w:hAnsi="Times New Roman" w:cs="Times New Roman"/>
          <w:lang w:val="en-US"/>
        </w:rPr>
        <w:t>fail</w:t>
      </w:r>
      <w:r w:rsidR="001E448C">
        <w:rPr>
          <w:rFonts w:ascii="Times New Roman" w:hAnsi="Times New Roman" w:cs="Times New Roman"/>
          <w:lang w:val="en-US"/>
        </w:rPr>
        <w:t>ed</w:t>
      </w:r>
      <w:r w:rsidR="00020254" w:rsidRPr="00020254">
        <w:rPr>
          <w:rFonts w:ascii="Times New Roman" w:hAnsi="Times New Roman" w:cs="Times New Roman"/>
          <w:lang w:val="en-US"/>
        </w:rPr>
        <w:t xml:space="preserve"> to consider these factors in tandem, or </w:t>
      </w:r>
      <w:r w:rsidR="009D6E93">
        <w:rPr>
          <w:rFonts w:ascii="Times New Roman" w:hAnsi="Times New Roman" w:cs="Times New Roman"/>
          <w:lang w:val="en-US"/>
        </w:rPr>
        <w:t xml:space="preserve">to </w:t>
      </w:r>
      <w:r w:rsidR="001210F8">
        <w:rPr>
          <w:rFonts w:ascii="Times New Roman" w:hAnsi="Times New Roman" w:cs="Times New Roman"/>
          <w:lang w:val="en-US"/>
        </w:rPr>
        <w:t xml:space="preserve">use </w:t>
      </w:r>
      <w:r w:rsidR="00020254" w:rsidRPr="00020254">
        <w:rPr>
          <w:rFonts w:ascii="Times New Roman" w:hAnsi="Times New Roman" w:cs="Times New Roman"/>
          <w:lang w:val="en-US"/>
        </w:rPr>
        <w:t xml:space="preserve">standardized measures to benchmark </w:t>
      </w:r>
      <w:r w:rsidR="001E448C">
        <w:rPr>
          <w:rFonts w:ascii="Times New Roman" w:hAnsi="Times New Roman" w:cs="Times New Roman"/>
          <w:lang w:val="en-US"/>
        </w:rPr>
        <w:t>category</w:t>
      </w:r>
      <w:r w:rsidR="00020254" w:rsidRPr="00020254">
        <w:rPr>
          <w:rFonts w:ascii="Times New Roman" w:hAnsi="Times New Roman" w:cs="Times New Roman"/>
          <w:lang w:val="en-US"/>
        </w:rPr>
        <w:t xml:space="preserve"> performance </w:t>
      </w:r>
      <w:r w:rsidR="00020254" w:rsidRPr="00020254">
        <w:rPr>
          <w:rFonts w:ascii="Times New Roman" w:hAnsi="Times New Roman" w:cs="Times New Roman"/>
          <w:lang w:val="en-US"/>
        </w:rPr>
        <w:fldChar w:fldCharType="begin"/>
      </w:r>
      <w:r w:rsidR="008E532F">
        <w:rPr>
          <w:rFonts w:ascii="Times New Roman" w:hAnsi="Times New Roman" w:cs="Times New Roman"/>
          <w:lang w:val="en-US"/>
        </w:rPr>
        <w:instrText xml:space="preserve"> ADDIN EN.CITE &lt;EndNote&gt;&lt;Cite&gt;&lt;Author&gt;Dhar&lt;/Author&gt;&lt;Year&gt;2000&lt;/Year&gt;&lt;RecNum&gt;7252&lt;/RecNum&gt;&lt;DisplayText&gt;(Dhar et al., 2000)&lt;/DisplayText&gt;&lt;record&gt;&lt;rec-number&gt;7252&lt;/rec-number&gt;&lt;foreign-keys&gt;&lt;key app="EN" db-id="sx2xx5asfvve5nev2dk5sseztwa92sptwfz0"&gt;7252&lt;/key&gt;&lt;/foreign-keys&gt;&lt;ref-type name="Journal Article"&gt;17&lt;/ref-type&gt;&lt;contributors&gt;&lt;authors&gt;&lt;author&gt;Dhar, Sanjay. K.&lt;/author&gt;&lt;author&gt;Hoch, Stephen. J.&lt;/author&gt;&lt;author&gt;Kumar, Nanda&lt;/author&gt;&lt;/authors&gt;&lt;/contributors&gt;&lt;titles&gt;&lt;title&gt;Why Retailers Sell More or Less Than Their Fair Share in a Category&lt;/title&gt;&lt;/titles&gt;&lt;keywords&gt;&lt;keyword&gt;whether retailers sell more or less than their fair share in a category&lt;/keyword&gt;&lt;/keywords&gt;&lt;dates&gt;&lt;year&gt;2000&lt;/year&gt;&lt;pub-dates&gt;&lt;date&gt;October 2000&lt;/date&gt;&lt;/pub-dates&gt;&lt;/dates&gt;&lt;urls&gt;&lt;/urls&gt;&lt;/record&gt;&lt;/Cite&gt;&lt;/EndNote&gt;</w:instrText>
      </w:r>
      <w:r w:rsidR="00020254" w:rsidRPr="00020254">
        <w:rPr>
          <w:rFonts w:ascii="Times New Roman" w:hAnsi="Times New Roman" w:cs="Times New Roman"/>
          <w:lang w:val="en-US"/>
        </w:rPr>
        <w:fldChar w:fldCharType="separate"/>
      </w:r>
      <w:r w:rsidR="008E532F">
        <w:rPr>
          <w:rFonts w:ascii="Times New Roman" w:hAnsi="Times New Roman" w:cs="Times New Roman"/>
          <w:noProof/>
          <w:lang w:val="en-US"/>
        </w:rPr>
        <w:t>(Dhar et al., 2000)</w:t>
      </w:r>
      <w:r w:rsidR="00020254" w:rsidRPr="00020254">
        <w:rPr>
          <w:rFonts w:ascii="Times New Roman" w:hAnsi="Times New Roman" w:cs="Times New Roman"/>
        </w:rPr>
        <w:fldChar w:fldCharType="end"/>
      </w:r>
      <w:r w:rsidR="00020254" w:rsidRPr="00020254">
        <w:rPr>
          <w:rFonts w:ascii="Times New Roman" w:hAnsi="Times New Roman" w:cs="Times New Roman"/>
          <w:lang w:val="en-US"/>
        </w:rPr>
        <w:t xml:space="preserve">. </w:t>
      </w:r>
      <w:r w:rsidR="001E448C">
        <w:rPr>
          <w:rFonts w:ascii="Times New Roman" w:hAnsi="Times New Roman" w:cs="Times New Roman"/>
          <w:lang w:val="en-US"/>
        </w:rPr>
        <w:t xml:space="preserve">Thus </w:t>
      </w:r>
      <w:r w:rsidR="00234829">
        <w:rPr>
          <w:rFonts w:ascii="Times New Roman" w:hAnsi="Times New Roman" w:cs="Times New Roman"/>
          <w:lang w:val="en-US"/>
        </w:rPr>
        <w:t>our aim</w:t>
      </w:r>
      <w:r w:rsidR="00020254" w:rsidRPr="00020254">
        <w:rPr>
          <w:rFonts w:ascii="Times New Roman" w:hAnsi="Times New Roman" w:cs="Times New Roman"/>
          <w:lang w:val="en-US"/>
        </w:rPr>
        <w:t xml:space="preserve"> is </w:t>
      </w:r>
      <w:r w:rsidR="00234829">
        <w:rPr>
          <w:rFonts w:ascii="Times New Roman" w:hAnsi="Times New Roman" w:cs="Times New Roman"/>
          <w:lang w:val="en-US"/>
        </w:rPr>
        <w:t xml:space="preserve">first </w:t>
      </w:r>
      <w:r w:rsidR="00020254" w:rsidRPr="00020254">
        <w:rPr>
          <w:rFonts w:ascii="Times New Roman" w:hAnsi="Times New Roman" w:cs="Times New Roman"/>
          <w:lang w:val="en-US"/>
        </w:rPr>
        <w:t xml:space="preserve">to </w:t>
      </w:r>
      <w:r w:rsidR="009D6E93">
        <w:rPr>
          <w:rFonts w:ascii="Times New Roman" w:hAnsi="Times New Roman" w:cs="Times New Roman"/>
          <w:lang w:val="en-US"/>
        </w:rPr>
        <w:t>identify</w:t>
      </w:r>
      <w:r w:rsidR="00020254" w:rsidRPr="00020254">
        <w:rPr>
          <w:rFonts w:ascii="Times New Roman" w:hAnsi="Times New Roman" w:cs="Times New Roman"/>
          <w:lang w:val="en-US"/>
        </w:rPr>
        <w:t xml:space="preserve"> the factors </w:t>
      </w:r>
      <w:r w:rsidR="009D6E93">
        <w:rPr>
          <w:rFonts w:ascii="Times New Roman" w:hAnsi="Times New Roman" w:cs="Times New Roman"/>
          <w:lang w:val="en-US"/>
        </w:rPr>
        <w:t>a</w:t>
      </w:r>
      <w:r w:rsidR="00020254" w:rsidRPr="00020254">
        <w:rPr>
          <w:rFonts w:ascii="Times New Roman" w:hAnsi="Times New Roman" w:cs="Times New Roman"/>
          <w:lang w:val="en-US"/>
        </w:rPr>
        <w:t xml:space="preserve"> manufacturer can influence</w:t>
      </w:r>
      <w:r w:rsidR="001E448C">
        <w:rPr>
          <w:rFonts w:ascii="Times New Roman" w:hAnsi="Times New Roman" w:cs="Times New Roman"/>
          <w:lang w:val="en-US"/>
        </w:rPr>
        <w:t>,</w:t>
      </w:r>
      <w:r w:rsidR="00020254" w:rsidRPr="00020254">
        <w:rPr>
          <w:rFonts w:ascii="Times New Roman" w:hAnsi="Times New Roman" w:cs="Times New Roman"/>
          <w:lang w:val="en-US"/>
        </w:rPr>
        <w:t xml:space="preserve"> </w:t>
      </w:r>
      <w:r w:rsidR="000D0695">
        <w:rPr>
          <w:rFonts w:ascii="Times New Roman" w:hAnsi="Times New Roman" w:cs="Times New Roman"/>
          <w:lang w:val="en-US"/>
        </w:rPr>
        <w:t xml:space="preserve">and </w:t>
      </w:r>
      <w:r w:rsidR="00234829">
        <w:rPr>
          <w:rFonts w:ascii="Times New Roman" w:hAnsi="Times New Roman" w:cs="Times New Roman"/>
          <w:lang w:val="en-US"/>
        </w:rPr>
        <w:t xml:space="preserve">then </w:t>
      </w:r>
      <w:r w:rsidR="009D6E93">
        <w:rPr>
          <w:rFonts w:ascii="Times New Roman" w:hAnsi="Times New Roman" w:cs="Times New Roman"/>
          <w:lang w:val="en-US"/>
        </w:rPr>
        <w:t xml:space="preserve">investigate </w:t>
      </w:r>
      <w:r w:rsidR="000D0695">
        <w:rPr>
          <w:rFonts w:ascii="Times New Roman" w:hAnsi="Times New Roman" w:cs="Times New Roman"/>
          <w:lang w:val="en-US"/>
        </w:rPr>
        <w:t>which are most commonly</w:t>
      </w:r>
      <w:r w:rsidR="00020254" w:rsidRPr="00020254">
        <w:rPr>
          <w:rFonts w:ascii="Times New Roman" w:hAnsi="Times New Roman" w:cs="Times New Roman"/>
          <w:lang w:val="en-US"/>
        </w:rPr>
        <w:t xml:space="preserve"> associated with category </w:t>
      </w:r>
      <w:r w:rsidR="00604CC6">
        <w:rPr>
          <w:rFonts w:ascii="Times New Roman" w:hAnsi="Times New Roman" w:cs="Times New Roman"/>
          <w:lang w:val="en-US"/>
        </w:rPr>
        <w:t xml:space="preserve">sales </w:t>
      </w:r>
      <w:r w:rsidR="00020254" w:rsidRPr="00020254">
        <w:rPr>
          <w:rFonts w:ascii="Times New Roman" w:hAnsi="Times New Roman" w:cs="Times New Roman"/>
          <w:lang w:val="en-US"/>
        </w:rPr>
        <w:t>dynamics</w:t>
      </w:r>
      <w:r w:rsidR="00234829">
        <w:rPr>
          <w:rFonts w:ascii="Times New Roman" w:hAnsi="Times New Roman" w:cs="Times New Roman"/>
          <w:lang w:val="en-US"/>
        </w:rPr>
        <w:t>,</w:t>
      </w:r>
      <w:r w:rsidR="009D6E93">
        <w:rPr>
          <w:rFonts w:ascii="Times New Roman" w:hAnsi="Times New Roman" w:cs="Times New Roman"/>
          <w:lang w:val="en-US"/>
        </w:rPr>
        <w:t xml:space="preserve"> </w:t>
      </w:r>
      <w:r w:rsidR="00234829">
        <w:rPr>
          <w:rFonts w:ascii="Times New Roman" w:hAnsi="Times New Roman" w:cs="Times New Roman"/>
          <w:lang w:val="en-US"/>
        </w:rPr>
        <w:t xml:space="preserve">through </w:t>
      </w:r>
      <w:r w:rsidR="00604CC6">
        <w:rPr>
          <w:rFonts w:ascii="Times New Roman" w:hAnsi="Times New Roman" w:cs="Times New Roman"/>
          <w:lang w:val="en-US"/>
        </w:rPr>
        <w:t xml:space="preserve">many </w:t>
      </w:r>
      <w:r w:rsidR="009D6E93">
        <w:rPr>
          <w:rFonts w:ascii="Times New Roman" w:hAnsi="Times New Roman" w:cs="Times New Roman"/>
          <w:lang w:val="en-US"/>
        </w:rPr>
        <w:t>observ</w:t>
      </w:r>
      <w:r w:rsidR="00234829">
        <w:rPr>
          <w:rFonts w:ascii="Times New Roman" w:hAnsi="Times New Roman" w:cs="Times New Roman"/>
          <w:lang w:val="en-US"/>
        </w:rPr>
        <w:t>ation</w:t>
      </w:r>
      <w:r w:rsidR="00604CC6">
        <w:rPr>
          <w:rFonts w:ascii="Times New Roman" w:hAnsi="Times New Roman" w:cs="Times New Roman"/>
          <w:lang w:val="en-US"/>
        </w:rPr>
        <w:t>s</w:t>
      </w:r>
      <w:r w:rsidR="00234829">
        <w:rPr>
          <w:rFonts w:ascii="Times New Roman" w:hAnsi="Times New Roman" w:cs="Times New Roman"/>
          <w:lang w:val="en-US"/>
        </w:rPr>
        <w:t xml:space="preserve"> under </w:t>
      </w:r>
      <w:r w:rsidR="00604CC6">
        <w:rPr>
          <w:rFonts w:ascii="Times New Roman" w:hAnsi="Times New Roman" w:cs="Times New Roman"/>
          <w:lang w:val="en-US"/>
        </w:rPr>
        <w:t xml:space="preserve">the </w:t>
      </w:r>
      <w:r w:rsidR="00234829">
        <w:rPr>
          <w:rFonts w:ascii="Times New Roman" w:hAnsi="Times New Roman" w:cs="Times New Roman"/>
          <w:lang w:val="en-US"/>
        </w:rPr>
        <w:t>different</w:t>
      </w:r>
      <w:r w:rsidR="00604CC6">
        <w:rPr>
          <w:rFonts w:ascii="Times New Roman" w:hAnsi="Times New Roman" w:cs="Times New Roman"/>
          <w:lang w:val="en-US"/>
        </w:rPr>
        <w:t>iated</w:t>
      </w:r>
      <w:r w:rsidR="000D0695">
        <w:rPr>
          <w:rFonts w:ascii="Times New Roman" w:hAnsi="Times New Roman" w:cs="Times New Roman"/>
          <w:lang w:val="en-US"/>
        </w:rPr>
        <w:t xml:space="preserve"> conditions </w:t>
      </w:r>
      <w:r w:rsidR="00604CC6">
        <w:rPr>
          <w:rFonts w:ascii="Times New Roman" w:hAnsi="Times New Roman" w:cs="Times New Roman"/>
          <w:lang w:val="en-US"/>
        </w:rPr>
        <w:t>of country,</w:t>
      </w:r>
      <w:r w:rsidR="009D6E93">
        <w:rPr>
          <w:rFonts w:ascii="Times New Roman" w:hAnsi="Times New Roman" w:cs="Times New Roman"/>
          <w:lang w:val="en-US"/>
        </w:rPr>
        <w:t xml:space="preserve"> </w:t>
      </w:r>
      <w:r w:rsidR="00604CC6">
        <w:rPr>
          <w:rFonts w:ascii="Times New Roman" w:hAnsi="Times New Roman" w:cs="Times New Roman"/>
          <w:lang w:val="en-US"/>
        </w:rPr>
        <w:t xml:space="preserve">size, type, market </w:t>
      </w:r>
      <w:r w:rsidR="00752B8A">
        <w:rPr>
          <w:rFonts w:ascii="Times New Roman" w:hAnsi="Times New Roman" w:cs="Times New Roman"/>
          <w:lang w:val="en-US"/>
        </w:rPr>
        <w:t>maturity</w:t>
      </w:r>
      <w:r w:rsidR="00604CC6">
        <w:rPr>
          <w:rFonts w:ascii="Times New Roman" w:hAnsi="Times New Roman" w:cs="Times New Roman"/>
          <w:lang w:val="en-US"/>
        </w:rPr>
        <w:t xml:space="preserve"> and time.</w:t>
      </w:r>
    </w:p>
    <w:p w14:paraId="19ED2C37" w14:textId="77777777" w:rsidR="00020254" w:rsidRPr="00020254" w:rsidRDefault="00020254" w:rsidP="00020254">
      <w:pPr>
        <w:rPr>
          <w:rFonts w:ascii="Times New Roman" w:hAnsi="Times New Roman" w:cs="Times New Roman"/>
          <w:lang w:val="en-US"/>
        </w:rPr>
      </w:pPr>
    </w:p>
    <w:p w14:paraId="3AC609EE" w14:textId="26CD1C04" w:rsidR="00501379" w:rsidRPr="005643CE" w:rsidRDefault="00234829" w:rsidP="00501379">
      <w:pPr>
        <w:rPr>
          <w:rFonts w:ascii="Times New Roman" w:hAnsi="Times New Roman" w:cs="Times New Roman"/>
        </w:rPr>
      </w:pPr>
      <w:r>
        <w:rPr>
          <w:rFonts w:ascii="Times New Roman" w:hAnsi="Times New Roman" w:cs="Times New Roman"/>
          <w:lang w:val="en-US"/>
        </w:rPr>
        <w:t>F</w:t>
      </w:r>
      <w:r w:rsidR="002E0E21" w:rsidRPr="001E448C">
        <w:rPr>
          <w:rFonts w:ascii="Times New Roman" w:hAnsi="Times New Roman" w:cs="Times New Roman"/>
          <w:lang w:val="en-US"/>
        </w:rPr>
        <w:t>actors linked to category performance</w:t>
      </w:r>
      <w:r w:rsidR="001E448C" w:rsidRPr="001E448C">
        <w:rPr>
          <w:rFonts w:ascii="Times New Roman" w:hAnsi="Times New Roman" w:cs="Times New Roman"/>
          <w:lang w:val="en-US"/>
        </w:rPr>
        <w:t xml:space="preserve"> have been identified as</w:t>
      </w:r>
      <w:r w:rsidR="002E0E21">
        <w:rPr>
          <w:rFonts w:ascii="Times New Roman" w:hAnsi="Times New Roman" w:cs="Times New Roman"/>
          <w:i/>
          <w:lang w:val="en-US"/>
        </w:rPr>
        <w:t xml:space="preserve"> </w:t>
      </w:r>
      <w:r w:rsidR="00F31884">
        <w:rPr>
          <w:rFonts w:ascii="Times New Roman" w:hAnsi="Times New Roman" w:cs="Times New Roman"/>
          <w:lang w:val="en-US"/>
        </w:rPr>
        <w:t xml:space="preserve">product </w:t>
      </w:r>
      <w:r w:rsidR="00020254" w:rsidRPr="00020254">
        <w:rPr>
          <w:rFonts w:ascii="Times New Roman" w:hAnsi="Times New Roman" w:cs="Times New Roman"/>
          <w:lang w:val="en-US"/>
        </w:rPr>
        <w:t>assortment, shelf-space ass</w:t>
      </w:r>
      <w:r w:rsidR="00F77D83">
        <w:rPr>
          <w:rFonts w:ascii="Times New Roman" w:hAnsi="Times New Roman" w:cs="Times New Roman"/>
          <w:lang w:val="en-US"/>
        </w:rPr>
        <w:t xml:space="preserve">ignments, </w:t>
      </w:r>
      <w:r w:rsidR="005B7863">
        <w:rPr>
          <w:rFonts w:ascii="Times New Roman" w:hAnsi="Times New Roman" w:cs="Times New Roman"/>
          <w:lang w:val="en-US"/>
        </w:rPr>
        <w:t xml:space="preserve">price </w:t>
      </w:r>
      <w:r w:rsidR="00F77D83">
        <w:rPr>
          <w:rFonts w:ascii="Times New Roman" w:hAnsi="Times New Roman" w:cs="Times New Roman"/>
          <w:lang w:val="en-US"/>
        </w:rPr>
        <w:t>promotion</w:t>
      </w:r>
      <w:r w:rsidR="001E448C">
        <w:rPr>
          <w:rFonts w:ascii="Times New Roman" w:hAnsi="Times New Roman" w:cs="Times New Roman"/>
          <w:lang w:val="en-US"/>
        </w:rPr>
        <w:t>,</w:t>
      </w:r>
      <w:r w:rsidR="00F77D83">
        <w:rPr>
          <w:rFonts w:ascii="Times New Roman" w:hAnsi="Times New Roman" w:cs="Times New Roman"/>
          <w:lang w:val="en-US"/>
        </w:rPr>
        <w:t xml:space="preserve"> </w:t>
      </w:r>
      <w:r w:rsidR="00F31884">
        <w:rPr>
          <w:rFonts w:ascii="Times New Roman" w:hAnsi="Times New Roman" w:cs="Times New Roman"/>
          <w:lang w:val="en-US"/>
        </w:rPr>
        <w:t>pricing</w:t>
      </w:r>
      <w:r w:rsidR="005B7863">
        <w:rPr>
          <w:rFonts w:ascii="Times New Roman" w:hAnsi="Times New Roman" w:cs="Times New Roman"/>
          <w:lang w:val="en-US"/>
        </w:rPr>
        <w:t xml:space="preserve"> </w:t>
      </w:r>
      <w:proofErr w:type="gramStart"/>
      <w:r w:rsidR="005B7863">
        <w:rPr>
          <w:rFonts w:ascii="Times New Roman" w:hAnsi="Times New Roman" w:cs="Times New Roman"/>
          <w:lang w:val="en-US"/>
        </w:rPr>
        <w:t>decisions</w:t>
      </w:r>
      <w:r w:rsidR="002A4246">
        <w:rPr>
          <w:rFonts w:ascii="Times New Roman" w:hAnsi="Times New Roman" w:cs="Times New Roman"/>
          <w:lang w:val="en-US"/>
        </w:rPr>
        <w:t xml:space="preserve"> </w:t>
      </w:r>
      <w:r w:rsidR="001E448C">
        <w:rPr>
          <w:rFonts w:ascii="Times New Roman" w:hAnsi="Times New Roman" w:cs="Times New Roman"/>
          <w:lang w:val="en-US"/>
        </w:rPr>
        <w:t>,</w:t>
      </w:r>
      <w:proofErr w:type="gramEnd"/>
      <w:r w:rsidR="00020254" w:rsidRPr="00020254">
        <w:rPr>
          <w:rFonts w:ascii="Times New Roman" w:hAnsi="Times New Roman" w:cs="Times New Roman"/>
          <w:lang w:val="en-US"/>
        </w:rPr>
        <w:fldChar w:fldCharType="begin"/>
      </w:r>
      <w:r w:rsidR="008E532F">
        <w:rPr>
          <w:rFonts w:ascii="Times New Roman" w:hAnsi="Times New Roman" w:cs="Times New Roman"/>
          <w:lang w:val="en-US"/>
        </w:rPr>
        <w:instrText xml:space="preserve"> ADDIN EN.CITE &lt;EndNote&gt;&lt;Cite&gt;&lt;Author&gt;Soberman&lt;/Author&gt;&lt;Year&gt;2005&lt;/Year&gt;&lt;RecNum&gt;25954&lt;/RecNum&gt;&lt;DisplayText&gt;(Soberman and Gatignon, 2005)&lt;/DisplayText&gt;&lt;record&gt;&lt;rec-number&gt;25954&lt;/rec-number&gt;&lt;foreign-keys&gt;&lt;key app="EN" db-id="sx2xx5asfvve5nev2dk5sseztwa92sptwfz0"&gt;25954&lt;/key&gt;&lt;/foreign-keys&gt;&lt;ref-type name="Journal Article"&gt;17&lt;/ref-type&gt;&lt;contributors&gt;&lt;authors&gt;&lt;author&gt;Soberman, David&lt;/author&gt;&lt;author&gt;Gatignon, Hubert&lt;/author&gt;&lt;/authors&gt;&lt;/contributors&gt;&lt;titles&gt;&lt;title&gt;Research issues at the boundary of competitive dynamics and market evolution&lt;/title&gt;&lt;secondary-title&gt;Marketing Science&lt;/secondary-title&gt;&lt;/titles&gt;&lt;pages&gt;165-174&lt;/pages&gt;&lt;volume&gt;24&lt;/volume&gt;&lt;number&gt;1&lt;/number&gt;&lt;dates&gt;&lt;year&gt;2005&lt;/year&gt;&lt;/dates&gt;&lt;publisher&gt;INFORMS&lt;/publisher&gt;&lt;isbn&gt;0732-2399&lt;/isbn&gt;&lt;urls&gt;&lt;/urls&gt;&lt;/record&gt;&lt;/Cite&gt;&lt;/EndNote&gt;</w:instrText>
      </w:r>
      <w:r w:rsidR="00020254" w:rsidRPr="00020254">
        <w:rPr>
          <w:rFonts w:ascii="Times New Roman" w:hAnsi="Times New Roman" w:cs="Times New Roman"/>
          <w:lang w:val="en-US"/>
        </w:rPr>
        <w:fldChar w:fldCharType="separate"/>
      </w:r>
      <w:r w:rsidR="008E532F">
        <w:rPr>
          <w:rFonts w:ascii="Times New Roman" w:hAnsi="Times New Roman" w:cs="Times New Roman"/>
          <w:noProof/>
          <w:lang w:val="en-US"/>
        </w:rPr>
        <w:t>(Soberman and Gatignon, 2005)</w:t>
      </w:r>
      <w:r w:rsidR="00020254" w:rsidRPr="00020254">
        <w:rPr>
          <w:rFonts w:ascii="Times New Roman" w:hAnsi="Times New Roman" w:cs="Times New Roman"/>
        </w:rPr>
        <w:fldChar w:fldCharType="end"/>
      </w:r>
      <w:r w:rsidR="00020254" w:rsidRPr="00020254">
        <w:rPr>
          <w:rFonts w:ascii="Times New Roman" w:hAnsi="Times New Roman" w:cs="Times New Roman"/>
          <w:lang w:val="en-US"/>
        </w:rPr>
        <w:t xml:space="preserve"> and</w:t>
      </w:r>
      <w:r w:rsidR="00F77D83">
        <w:rPr>
          <w:rFonts w:ascii="Times New Roman" w:hAnsi="Times New Roman" w:cs="Times New Roman"/>
          <w:lang w:val="en-US"/>
        </w:rPr>
        <w:t xml:space="preserve"> </w:t>
      </w:r>
      <w:r w:rsidR="00020254" w:rsidRPr="00020254">
        <w:rPr>
          <w:rFonts w:ascii="Times New Roman" w:hAnsi="Times New Roman" w:cs="Times New Roman"/>
          <w:lang w:val="en-US"/>
        </w:rPr>
        <w:t>innovation</w:t>
      </w:r>
      <w:r w:rsidR="005B7863">
        <w:rPr>
          <w:rFonts w:ascii="Times New Roman" w:hAnsi="Times New Roman" w:cs="Times New Roman"/>
          <w:lang w:val="en-US"/>
        </w:rPr>
        <w:t xml:space="preserve"> strategy</w:t>
      </w:r>
      <w:r w:rsidR="00020254" w:rsidRPr="00020254">
        <w:rPr>
          <w:rFonts w:ascii="Times New Roman" w:hAnsi="Times New Roman" w:cs="Times New Roman"/>
          <w:lang w:val="en-US"/>
        </w:rPr>
        <w:t xml:space="preserve"> </w:t>
      </w:r>
      <w:r w:rsidR="00020254" w:rsidRPr="00020254">
        <w:rPr>
          <w:rFonts w:ascii="Times New Roman" w:hAnsi="Times New Roman" w:cs="Times New Roman"/>
          <w:lang w:val="en-US"/>
        </w:rPr>
        <w:fldChar w:fldCharType="begin"/>
      </w:r>
      <w:r w:rsidR="008E532F">
        <w:rPr>
          <w:rFonts w:ascii="Times New Roman" w:hAnsi="Times New Roman" w:cs="Times New Roman"/>
          <w:lang w:val="en-US"/>
        </w:rPr>
        <w:instrText xml:space="preserve"> ADDIN EN.CITE &lt;EndNote&gt;&lt;Cite&gt;&lt;Author&gt;Chimhundu&lt;/Author&gt;&lt;Year&gt;2010&lt;/Year&gt;&lt;RecNum&gt;25939&lt;/RecNum&gt;&lt;DisplayText&gt;(Chimhundu et al., 2010, Quelch and Kenny, 1994)&lt;/DisplayText&gt;&lt;record&gt;&lt;rec-number&gt;25939&lt;/rec-number&gt;&lt;foreign-keys&gt;&lt;key app="EN" db-id="sx2xx5asfvve5nev2dk5sseztwa92sptwfz0"&gt;25939&lt;/key&gt;&lt;/foreign-keys&gt;&lt;ref-type name="Journal Article"&gt;17&lt;/ref-type&gt;&lt;contributors&gt;&lt;authors&gt;&lt;author&gt;Chimhundu, Ranga&lt;/author&gt;&lt;author&gt;Hamlin, Robert P.&lt;/author&gt;&lt;author&gt;McNeill, Lisa&lt;/author&gt;&lt;/authors&gt;&lt;/contributors&gt;&lt;titles&gt;&lt;title&gt;Impact of Manufacturer Brand Innovation on Retailer Brands&lt;/title&gt;&lt;secondary-title&gt;International Journal of Business &amp;amp; Management&lt;/secondary-title&gt;&lt;/titles&gt;&lt;pages&gt;10-19&lt;/pages&gt;&lt;volume&gt;5&lt;/volume&gt;&lt;number&gt;9&lt;/number&gt;&lt;dates&gt;&lt;year&gt;2010&lt;/year&gt;&lt;/dates&gt;&lt;isbn&gt;1833-3850&lt;/isbn&gt;&lt;urls&gt;&lt;/urls&gt;&lt;/record&gt;&lt;/Cite&gt;&lt;Cite&gt;&lt;Author&gt;Quelch&lt;/Author&gt;&lt;Year&gt;1994&lt;/Year&gt;&lt;RecNum&gt;25911&lt;/RecNum&gt;&lt;record&gt;&lt;rec-number&gt;25911&lt;/rec-number&gt;&lt;foreign-keys&gt;&lt;key app="EN" db-id="sx2xx5asfvve5nev2dk5sseztwa92sptwfz0"&gt;25911&lt;/key&gt;&lt;/foreign-keys&gt;&lt;ref-type name="Magazine Article"&gt;19&lt;/ref-type&gt;&lt;contributors&gt;&lt;authors&gt;&lt;author&gt;Quelch, John A.&lt;/author&gt;&lt;author&gt;Kenny, David&lt;/author&gt;&lt;/authors&gt;&lt;/contributors&gt;&lt;titles&gt;&lt;title&gt;Extend Profits, Not Product Lines&lt;/title&gt;&lt;secondary-title&gt;Harvard Business Review&lt;/secondary-title&gt;&lt;/titles&gt;&lt;pages&gt;153-160&lt;/pages&gt;&lt;volume&gt;72&lt;/volume&gt;&lt;number&gt;5&lt;/number&gt;&lt;dates&gt;&lt;year&gt;1994&lt;/year&gt;&lt;pub-dates&gt;&lt;date&gt;September-October&lt;/date&gt;&lt;/pub-dates&gt;&lt;/dates&gt;&lt;urls&gt;&lt;/urls&gt;&lt;/record&gt;&lt;/Cite&gt;&lt;/EndNote&gt;</w:instrText>
      </w:r>
      <w:r w:rsidR="00020254" w:rsidRPr="00020254">
        <w:rPr>
          <w:rFonts w:ascii="Times New Roman" w:hAnsi="Times New Roman" w:cs="Times New Roman"/>
          <w:lang w:val="en-US"/>
        </w:rPr>
        <w:fldChar w:fldCharType="separate"/>
      </w:r>
      <w:r w:rsidR="008E532F">
        <w:rPr>
          <w:rFonts w:ascii="Times New Roman" w:hAnsi="Times New Roman" w:cs="Times New Roman"/>
          <w:noProof/>
          <w:lang w:val="en-US"/>
        </w:rPr>
        <w:t>(Chimhundu et al., 2010, Quelch and Kenny, 1994)</w:t>
      </w:r>
      <w:r w:rsidR="00020254" w:rsidRPr="00020254">
        <w:rPr>
          <w:rFonts w:ascii="Times New Roman" w:hAnsi="Times New Roman" w:cs="Times New Roman"/>
        </w:rPr>
        <w:fldChar w:fldCharType="end"/>
      </w:r>
      <w:r w:rsidR="00020254" w:rsidRPr="00020254">
        <w:rPr>
          <w:rFonts w:ascii="Times New Roman" w:hAnsi="Times New Roman" w:cs="Times New Roman"/>
          <w:lang w:val="en-US"/>
        </w:rPr>
        <w:t xml:space="preserve">. </w:t>
      </w:r>
      <w:r w:rsidR="00E041F7">
        <w:rPr>
          <w:rFonts w:ascii="Times New Roman" w:hAnsi="Times New Roman" w:cs="Times New Roman"/>
          <w:lang w:val="en-US"/>
        </w:rPr>
        <w:t xml:space="preserve">We now review notable studies which looked at one or two above factors in relation to category expansion. </w:t>
      </w:r>
      <w:proofErr w:type="spellStart"/>
      <w:r w:rsidR="00E041F7" w:rsidRPr="00E041F7">
        <w:rPr>
          <w:rFonts w:ascii="Times New Roman" w:hAnsi="Times New Roman" w:cs="Times New Roman"/>
          <w:lang w:val="en-US"/>
        </w:rPr>
        <w:t>Nijs</w:t>
      </w:r>
      <w:proofErr w:type="spellEnd"/>
      <w:r w:rsidR="00E041F7" w:rsidRPr="00E041F7">
        <w:rPr>
          <w:rFonts w:ascii="Times New Roman" w:hAnsi="Times New Roman" w:cs="Times New Roman"/>
          <w:lang w:val="en-US"/>
        </w:rPr>
        <w:t xml:space="preserve"> </w:t>
      </w:r>
      <w:r w:rsidR="00E041F7" w:rsidRPr="00E041F7">
        <w:rPr>
          <w:rFonts w:ascii="Times New Roman" w:hAnsi="Times New Roman" w:cs="Times New Roman"/>
          <w:i/>
          <w:lang w:val="en-US"/>
        </w:rPr>
        <w:t>et al.</w:t>
      </w:r>
      <w:r w:rsidR="00E041F7" w:rsidRPr="00E041F7">
        <w:rPr>
          <w:rFonts w:ascii="Times New Roman" w:hAnsi="Times New Roman" w:cs="Times New Roman"/>
          <w:lang w:val="en-US"/>
        </w:rPr>
        <w:t xml:space="preserve"> (2001) conducted a large-scale study of marketing mix interventions in Dutch supermarkets. They concluded that the category expansion effect of price promotions was virtually </w:t>
      </w:r>
      <w:proofErr w:type="gramStart"/>
      <w:r w:rsidR="00E041F7" w:rsidRPr="00E041F7">
        <w:rPr>
          <w:rFonts w:ascii="Times New Roman" w:hAnsi="Times New Roman" w:cs="Times New Roman"/>
          <w:lang w:val="en-US"/>
        </w:rPr>
        <w:t>nil</w:t>
      </w:r>
      <w:proofErr w:type="gramEnd"/>
      <w:r w:rsidR="00E041F7" w:rsidRPr="00E041F7">
        <w:rPr>
          <w:rFonts w:ascii="Times New Roman" w:hAnsi="Times New Roman" w:cs="Times New Roman"/>
          <w:lang w:val="en-US"/>
        </w:rPr>
        <w:t>, but demonstrated that introducing new products successfully resulted in permanent category demand increases.</w:t>
      </w:r>
      <w:r w:rsidR="00501379" w:rsidRPr="00501379">
        <w:rPr>
          <w:rFonts w:eastAsiaTheme="minorHAnsi"/>
          <w:lang w:val="en-US"/>
        </w:rPr>
        <w:t xml:space="preserve"> </w:t>
      </w:r>
      <w:r w:rsidR="002B4263">
        <w:rPr>
          <w:rFonts w:eastAsiaTheme="minorHAnsi"/>
          <w:lang w:val="en-US"/>
        </w:rPr>
        <w:t>V</w:t>
      </w:r>
      <w:r>
        <w:rPr>
          <w:rFonts w:ascii="Times New Roman" w:hAnsi="Times New Roman" w:cs="Times New Roman"/>
          <w:lang w:val="en-US"/>
        </w:rPr>
        <w:t xml:space="preserve">ertical line extensions do not </w:t>
      </w:r>
      <w:r w:rsidR="002B4263">
        <w:rPr>
          <w:rFonts w:ascii="Times New Roman" w:hAnsi="Times New Roman" w:cs="Times New Roman"/>
          <w:lang w:val="en-US"/>
        </w:rPr>
        <w:t xml:space="preserve">however </w:t>
      </w:r>
      <w:r>
        <w:rPr>
          <w:rFonts w:ascii="Times New Roman" w:hAnsi="Times New Roman" w:cs="Times New Roman"/>
          <w:lang w:val="en-US"/>
        </w:rPr>
        <w:t>expand category demand (</w:t>
      </w:r>
      <w:proofErr w:type="spellStart"/>
      <w:r w:rsidRPr="004F76A0">
        <w:rPr>
          <w:rFonts w:ascii="Times New Roman" w:hAnsi="Times New Roman" w:cs="Times New Roman"/>
        </w:rPr>
        <w:t>Quelch</w:t>
      </w:r>
      <w:proofErr w:type="spellEnd"/>
      <w:r w:rsidRPr="004F76A0">
        <w:rPr>
          <w:rFonts w:ascii="Times New Roman" w:hAnsi="Times New Roman" w:cs="Times New Roman"/>
        </w:rPr>
        <w:t xml:space="preserve"> and Kenny</w:t>
      </w:r>
      <w:r>
        <w:rPr>
          <w:rFonts w:ascii="Times New Roman" w:hAnsi="Times New Roman" w:cs="Times New Roman"/>
        </w:rPr>
        <w:t>,</w:t>
      </w:r>
      <w:r w:rsidR="007137D7">
        <w:rPr>
          <w:rFonts w:ascii="Times New Roman" w:hAnsi="Times New Roman" w:cs="Times New Roman"/>
        </w:rPr>
        <w:t xml:space="preserve"> </w:t>
      </w:r>
      <w:r w:rsidRPr="004F76A0">
        <w:rPr>
          <w:rFonts w:ascii="Times New Roman" w:hAnsi="Times New Roman" w:cs="Times New Roman"/>
        </w:rPr>
        <w:t>1994)</w:t>
      </w:r>
      <w:r>
        <w:rPr>
          <w:rFonts w:ascii="Times New Roman" w:hAnsi="Times New Roman" w:cs="Times New Roman"/>
        </w:rPr>
        <w:t xml:space="preserve">, </w:t>
      </w:r>
      <w:r w:rsidR="002B4263">
        <w:rPr>
          <w:rFonts w:ascii="Times New Roman" w:hAnsi="Times New Roman" w:cs="Times New Roman"/>
        </w:rPr>
        <w:t xml:space="preserve">but as </w:t>
      </w:r>
      <w:proofErr w:type="spellStart"/>
      <w:r w:rsidR="00501379" w:rsidRPr="00501379">
        <w:rPr>
          <w:rFonts w:ascii="Times New Roman" w:hAnsi="Times New Roman" w:cs="Times New Roman"/>
          <w:lang w:val="en-US"/>
        </w:rPr>
        <w:t>Soberman</w:t>
      </w:r>
      <w:proofErr w:type="spellEnd"/>
      <w:r w:rsidR="00501379" w:rsidRPr="00501379">
        <w:rPr>
          <w:rFonts w:ascii="Times New Roman" w:hAnsi="Times New Roman" w:cs="Times New Roman"/>
          <w:lang w:val="en-US"/>
        </w:rPr>
        <w:t xml:space="preserve"> &amp; </w:t>
      </w:r>
      <w:proofErr w:type="spellStart"/>
      <w:r w:rsidR="00501379" w:rsidRPr="00501379">
        <w:rPr>
          <w:rFonts w:ascii="Times New Roman" w:hAnsi="Times New Roman" w:cs="Times New Roman"/>
          <w:lang w:val="en-US"/>
        </w:rPr>
        <w:t>Gatignon</w:t>
      </w:r>
      <w:proofErr w:type="spellEnd"/>
      <w:r w:rsidR="00501379" w:rsidRPr="00501379">
        <w:rPr>
          <w:rFonts w:ascii="Times New Roman" w:hAnsi="Times New Roman" w:cs="Times New Roman"/>
          <w:lang w:val="en-US"/>
        </w:rPr>
        <w:t xml:space="preserve"> (2005) suggest</w:t>
      </w:r>
      <w:r w:rsidR="002B4263">
        <w:rPr>
          <w:rFonts w:ascii="Times New Roman" w:hAnsi="Times New Roman" w:cs="Times New Roman"/>
          <w:lang w:val="en-US"/>
        </w:rPr>
        <w:t>,</w:t>
      </w:r>
      <w:r w:rsidR="00501379" w:rsidRPr="00501379">
        <w:rPr>
          <w:rFonts w:ascii="Times New Roman" w:hAnsi="Times New Roman" w:cs="Times New Roman"/>
          <w:lang w:val="en-US"/>
        </w:rPr>
        <w:t xml:space="preserve"> </w:t>
      </w:r>
      <w:r w:rsidR="00501379">
        <w:rPr>
          <w:rFonts w:ascii="Times New Roman" w:hAnsi="Times New Roman" w:cs="Times New Roman"/>
          <w:lang w:val="en-US"/>
        </w:rPr>
        <w:t>h</w:t>
      </w:r>
      <w:r w:rsidR="00501379" w:rsidRPr="00501379">
        <w:rPr>
          <w:rFonts w:ascii="Times New Roman" w:hAnsi="Times New Roman" w:cs="Times New Roman"/>
          <w:lang w:val="en-US"/>
        </w:rPr>
        <w:t xml:space="preserve">orizontal </w:t>
      </w:r>
      <w:r w:rsidRPr="00501379">
        <w:rPr>
          <w:rFonts w:ascii="Times New Roman" w:hAnsi="Times New Roman" w:cs="Times New Roman"/>
          <w:lang w:val="en-US"/>
        </w:rPr>
        <w:t xml:space="preserve">product </w:t>
      </w:r>
      <w:r w:rsidR="00501379" w:rsidRPr="00501379">
        <w:rPr>
          <w:rFonts w:ascii="Times New Roman" w:hAnsi="Times New Roman" w:cs="Times New Roman"/>
          <w:lang w:val="en-US"/>
        </w:rPr>
        <w:t xml:space="preserve">innovation </w:t>
      </w:r>
      <w:r w:rsidR="002B4263">
        <w:rPr>
          <w:rFonts w:ascii="Times New Roman" w:hAnsi="Times New Roman" w:cs="Times New Roman"/>
          <w:lang w:val="en-US"/>
        </w:rPr>
        <w:t>can</w:t>
      </w:r>
      <w:r w:rsidR="00501379" w:rsidRPr="00501379">
        <w:rPr>
          <w:rFonts w:ascii="Times New Roman" w:hAnsi="Times New Roman" w:cs="Times New Roman"/>
          <w:lang w:val="en-US"/>
        </w:rPr>
        <w:t xml:space="preserve"> lead to market expansion </w:t>
      </w:r>
      <w:r w:rsidR="008E0105" w:rsidRPr="00F944BB">
        <w:rPr>
          <w:rFonts w:ascii="Times New Roman" w:hAnsi="Times New Roman" w:cs="Times New Roman"/>
          <w:lang w:val="en-US"/>
        </w:rPr>
        <w:t>by drawing new buyers from other categories, or by trading up existing buyers</w:t>
      </w:r>
      <w:r>
        <w:rPr>
          <w:rFonts w:ascii="Times New Roman" w:hAnsi="Times New Roman" w:cs="Times New Roman"/>
          <w:lang w:val="en-US"/>
        </w:rPr>
        <w:t>.</w:t>
      </w:r>
      <w:r w:rsidR="008E0105" w:rsidRPr="00F944BB">
        <w:rPr>
          <w:rFonts w:ascii="Times New Roman" w:hAnsi="Times New Roman" w:cs="Times New Roman"/>
          <w:lang w:val="en-US"/>
        </w:rPr>
        <w:t xml:space="preserve"> </w:t>
      </w:r>
      <w:r w:rsidR="002B4263">
        <w:rPr>
          <w:rFonts w:ascii="Times New Roman" w:hAnsi="Times New Roman" w:cs="Times New Roman"/>
        </w:rPr>
        <w:t xml:space="preserve">These </w:t>
      </w:r>
      <w:r w:rsidR="006E2190" w:rsidRPr="006E2190">
        <w:rPr>
          <w:rFonts w:ascii="Times New Roman" w:hAnsi="Times New Roman" w:cs="Times New Roman"/>
        </w:rPr>
        <w:t xml:space="preserve">innovations provide </w:t>
      </w:r>
      <w:r w:rsidR="002B4263">
        <w:rPr>
          <w:rFonts w:ascii="Times New Roman" w:hAnsi="Times New Roman" w:cs="Times New Roman"/>
        </w:rPr>
        <w:t>additional benefits</w:t>
      </w:r>
      <w:r w:rsidR="00752B8A">
        <w:rPr>
          <w:rFonts w:ascii="Times New Roman" w:hAnsi="Times New Roman" w:cs="Times New Roman"/>
        </w:rPr>
        <w:t>,</w:t>
      </w:r>
      <w:r w:rsidR="006E2190" w:rsidRPr="006E2190">
        <w:rPr>
          <w:rFonts w:ascii="Times New Roman" w:hAnsi="Times New Roman" w:cs="Times New Roman"/>
        </w:rPr>
        <w:t xml:space="preserve"> for which </w:t>
      </w:r>
      <w:r w:rsidR="002B4263">
        <w:rPr>
          <w:rFonts w:ascii="Times New Roman" w:hAnsi="Times New Roman" w:cs="Times New Roman"/>
        </w:rPr>
        <w:t>consumers</w:t>
      </w:r>
      <w:r w:rsidR="006E2190" w:rsidRPr="006E2190">
        <w:rPr>
          <w:rFonts w:ascii="Times New Roman" w:hAnsi="Times New Roman" w:cs="Times New Roman"/>
        </w:rPr>
        <w:t xml:space="preserve"> may be prepared to pay more</w:t>
      </w:r>
      <w:r w:rsidR="002B4263">
        <w:rPr>
          <w:rFonts w:ascii="Times New Roman" w:hAnsi="Times New Roman" w:cs="Times New Roman"/>
        </w:rPr>
        <w:t xml:space="preserve"> </w:t>
      </w:r>
      <w:r w:rsidR="00604CC6">
        <w:rPr>
          <w:rFonts w:ascii="Times New Roman" w:hAnsi="Times New Roman" w:cs="Times New Roman"/>
        </w:rPr>
        <w:t xml:space="preserve">- </w:t>
      </w:r>
      <w:proofErr w:type="spellStart"/>
      <w:r w:rsidR="002B4263">
        <w:rPr>
          <w:rFonts w:ascii="Times New Roman" w:hAnsi="Times New Roman" w:cs="Times New Roman"/>
        </w:rPr>
        <w:t>premiumisation</w:t>
      </w:r>
      <w:proofErr w:type="spellEnd"/>
      <w:r w:rsidR="002B4263">
        <w:rPr>
          <w:rFonts w:ascii="Times New Roman" w:hAnsi="Times New Roman" w:cs="Times New Roman"/>
        </w:rPr>
        <w:t xml:space="preserve">. The </w:t>
      </w:r>
      <w:r w:rsidR="006E2190" w:rsidRPr="006E2190">
        <w:rPr>
          <w:rFonts w:ascii="Times New Roman" w:hAnsi="Times New Roman" w:cs="Times New Roman"/>
        </w:rPr>
        <w:t xml:space="preserve">most elegant </w:t>
      </w:r>
      <w:r w:rsidR="002B4263">
        <w:rPr>
          <w:rFonts w:ascii="Times New Roman" w:hAnsi="Times New Roman" w:cs="Times New Roman"/>
        </w:rPr>
        <w:t xml:space="preserve">may </w:t>
      </w:r>
      <w:r w:rsidR="006E2190" w:rsidRPr="006E2190">
        <w:rPr>
          <w:rFonts w:ascii="Times New Roman" w:hAnsi="Times New Roman" w:cs="Times New Roman"/>
        </w:rPr>
        <w:t xml:space="preserve">also encourage </w:t>
      </w:r>
      <w:r w:rsidR="002B4263">
        <w:rPr>
          <w:rFonts w:ascii="Times New Roman" w:hAnsi="Times New Roman" w:cs="Times New Roman"/>
        </w:rPr>
        <w:t>more frequent purchase,</w:t>
      </w:r>
      <w:r w:rsidR="006E2190" w:rsidRPr="006E2190">
        <w:rPr>
          <w:rFonts w:ascii="Times New Roman" w:hAnsi="Times New Roman" w:cs="Times New Roman"/>
        </w:rPr>
        <w:t xml:space="preserve"> for example by reducing pack size.</w:t>
      </w:r>
    </w:p>
    <w:p w14:paraId="5A77C208" w14:textId="03F7059B" w:rsidR="00020254" w:rsidRPr="007137D7" w:rsidRDefault="00020254" w:rsidP="00C625DA">
      <w:pPr>
        <w:rPr>
          <w:rFonts w:ascii="Times New Roman" w:hAnsi="Times New Roman" w:cs="Times New Roman"/>
          <w:lang w:val="en-AU"/>
        </w:rPr>
      </w:pPr>
      <w:r w:rsidRPr="00020254">
        <w:rPr>
          <w:rFonts w:ascii="Times New Roman" w:hAnsi="Times New Roman" w:cs="Times New Roman"/>
          <w:lang w:val="en-AU"/>
        </w:rPr>
        <w:t xml:space="preserve">In summary, </w:t>
      </w:r>
      <w:r w:rsidR="00752B8A">
        <w:rPr>
          <w:rFonts w:ascii="Times New Roman" w:hAnsi="Times New Roman" w:cs="Times New Roman"/>
          <w:lang w:val="en-AU"/>
        </w:rPr>
        <w:t xml:space="preserve">the literature has broadly linked </w:t>
      </w:r>
      <w:r w:rsidR="00CB4446">
        <w:rPr>
          <w:rFonts w:ascii="Times New Roman" w:hAnsi="Times New Roman" w:cs="Times New Roman"/>
          <w:lang w:val="en-AU"/>
        </w:rPr>
        <w:t>three</w:t>
      </w:r>
      <w:r w:rsidR="00431035">
        <w:rPr>
          <w:rFonts w:ascii="Times New Roman" w:hAnsi="Times New Roman" w:cs="Times New Roman"/>
          <w:lang w:val="en-AU"/>
        </w:rPr>
        <w:t xml:space="preserve"> possible factors in manufacturers</w:t>
      </w:r>
      <w:r w:rsidR="00752B8A">
        <w:rPr>
          <w:rFonts w:ascii="Times New Roman" w:hAnsi="Times New Roman" w:cs="Times New Roman"/>
          <w:lang w:val="en-AU"/>
        </w:rPr>
        <w:t>’</w:t>
      </w:r>
      <w:r w:rsidR="00431035">
        <w:rPr>
          <w:rFonts w:ascii="Times New Roman" w:hAnsi="Times New Roman" w:cs="Times New Roman"/>
          <w:lang w:val="en-AU"/>
        </w:rPr>
        <w:t xml:space="preserve"> control to category </w:t>
      </w:r>
      <w:r w:rsidR="00752B8A">
        <w:rPr>
          <w:rFonts w:ascii="Times New Roman" w:hAnsi="Times New Roman" w:cs="Times New Roman"/>
          <w:lang w:val="en-AU"/>
        </w:rPr>
        <w:t xml:space="preserve">sales </w:t>
      </w:r>
      <w:r w:rsidR="00EC7118">
        <w:rPr>
          <w:rFonts w:ascii="Times New Roman" w:hAnsi="Times New Roman" w:cs="Times New Roman"/>
          <w:lang w:val="en-AU"/>
        </w:rPr>
        <w:t>growth</w:t>
      </w:r>
      <w:r w:rsidRPr="00020254">
        <w:rPr>
          <w:rFonts w:ascii="Times New Roman" w:hAnsi="Times New Roman" w:cs="Times New Roman"/>
          <w:lang w:val="en-AU"/>
        </w:rPr>
        <w:t>:</w:t>
      </w:r>
      <w:r w:rsidR="00C10185">
        <w:rPr>
          <w:rFonts w:ascii="Times New Roman" w:hAnsi="Times New Roman" w:cs="Times New Roman"/>
          <w:lang w:val="en-AU"/>
        </w:rPr>
        <w:t xml:space="preserve"> (1) </w:t>
      </w:r>
      <w:r w:rsidRPr="00020254">
        <w:rPr>
          <w:rFonts w:ascii="Times New Roman" w:hAnsi="Times New Roman" w:cs="Times New Roman"/>
          <w:lang w:val="en-AU"/>
        </w:rPr>
        <w:t>The level of discounting;</w:t>
      </w:r>
      <w:r w:rsidR="00C10185">
        <w:rPr>
          <w:rFonts w:ascii="Times New Roman" w:hAnsi="Times New Roman" w:cs="Times New Roman"/>
          <w:lang w:val="en-AU"/>
        </w:rPr>
        <w:t xml:space="preserve"> (2) </w:t>
      </w:r>
      <w:r w:rsidRPr="00020254">
        <w:rPr>
          <w:rFonts w:ascii="Times New Roman" w:hAnsi="Times New Roman" w:cs="Times New Roman"/>
          <w:lang w:val="en-AU"/>
        </w:rPr>
        <w:t>Average price per volume;</w:t>
      </w:r>
      <w:r w:rsidR="00C10185">
        <w:rPr>
          <w:rFonts w:ascii="Times New Roman" w:hAnsi="Times New Roman" w:cs="Times New Roman"/>
          <w:lang w:val="en-AU"/>
        </w:rPr>
        <w:t xml:space="preserve"> (3) </w:t>
      </w:r>
      <w:r w:rsidRPr="00020254">
        <w:rPr>
          <w:rFonts w:ascii="Times New Roman" w:hAnsi="Times New Roman" w:cs="Times New Roman"/>
          <w:lang w:val="en-AU"/>
        </w:rPr>
        <w:t>Assortment</w:t>
      </w:r>
      <w:r w:rsidR="00752B8A">
        <w:rPr>
          <w:rFonts w:ascii="Times New Roman" w:hAnsi="Times New Roman" w:cs="Times New Roman"/>
          <w:lang w:val="en-AU"/>
        </w:rPr>
        <w:t>,</w:t>
      </w:r>
      <w:r w:rsidRPr="00020254">
        <w:rPr>
          <w:rFonts w:ascii="Times New Roman" w:hAnsi="Times New Roman" w:cs="Times New Roman"/>
          <w:lang w:val="en-AU"/>
        </w:rPr>
        <w:t xml:space="preserve"> </w:t>
      </w:r>
      <w:r w:rsidR="007137D7">
        <w:rPr>
          <w:rFonts w:ascii="Times New Roman" w:hAnsi="Times New Roman" w:cs="Times New Roman"/>
          <w:lang w:val="en-AU"/>
        </w:rPr>
        <w:t>including an innovation factor:</w:t>
      </w:r>
      <w:r w:rsidR="002B4263">
        <w:rPr>
          <w:rFonts w:ascii="Times New Roman" w:hAnsi="Times New Roman" w:cs="Times New Roman"/>
          <w:lang w:val="en-AU"/>
        </w:rPr>
        <w:t xml:space="preserve"> </w:t>
      </w:r>
      <w:r w:rsidR="00C63275">
        <w:rPr>
          <w:rFonts w:ascii="Times New Roman" w:hAnsi="Times New Roman" w:cs="Times New Roman"/>
          <w:lang w:val="en-AU"/>
        </w:rPr>
        <w:t xml:space="preserve">more SKUs should lead to category expansion </w:t>
      </w:r>
      <w:r w:rsidR="003562C4">
        <w:rPr>
          <w:rFonts w:ascii="Times New Roman" w:hAnsi="Times New Roman" w:cs="Times New Roman"/>
          <w:lang w:val="en-AU"/>
        </w:rPr>
        <w:t>if the</w:t>
      </w:r>
      <w:r w:rsidR="007137D7">
        <w:rPr>
          <w:rFonts w:ascii="Times New Roman" w:hAnsi="Times New Roman" w:cs="Times New Roman"/>
          <w:lang w:val="en-AU"/>
        </w:rPr>
        <w:t xml:space="preserve">y include </w:t>
      </w:r>
      <w:r w:rsidR="003562C4">
        <w:rPr>
          <w:rFonts w:ascii="Times New Roman" w:hAnsi="Times New Roman" w:cs="Times New Roman"/>
          <w:lang w:val="en-AU"/>
        </w:rPr>
        <w:t>horizontal extensions</w:t>
      </w:r>
      <w:r w:rsidR="007137D7">
        <w:rPr>
          <w:rFonts w:ascii="Times New Roman" w:hAnsi="Times New Roman" w:cs="Times New Roman"/>
          <w:lang w:val="en-AU"/>
        </w:rPr>
        <w:t>.</w:t>
      </w:r>
      <w:r w:rsidR="003562C4">
        <w:rPr>
          <w:rFonts w:ascii="Times New Roman" w:hAnsi="Times New Roman" w:cs="Times New Roman"/>
          <w:lang w:val="en-AU"/>
        </w:rPr>
        <w:t xml:space="preserve"> </w:t>
      </w:r>
      <w:r w:rsidR="00752B8A">
        <w:rPr>
          <w:rFonts w:ascii="Times New Roman" w:hAnsi="Times New Roman" w:cs="Times New Roman"/>
          <w:iCs/>
          <w:lang w:val="en-US"/>
        </w:rPr>
        <w:t>Considering the conditions of country, category type and market maturity we asked</w:t>
      </w:r>
      <w:r w:rsidR="00EF71FB">
        <w:rPr>
          <w:rFonts w:ascii="Times New Roman" w:hAnsi="Times New Roman" w:cs="Times New Roman"/>
          <w:lang w:val="en-AU"/>
        </w:rPr>
        <w:t xml:space="preserve">: </w:t>
      </w:r>
      <w:r w:rsidR="00310AC4">
        <w:rPr>
          <w:rFonts w:ascii="Times New Roman" w:hAnsi="Times New Roman" w:cs="Times New Roman"/>
          <w:i/>
          <w:iCs/>
          <w:lang w:val="en-US"/>
        </w:rPr>
        <w:t>which factors in manufacturer control are</w:t>
      </w:r>
      <w:r w:rsidR="00752B8A">
        <w:rPr>
          <w:rFonts w:ascii="Times New Roman" w:hAnsi="Times New Roman" w:cs="Times New Roman"/>
          <w:i/>
          <w:iCs/>
          <w:lang w:val="en-US"/>
        </w:rPr>
        <w:t xml:space="preserve"> most</w:t>
      </w:r>
      <w:r w:rsidR="00310AC4">
        <w:rPr>
          <w:rFonts w:ascii="Times New Roman" w:hAnsi="Times New Roman" w:cs="Times New Roman"/>
          <w:i/>
          <w:iCs/>
          <w:lang w:val="en-US"/>
        </w:rPr>
        <w:t xml:space="preserve"> associated with cat</w:t>
      </w:r>
      <w:r w:rsidR="001567C3">
        <w:rPr>
          <w:rFonts w:ascii="Times New Roman" w:hAnsi="Times New Roman" w:cs="Times New Roman"/>
          <w:i/>
          <w:iCs/>
          <w:lang w:val="en-US"/>
        </w:rPr>
        <w:t>egory expansion in dollar sales?</w:t>
      </w:r>
      <w:r w:rsidR="0096280E">
        <w:rPr>
          <w:rFonts w:ascii="Times New Roman" w:hAnsi="Times New Roman" w:cs="Times New Roman"/>
          <w:i/>
          <w:iCs/>
          <w:lang w:val="en-US"/>
        </w:rPr>
        <w:t xml:space="preserve"> </w:t>
      </w:r>
    </w:p>
    <w:p w14:paraId="3F5B8D31" w14:textId="77777777" w:rsidR="00050BA5" w:rsidRDefault="00050BA5" w:rsidP="00050BA5">
      <w:pPr>
        <w:rPr>
          <w:rFonts w:ascii="Times New Roman" w:hAnsi="Times New Roman" w:cs="Times New Roman"/>
        </w:rPr>
      </w:pPr>
    </w:p>
    <w:p w14:paraId="364453F0" w14:textId="77777777" w:rsidR="00050BA5" w:rsidRPr="00C625DA" w:rsidRDefault="001023D2" w:rsidP="005433EC">
      <w:pPr>
        <w:rPr>
          <w:rFonts w:ascii="Times New Roman" w:hAnsi="Times New Roman" w:cs="Times New Roman"/>
          <w:b/>
        </w:rPr>
      </w:pPr>
      <w:r>
        <w:rPr>
          <w:rFonts w:ascii="Times New Roman" w:hAnsi="Times New Roman" w:cs="Times New Roman"/>
          <w:b/>
        </w:rPr>
        <w:t>Method</w:t>
      </w:r>
    </w:p>
    <w:p w14:paraId="334C06C5" w14:textId="031516DE" w:rsidR="0014137E" w:rsidRPr="00752B8A" w:rsidRDefault="004D3A63" w:rsidP="009122BD">
      <w:pPr>
        <w:rPr>
          <w:rFonts w:ascii="Times New Roman" w:hAnsi="Times New Roman" w:cs="Times New Roman"/>
          <w:lang w:val="en-US"/>
        </w:rPr>
      </w:pPr>
      <w:r>
        <w:rPr>
          <w:rFonts w:ascii="Times New Roman" w:hAnsi="Times New Roman" w:cs="Times New Roman"/>
        </w:rPr>
        <w:t>T</w:t>
      </w:r>
      <w:r w:rsidR="00A44292">
        <w:rPr>
          <w:rFonts w:ascii="Times New Roman" w:hAnsi="Times New Roman" w:cs="Times New Roman"/>
        </w:rPr>
        <w:t xml:space="preserve">o address </w:t>
      </w:r>
      <w:r w:rsidR="00752B8A">
        <w:rPr>
          <w:rFonts w:ascii="Times New Roman" w:hAnsi="Times New Roman" w:cs="Times New Roman"/>
        </w:rPr>
        <w:t>this</w:t>
      </w:r>
      <w:r w:rsidR="00A44292">
        <w:rPr>
          <w:rFonts w:ascii="Times New Roman" w:hAnsi="Times New Roman" w:cs="Times New Roman"/>
        </w:rPr>
        <w:t>, t</w:t>
      </w:r>
      <w:r>
        <w:rPr>
          <w:rFonts w:ascii="Times New Roman" w:hAnsi="Times New Roman" w:cs="Times New Roman"/>
        </w:rPr>
        <w:t xml:space="preserve">he study </w:t>
      </w:r>
      <w:r w:rsidR="00FF65EF">
        <w:rPr>
          <w:rFonts w:ascii="Times New Roman" w:hAnsi="Times New Roman" w:cs="Times New Roman"/>
        </w:rPr>
        <w:t>examined</w:t>
      </w:r>
      <w:r w:rsidR="001023D2">
        <w:rPr>
          <w:rFonts w:ascii="Times New Roman" w:hAnsi="Times New Roman" w:cs="Times New Roman"/>
        </w:rPr>
        <w:t xml:space="preserve"> </w:t>
      </w:r>
      <w:r w:rsidR="0014137E">
        <w:rPr>
          <w:rFonts w:ascii="Times New Roman" w:hAnsi="Times New Roman" w:cs="Times New Roman"/>
        </w:rPr>
        <w:t xml:space="preserve">scanner </w:t>
      </w:r>
      <w:r w:rsidR="001023D2" w:rsidRPr="00B21304">
        <w:rPr>
          <w:rFonts w:ascii="Times New Roman" w:hAnsi="Times New Roman" w:cs="Times New Roman"/>
          <w:lang w:val="en-US"/>
        </w:rPr>
        <w:t>data from the US, Germany, France and the UK</w:t>
      </w:r>
      <w:r w:rsidR="00D354FF">
        <w:rPr>
          <w:rFonts w:ascii="Times New Roman" w:hAnsi="Times New Roman" w:cs="Times New Roman"/>
          <w:lang w:val="en-US"/>
        </w:rPr>
        <w:t>,</w:t>
      </w:r>
      <w:r w:rsidR="001023D2" w:rsidRPr="00B21304">
        <w:rPr>
          <w:rFonts w:ascii="Times New Roman" w:hAnsi="Times New Roman" w:cs="Times New Roman"/>
          <w:lang w:val="en-US"/>
        </w:rPr>
        <w:t xml:space="preserve"> </w:t>
      </w:r>
      <w:r w:rsidR="00752B8A">
        <w:rPr>
          <w:rFonts w:ascii="Times New Roman" w:hAnsi="Times New Roman" w:cs="Times New Roman"/>
          <w:lang w:val="en-US"/>
        </w:rPr>
        <w:t>extracting</w:t>
      </w:r>
      <w:r w:rsidR="001023D2" w:rsidRPr="00B21304">
        <w:rPr>
          <w:rFonts w:ascii="Times New Roman" w:hAnsi="Times New Roman" w:cs="Times New Roman"/>
          <w:lang w:val="en-US"/>
        </w:rPr>
        <w:t xml:space="preserve"> </w:t>
      </w:r>
      <w:r w:rsidR="00752B8A">
        <w:rPr>
          <w:rFonts w:ascii="Times New Roman" w:hAnsi="Times New Roman" w:cs="Times New Roman"/>
          <w:lang w:val="en-US"/>
        </w:rPr>
        <w:t xml:space="preserve">quarterly data for </w:t>
      </w:r>
      <w:r w:rsidR="001023D2" w:rsidRPr="00B21304">
        <w:rPr>
          <w:rFonts w:ascii="Times New Roman" w:hAnsi="Times New Roman" w:cs="Times New Roman"/>
          <w:lang w:val="en-US"/>
        </w:rPr>
        <w:t>over 20 categories and numerous sub-categories</w:t>
      </w:r>
      <w:r w:rsidR="00752B8A">
        <w:rPr>
          <w:rFonts w:ascii="Times New Roman" w:hAnsi="Times New Roman" w:cs="Times New Roman"/>
          <w:lang w:val="en-US"/>
        </w:rPr>
        <w:t xml:space="preserve">, </w:t>
      </w:r>
      <w:r w:rsidR="001023D2" w:rsidRPr="00B21304">
        <w:rPr>
          <w:rFonts w:ascii="Times New Roman" w:hAnsi="Times New Roman" w:cs="Times New Roman"/>
          <w:lang w:val="en-US"/>
        </w:rPr>
        <w:t>spann</w:t>
      </w:r>
      <w:r w:rsidR="00752B8A">
        <w:rPr>
          <w:rFonts w:ascii="Times New Roman" w:hAnsi="Times New Roman" w:cs="Times New Roman"/>
          <w:lang w:val="en-US"/>
        </w:rPr>
        <w:t>ing</w:t>
      </w:r>
      <w:r w:rsidR="001023D2" w:rsidRPr="00B21304">
        <w:rPr>
          <w:rFonts w:ascii="Times New Roman" w:hAnsi="Times New Roman" w:cs="Times New Roman"/>
          <w:lang w:val="en-US"/>
        </w:rPr>
        <w:t xml:space="preserve"> 4-</w:t>
      </w:r>
      <w:r w:rsidR="001023D2">
        <w:rPr>
          <w:rFonts w:ascii="Times New Roman" w:hAnsi="Times New Roman" w:cs="Times New Roman"/>
          <w:lang w:val="en-US"/>
        </w:rPr>
        <w:t>8 years.</w:t>
      </w:r>
      <w:r w:rsidR="0014137E">
        <w:rPr>
          <w:rFonts w:ascii="Times New Roman" w:hAnsi="Times New Roman" w:cs="Times New Roman"/>
          <w:lang w:val="en-US"/>
        </w:rPr>
        <w:t xml:space="preserve"> The variables </w:t>
      </w:r>
      <w:r w:rsidR="00752B8A">
        <w:rPr>
          <w:rFonts w:ascii="Times New Roman" w:hAnsi="Times New Roman" w:cs="Times New Roman"/>
          <w:lang w:val="en-US"/>
        </w:rPr>
        <w:t>collected were</w:t>
      </w:r>
      <w:r w:rsidR="0014137E">
        <w:rPr>
          <w:rFonts w:ascii="Times New Roman" w:hAnsi="Times New Roman" w:cs="Times New Roman"/>
          <w:lang w:val="en-US"/>
        </w:rPr>
        <w:t>: % of category on promotion in any given quarter</w:t>
      </w:r>
      <w:r w:rsidR="00752B8A">
        <w:rPr>
          <w:rFonts w:ascii="Times New Roman" w:hAnsi="Times New Roman" w:cs="Times New Roman"/>
          <w:lang w:val="en-US"/>
        </w:rPr>
        <w:t>;</w:t>
      </w:r>
      <w:r w:rsidR="0014137E">
        <w:rPr>
          <w:rFonts w:ascii="Times New Roman" w:hAnsi="Times New Roman" w:cs="Times New Roman"/>
          <w:lang w:val="en-US"/>
        </w:rPr>
        <w:t xml:space="preserve"> # of </w:t>
      </w:r>
      <w:r w:rsidR="0014137E">
        <w:rPr>
          <w:rFonts w:ascii="Times New Roman" w:hAnsi="Times New Roman" w:cs="Times New Roman"/>
          <w:lang w:val="en-US"/>
        </w:rPr>
        <w:lastRenderedPageBreak/>
        <w:t>SKUs</w:t>
      </w:r>
      <w:r w:rsidR="00752B8A">
        <w:rPr>
          <w:rFonts w:ascii="Times New Roman" w:hAnsi="Times New Roman" w:cs="Times New Roman"/>
          <w:lang w:val="en-US"/>
        </w:rPr>
        <w:t>;</w:t>
      </w:r>
      <w:r w:rsidR="0014137E">
        <w:rPr>
          <w:rFonts w:ascii="Times New Roman" w:hAnsi="Times New Roman" w:cs="Times New Roman"/>
          <w:lang w:val="en-US"/>
        </w:rPr>
        <w:t xml:space="preserve"> # of </w:t>
      </w:r>
      <w:r w:rsidR="0014137E" w:rsidRPr="00752B8A">
        <w:rPr>
          <w:rFonts w:ascii="Times New Roman" w:hAnsi="Times New Roman" w:cs="Times New Roman"/>
          <w:i/>
          <w:lang w:val="en-US"/>
        </w:rPr>
        <w:t>new</w:t>
      </w:r>
      <w:r w:rsidR="0014137E">
        <w:rPr>
          <w:rFonts w:ascii="Times New Roman" w:hAnsi="Times New Roman" w:cs="Times New Roman"/>
          <w:lang w:val="en-US"/>
        </w:rPr>
        <w:t xml:space="preserve"> SKUs</w:t>
      </w:r>
      <w:r w:rsidR="00752B8A">
        <w:rPr>
          <w:rFonts w:ascii="Times New Roman" w:hAnsi="Times New Roman" w:cs="Times New Roman"/>
          <w:lang w:val="en-US"/>
        </w:rPr>
        <w:t>;</w:t>
      </w:r>
      <w:r w:rsidR="0014137E">
        <w:rPr>
          <w:rFonts w:ascii="Times New Roman" w:hAnsi="Times New Roman" w:cs="Times New Roman"/>
          <w:lang w:val="en-US"/>
        </w:rPr>
        <w:t xml:space="preserve"> average price</w:t>
      </w:r>
      <w:r w:rsidR="00D354FF">
        <w:rPr>
          <w:rFonts w:ascii="Times New Roman" w:hAnsi="Times New Roman" w:cs="Times New Roman"/>
          <w:lang w:val="en-US"/>
        </w:rPr>
        <w:t>/</w:t>
      </w:r>
      <w:r w:rsidR="0014137E">
        <w:rPr>
          <w:rFonts w:ascii="Times New Roman" w:hAnsi="Times New Roman" w:cs="Times New Roman"/>
          <w:lang w:val="en-US"/>
        </w:rPr>
        <w:t xml:space="preserve">volume. We classified categories </w:t>
      </w:r>
      <w:r w:rsidR="00752B8A">
        <w:rPr>
          <w:rFonts w:ascii="Times New Roman" w:hAnsi="Times New Roman" w:cs="Times New Roman"/>
          <w:lang w:val="en-US"/>
        </w:rPr>
        <w:t>as</w:t>
      </w:r>
      <w:r w:rsidR="0014137E">
        <w:rPr>
          <w:rFonts w:ascii="Times New Roman" w:hAnsi="Times New Roman" w:cs="Times New Roman"/>
          <w:lang w:val="en-US"/>
        </w:rPr>
        <w:t xml:space="preserve"> mature </w:t>
      </w:r>
      <w:r w:rsidR="00D354FF">
        <w:rPr>
          <w:rFonts w:ascii="Times New Roman" w:hAnsi="Times New Roman" w:cs="Times New Roman"/>
          <w:lang w:val="en-US"/>
        </w:rPr>
        <w:t xml:space="preserve">(50+% quarterly penetration) </w:t>
      </w:r>
      <w:r w:rsidR="00752B8A">
        <w:rPr>
          <w:rFonts w:ascii="Times New Roman" w:hAnsi="Times New Roman" w:cs="Times New Roman"/>
          <w:lang w:val="en-US"/>
        </w:rPr>
        <w:t>or</w:t>
      </w:r>
      <w:r w:rsidR="0014137E">
        <w:rPr>
          <w:rFonts w:ascii="Times New Roman" w:hAnsi="Times New Roman" w:cs="Times New Roman"/>
          <w:lang w:val="en-US"/>
        </w:rPr>
        <w:t xml:space="preserve"> non-mature. Our analysis </w:t>
      </w:r>
      <w:r w:rsidR="00D354FF">
        <w:rPr>
          <w:rFonts w:ascii="Times New Roman" w:hAnsi="Times New Roman" w:cs="Times New Roman"/>
          <w:lang w:val="en-US"/>
        </w:rPr>
        <w:t xml:space="preserve">then </w:t>
      </w:r>
      <w:r w:rsidR="0014137E">
        <w:rPr>
          <w:rFonts w:ascii="Times New Roman" w:hAnsi="Times New Roman" w:cs="Times New Roman"/>
          <w:lang w:val="en-US"/>
        </w:rPr>
        <w:t xml:space="preserve">involved two </w:t>
      </w:r>
      <w:r w:rsidR="007F0252">
        <w:rPr>
          <w:rFonts w:ascii="Times New Roman" w:hAnsi="Times New Roman" w:cs="Times New Roman"/>
          <w:lang w:val="en-US"/>
        </w:rPr>
        <w:t xml:space="preserve">steps. </w:t>
      </w:r>
      <w:r w:rsidR="00D354FF">
        <w:rPr>
          <w:rFonts w:ascii="Times New Roman" w:hAnsi="Times New Roman" w:cs="Times New Roman"/>
          <w:lang w:val="en-US"/>
        </w:rPr>
        <w:t>First</w:t>
      </w:r>
      <w:r w:rsidR="007F0252">
        <w:rPr>
          <w:rFonts w:ascii="Times New Roman" w:hAnsi="Times New Roman" w:cs="Times New Roman"/>
          <w:lang w:val="en-US"/>
        </w:rPr>
        <w:t xml:space="preserve"> w</w:t>
      </w:r>
      <w:r w:rsidR="007F0252" w:rsidRPr="007F0252">
        <w:rPr>
          <w:rFonts w:ascii="Times New Roman" w:hAnsi="Times New Roman" w:cs="Times New Roman"/>
          <w:lang w:val="en-US"/>
        </w:rPr>
        <w:t>e compare</w:t>
      </w:r>
      <w:r w:rsidR="00752B8A">
        <w:rPr>
          <w:rFonts w:ascii="Times New Roman" w:hAnsi="Times New Roman" w:cs="Times New Roman"/>
          <w:lang w:val="en-US"/>
        </w:rPr>
        <w:t>d</w:t>
      </w:r>
      <w:r w:rsidR="007F0252" w:rsidRPr="007F0252">
        <w:rPr>
          <w:rFonts w:ascii="Times New Roman" w:hAnsi="Times New Roman" w:cs="Times New Roman"/>
          <w:lang w:val="en-US"/>
        </w:rPr>
        <w:t xml:space="preserve"> a quarter in one year with the corresponding quarter </w:t>
      </w:r>
      <w:r w:rsidR="00D354FF">
        <w:rPr>
          <w:rFonts w:ascii="Times New Roman" w:hAnsi="Times New Roman" w:cs="Times New Roman"/>
          <w:lang w:val="en-US"/>
        </w:rPr>
        <w:t xml:space="preserve">in a subsequent </w:t>
      </w:r>
      <w:r w:rsidR="007F0252" w:rsidRPr="007F0252">
        <w:rPr>
          <w:rFonts w:ascii="Times New Roman" w:hAnsi="Times New Roman" w:cs="Times New Roman"/>
          <w:lang w:val="en-US"/>
        </w:rPr>
        <w:t xml:space="preserve">year to see </w:t>
      </w:r>
      <w:r w:rsidR="00FB2E52">
        <w:rPr>
          <w:rFonts w:ascii="Times New Roman" w:hAnsi="Times New Roman" w:cs="Times New Roman"/>
          <w:lang w:val="en-US"/>
        </w:rPr>
        <w:t xml:space="preserve">how changes in </w:t>
      </w:r>
      <w:r w:rsidR="00D354FF">
        <w:rPr>
          <w:rFonts w:ascii="Times New Roman" w:hAnsi="Times New Roman" w:cs="Times New Roman"/>
          <w:lang w:val="en-US"/>
        </w:rPr>
        <w:t>d</w:t>
      </w:r>
      <w:r w:rsidR="00FB2E52">
        <w:rPr>
          <w:rFonts w:ascii="Times New Roman" w:hAnsi="Times New Roman" w:cs="Times New Roman"/>
          <w:lang w:val="en-US"/>
        </w:rPr>
        <w:t>ollar</w:t>
      </w:r>
      <w:r w:rsidR="007F0252" w:rsidRPr="007F0252">
        <w:rPr>
          <w:rFonts w:ascii="Times New Roman" w:hAnsi="Times New Roman" w:cs="Times New Roman"/>
          <w:lang w:val="en-US"/>
        </w:rPr>
        <w:t xml:space="preserve"> </w:t>
      </w:r>
      <w:r w:rsidR="00752B8A">
        <w:rPr>
          <w:rFonts w:ascii="Times New Roman" w:hAnsi="Times New Roman" w:cs="Times New Roman"/>
          <w:lang w:val="en-US"/>
        </w:rPr>
        <w:t>s</w:t>
      </w:r>
      <w:r w:rsidR="007F0252" w:rsidRPr="007F0252">
        <w:rPr>
          <w:rFonts w:ascii="Times New Roman" w:hAnsi="Times New Roman" w:cs="Times New Roman"/>
          <w:lang w:val="en-US"/>
        </w:rPr>
        <w:t xml:space="preserve">ales </w:t>
      </w:r>
      <w:r w:rsidR="00D354FF">
        <w:rPr>
          <w:rFonts w:ascii="Times New Roman" w:hAnsi="Times New Roman" w:cs="Times New Roman"/>
          <w:lang w:val="en-US"/>
        </w:rPr>
        <w:t>were</w:t>
      </w:r>
      <w:r w:rsidR="007F0252" w:rsidRPr="007F0252">
        <w:rPr>
          <w:rFonts w:ascii="Times New Roman" w:hAnsi="Times New Roman" w:cs="Times New Roman"/>
          <w:lang w:val="en-US"/>
        </w:rPr>
        <w:t xml:space="preserve"> related t</w:t>
      </w:r>
      <w:r w:rsidR="00FB2E52">
        <w:rPr>
          <w:rFonts w:ascii="Times New Roman" w:hAnsi="Times New Roman" w:cs="Times New Roman"/>
          <w:lang w:val="en-US"/>
        </w:rPr>
        <w:t>o change in pricing</w:t>
      </w:r>
      <w:r w:rsidR="00D354FF">
        <w:rPr>
          <w:rFonts w:ascii="Times New Roman" w:hAnsi="Times New Roman" w:cs="Times New Roman"/>
          <w:lang w:val="en-US"/>
        </w:rPr>
        <w:t>;</w:t>
      </w:r>
      <w:r w:rsidR="00FB2E52">
        <w:rPr>
          <w:rFonts w:ascii="Times New Roman" w:hAnsi="Times New Roman" w:cs="Times New Roman"/>
          <w:lang w:val="en-US"/>
        </w:rPr>
        <w:t xml:space="preserve"> promotion</w:t>
      </w:r>
      <w:r w:rsidR="00D354FF">
        <w:rPr>
          <w:rFonts w:ascii="Times New Roman" w:hAnsi="Times New Roman" w:cs="Times New Roman"/>
          <w:lang w:val="en-US"/>
        </w:rPr>
        <w:t>;</w:t>
      </w:r>
      <w:r w:rsidR="00FB2E52">
        <w:rPr>
          <w:rFonts w:ascii="Times New Roman" w:hAnsi="Times New Roman" w:cs="Times New Roman"/>
          <w:lang w:val="en-US"/>
        </w:rPr>
        <w:t xml:space="preserve"> and the number of</w:t>
      </w:r>
      <w:r w:rsidR="007F0252" w:rsidRPr="007F0252">
        <w:rPr>
          <w:rFonts w:ascii="Times New Roman" w:hAnsi="Times New Roman" w:cs="Times New Roman"/>
          <w:lang w:val="en-US"/>
        </w:rPr>
        <w:t xml:space="preserve"> SKUs</w:t>
      </w:r>
      <w:r w:rsidR="00D354FF">
        <w:rPr>
          <w:rFonts w:ascii="Times New Roman" w:hAnsi="Times New Roman" w:cs="Times New Roman"/>
          <w:lang w:val="en-US"/>
        </w:rPr>
        <w:t>, thus</w:t>
      </w:r>
      <w:r w:rsidR="009122BD">
        <w:rPr>
          <w:rFonts w:ascii="Times New Roman" w:hAnsi="Times New Roman" w:cs="Times New Roman"/>
          <w:lang w:val="en-US"/>
        </w:rPr>
        <w:t xml:space="preserve"> adjust</w:t>
      </w:r>
      <w:r w:rsidR="00D354FF">
        <w:rPr>
          <w:rFonts w:ascii="Times New Roman" w:hAnsi="Times New Roman" w:cs="Times New Roman"/>
          <w:lang w:val="en-US"/>
        </w:rPr>
        <w:t>ing</w:t>
      </w:r>
      <w:r w:rsidR="009122BD">
        <w:rPr>
          <w:rFonts w:ascii="Times New Roman" w:hAnsi="Times New Roman" w:cs="Times New Roman"/>
          <w:lang w:val="en-US"/>
        </w:rPr>
        <w:t xml:space="preserve"> for seasonality</w:t>
      </w:r>
      <w:r w:rsidR="00C22A58">
        <w:rPr>
          <w:rFonts w:ascii="Times New Roman" w:hAnsi="Times New Roman" w:cs="Times New Roman"/>
          <w:lang w:val="en-US"/>
        </w:rPr>
        <w:t xml:space="preserve">. </w:t>
      </w:r>
      <w:r w:rsidR="00014949">
        <w:rPr>
          <w:rFonts w:ascii="Times New Roman" w:hAnsi="Times New Roman" w:cs="Times New Roman"/>
        </w:rPr>
        <w:t>In the s</w:t>
      </w:r>
      <w:r w:rsidR="009122BD">
        <w:rPr>
          <w:rFonts w:ascii="Times New Roman" w:hAnsi="Times New Roman" w:cs="Times New Roman"/>
        </w:rPr>
        <w:t>econd step</w:t>
      </w:r>
      <w:r w:rsidR="00014949">
        <w:rPr>
          <w:rFonts w:ascii="Times New Roman" w:hAnsi="Times New Roman" w:cs="Times New Roman"/>
        </w:rPr>
        <w:t>,</w:t>
      </w:r>
      <w:r w:rsidR="009122BD">
        <w:rPr>
          <w:rFonts w:ascii="Times New Roman" w:hAnsi="Times New Roman" w:cs="Times New Roman"/>
        </w:rPr>
        <w:t xml:space="preserve"> </w:t>
      </w:r>
      <w:r w:rsidR="00014949">
        <w:rPr>
          <w:rFonts w:ascii="Times New Roman" w:hAnsi="Times New Roman" w:cs="Times New Roman"/>
          <w:lang w:val="en-US"/>
        </w:rPr>
        <w:t>w</w:t>
      </w:r>
      <w:r w:rsidR="009122BD" w:rsidRPr="009122BD">
        <w:rPr>
          <w:rFonts w:ascii="Times New Roman" w:hAnsi="Times New Roman" w:cs="Times New Roman"/>
          <w:lang w:val="en-US"/>
        </w:rPr>
        <w:t xml:space="preserve">e </w:t>
      </w:r>
      <w:r w:rsidR="00D354FF">
        <w:rPr>
          <w:rFonts w:ascii="Times New Roman" w:hAnsi="Times New Roman" w:cs="Times New Roman"/>
          <w:lang w:val="en-US"/>
        </w:rPr>
        <w:t>deconstructed</w:t>
      </w:r>
      <w:r w:rsidR="009122BD" w:rsidRPr="009122BD">
        <w:rPr>
          <w:rFonts w:ascii="Times New Roman" w:hAnsi="Times New Roman" w:cs="Times New Roman"/>
          <w:lang w:val="en-US"/>
        </w:rPr>
        <w:t xml:space="preserve"> category value sales </w:t>
      </w:r>
      <w:r w:rsidR="00D354FF">
        <w:rPr>
          <w:rFonts w:ascii="Times New Roman" w:hAnsi="Times New Roman" w:cs="Times New Roman"/>
          <w:lang w:val="en-US"/>
        </w:rPr>
        <w:t xml:space="preserve">into </w:t>
      </w:r>
      <w:r w:rsidR="009122BD" w:rsidRPr="009122BD">
        <w:rPr>
          <w:rFonts w:ascii="Times New Roman" w:hAnsi="Times New Roman" w:cs="Times New Roman"/>
          <w:lang w:val="en-US"/>
        </w:rPr>
        <w:t xml:space="preserve">volume </w:t>
      </w:r>
      <w:r w:rsidR="00D354FF">
        <w:rPr>
          <w:rFonts w:ascii="Times New Roman" w:hAnsi="Times New Roman" w:cs="Times New Roman"/>
          <w:lang w:val="en-US"/>
        </w:rPr>
        <w:t>and</w:t>
      </w:r>
      <w:r w:rsidR="009122BD" w:rsidRPr="009122BD">
        <w:rPr>
          <w:rFonts w:ascii="Times New Roman" w:hAnsi="Times New Roman" w:cs="Times New Roman"/>
          <w:lang w:val="en-US"/>
        </w:rPr>
        <w:t xml:space="preserve"> price </w:t>
      </w:r>
      <w:r w:rsidR="00D354FF">
        <w:rPr>
          <w:rFonts w:ascii="Times New Roman" w:hAnsi="Times New Roman" w:cs="Times New Roman"/>
          <w:lang w:val="en-US"/>
        </w:rPr>
        <w:t xml:space="preserve">changes, and </w:t>
      </w:r>
      <w:r w:rsidR="009122BD" w:rsidRPr="009122BD">
        <w:rPr>
          <w:rFonts w:ascii="Times New Roman" w:hAnsi="Times New Roman" w:cs="Times New Roman"/>
          <w:lang w:val="en-US"/>
        </w:rPr>
        <w:t xml:space="preserve">the </w:t>
      </w:r>
      <w:r w:rsidR="00D354FF">
        <w:rPr>
          <w:rFonts w:ascii="Times New Roman" w:hAnsi="Times New Roman" w:cs="Times New Roman"/>
          <w:lang w:val="en-US"/>
        </w:rPr>
        <w:t>relationship between</w:t>
      </w:r>
      <w:r w:rsidR="009122BD" w:rsidRPr="009122BD">
        <w:rPr>
          <w:rFonts w:ascii="Times New Roman" w:hAnsi="Times New Roman" w:cs="Times New Roman"/>
          <w:lang w:val="en-US"/>
        </w:rPr>
        <w:t xml:space="preserve"> SKU </w:t>
      </w:r>
      <w:r w:rsidR="00D354FF">
        <w:rPr>
          <w:rFonts w:ascii="Times New Roman" w:hAnsi="Times New Roman" w:cs="Times New Roman"/>
          <w:lang w:val="en-US"/>
        </w:rPr>
        <w:t xml:space="preserve">and category </w:t>
      </w:r>
      <w:r w:rsidR="009122BD" w:rsidRPr="009122BD">
        <w:rPr>
          <w:rFonts w:ascii="Times New Roman" w:hAnsi="Times New Roman" w:cs="Times New Roman"/>
          <w:lang w:val="en-US"/>
        </w:rPr>
        <w:t>growth</w:t>
      </w:r>
      <w:r w:rsidR="00D354FF">
        <w:rPr>
          <w:rFonts w:ascii="Times New Roman" w:hAnsi="Times New Roman" w:cs="Times New Roman"/>
          <w:lang w:val="en-US"/>
        </w:rPr>
        <w:t>.</w:t>
      </w:r>
      <w:r w:rsidR="009122BD" w:rsidRPr="009122BD">
        <w:rPr>
          <w:rFonts w:ascii="Times New Roman" w:hAnsi="Times New Roman" w:cs="Times New Roman"/>
          <w:lang w:val="en-US"/>
        </w:rPr>
        <w:t xml:space="preserve"> </w:t>
      </w:r>
    </w:p>
    <w:p w14:paraId="06AC8385" w14:textId="77777777" w:rsidR="009A1F89" w:rsidRDefault="009A1F89" w:rsidP="002A303C">
      <w:pPr>
        <w:rPr>
          <w:rFonts w:ascii="Times New Roman" w:hAnsi="Times New Roman" w:cs="Times New Roman"/>
          <w:b/>
        </w:rPr>
      </w:pPr>
    </w:p>
    <w:p w14:paraId="233E3187" w14:textId="77777777" w:rsidR="002A303C" w:rsidRDefault="002A303C" w:rsidP="005433EC">
      <w:pPr>
        <w:rPr>
          <w:rFonts w:ascii="Times New Roman" w:hAnsi="Times New Roman" w:cs="Times New Roman"/>
          <w:b/>
        </w:rPr>
      </w:pPr>
      <w:r>
        <w:rPr>
          <w:rFonts w:ascii="Times New Roman" w:hAnsi="Times New Roman" w:cs="Times New Roman"/>
          <w:b/>
        </w:rPr>
        <w:t>Results &amp; Discussion</w:t>
      </w:r>
    </w:p>
    <w:p w14:paraId="23FEC1F7" w14:textId="193867B1" w:rsidR="00811557" w:rsidRDefault="009632F9" w:rsidP="009632F9">
      <w:pPr>
        <w:rPr>
          <w:rFonts w:ascii="Times New Roman" w:hAnsi="Times New Roman" w:cs="Times New Roman"/>
          <w:iCs/>
          <w:lang w:val="en-US"/>
        </w:rPr>
      </w:pPr>
      <w:r>
        <w:rPr>
          <w:rFonts w:ascii="Times New Roman" w:hAnsi="Times New Roman" w:cs="Times New Roman"/>
        </w:rPr>
        <w:t>We find that,</w:t>
      </w:r>
      <w:r w:rsidR="00D938E4">
        <w:rPr>
          <w:rFonts w:ascii="Times New Roman" w:hAnsi="Times New Roman" w:cs="Times New Roman"/>
        </w:rPr>
        <w:t xml:space="preserve"> across four countries and 20 categories,</w:t>
      </w:r>
      <w:r w:rsidR="008E53A7">
        <w:rPr>
          <w:rFonts w:ascii="Times New Roman" w:hAnsi="Times New Roman" w:cs="Times New Roman"/>
        </w:rPr>
        <w:t xml:space="preserve"> </w:t>
      </w:r>
      <w:r w:rsidR="000C73B9">
        <w:rPr>
          <w:rFonts w:ascii="Times New Roman" w:hAnsi="Times New Roman" w:cs="Times New Roman"/>
          <w:iCs/>
          <w:lang w:val="en-US"/>
        </w:rPr>
        <w:t>p</w:t>
      </w:r>
      <w:r w:rsidR="000C73B9" w:rsidRPr="000C73B9">
        <w:rPr>
          <w:rFonts w:ascii="Times New Roman" w:hAnsi="Times New Roman" w:cs="Times New Roman"/>
          <w:iCs/>
          <w:lang w:val="en-US"/>
        </w:rPr>
        <w:t>rice per volume has the most consistent positive c</w:t>
      </w:r>
      <w:r w:rsidR="00DF7637">
        <w:rPr>
          <w:rFonts w:ascii="Times New Roman" w:hAnsi="Times New Roman" w:cs="Times New Roman"/>
          <w:iCs/>
          <w:lang w:val="en-US"/>
        </w:rPr>
        <w:t>orrelation with category value s</w:t>
      </w:r>
      <w:r w:rsidR="000C73B9" w:rsidRPr="000C73B9">
        <w:rPr>
          <w:rFonts w:ascii="Times New Roman" w:hAnsi="Times New Roman" w:cs="Times New Roman"/>
          <w:iCs/>
          <w:lang w:val="en-US"/>
        </w:rPr>
        <w:t>ales</w:t>
      </w:r>
      <w:r w:rsidR="00DC0E13">
        <w:rPr>
          <w:rFonts w:ascii="Times New Roman" w:hAnsi="Times New Roman" w:cs="Times New Roman"/>
          <w:iCs/>
          <w:lang w:val="en-US"/>
        </w:rPr>
        <w:t xml:space="preserve"> (</w:t>
      </w:r>
      <w:r w:rsidR="000C73B9" w:rsidRPr="00D354FF">
        <w:rPr>
          <w:rFonts w:ascii="Times New Roman" w:hAnsi="Times New Roman" w:cs="Times New Roman"/>
          <w:i/>
          <w:iCs/>
          <w:lang w:val="en-US"/>
        </w:rPr>
        <w:t>r</w:t>
      </w:r>
      <w:r w:rsidR="00D354FF">
        <w:rPr>
          <w:rFonts w:ascii="Times New Roman" w:hAnsi="Times New Roman" w:cs="Times New Roman"/>
          <w:iCs/>
          <w:lang w:val="en-US"/>
        </w:rPr>
        <w:t xml:space="preserve"> </w:t>
      </w:r>
      <w:r w:rsidR="000C73B9" w:rsidRPr="000C73B9">
        <w:rPr>
          <w:rFonts w:ascii="Times New Roman" w:hAnsi="Times New Roman" w:cs="Times New Roman"/>
          <w:iCs/>
          <w:lang w:val="en-US"/>
        </w:rPr>
        <w:t>=0.28</w:t>
      </w:r>
      <w:r w:rsidR="00DC0E13">
        <w:rPr>
          <w:rFonts w:ascii="Times New Roman" w:hAnsi="Times New Roman" w:cs="Times New Roman"/>
          <w:iCs/>
          <w:lang w:val="en-US"/>
        </w:rPr>
        <w:t>)</w:t>
      </w:r>
      <w:r w:rsidRPr="000C73B9">
        <w:rPr>
          <w:rFonts w:ascii="Times New Roman" w:hAnsi="Times New Roman" w:cs="Times New Roman"/>
          <w:iCs/>
          <w:lang w:val="en-US"/>
        </w:rPr>
        <w:t xml:space="preserve">. </w:t>
      </w:r>
      <w:proofErr w:type="gramStart"/>
      <w:r w:rsidR="000C73B9">
        <w:rPr>
          <w:rFonts w:ascii="Times New Roman" w:hAnsi="Times New Roman" w:cs="Times New Roman"/>
          <w:iCs/>
          <w:lang w:val="en-US"/>
        </w:rPr>
        <w:t xml:space="preserve">This is followed by the </w:t>
      </w:r>
      <w:r>
        <w:rPr>
          <w:rFonts w:ascii="Times New Roman" w:hAnsi="Times New Roman" w:cs="Times New Roman"/>
          <w:iCs/>
          <w:lang w:val="en-US"/>
        </w:rPr>
        <w:t xml:space="preserve">number of </w:t>
      </w:r>
      <w:r w:rsidRPr="009632F9">
        <w:rPr>
          <w:rFonts w:ascii="Times New Roman" w:hAnsi="Times New Roman" w:cs="Times New Roman"/>
          <w:iCs/>
          <w:lang w:val="en-US"/>
        </w:rPr>
        <w:t>SKU</w:t>
      </w:r>
      <w:r w:rsidR="004D0692">
        <w:rPr>
          <w:rFonts w:ascii="Times New Roman" w:hAnsi="Times New Roman" w:cs="Times New Roman"/>
          <w:iCs/>
          <w:lang w:val="en-US"/>
        </w:rPr>
        <w:t>’</w:t>
      </w:r>
      <w:r w:rsidRPr="009632F9">
        <w:rPr>
          <w:rFonts w:ascii="Times New Roman" w:hAnsi="Times New Roman" w:cs="Times New Roman"/>
          <w:iCs/>
          <w:lang w:val="en-US"/>
        </w:rPr>
        <w:t>s</w:t>
      </w:r>
      <w:proofErr w:type="gramEnd"/>
      <w:r w:rsidR="00DC0E13">
        <w:rPr>
          <w:rFonts w:ascii="Times New Roman" w:hAnsi="Times New Roman" w:cs="Times New Roman"/>
          <w:iCs/>
          <w:lang w:val="en-US"/>
        </w:rPr>
        <w:t xml:space="preserve"> (</w:t>
      </w:r>
      <w:r w:rsidRPr="00D354FF">
        <w:rPr>
          <w:rFonts w:ascii="Times New Roman" w:hAnsi="Times New Roman" w:cs="Times New Roman"/>
          <w:i/>
          <w:iCs/>
          <w:lang w:val="en-US"/>
        </w:rPr>
        <w:t>r</w:t>
      </w:r>
      <w:r w:rsidR="00D354FF">
        <w:rPr>
          <w:rFonts w:ascii="Times New Roman" w:hAnsi="Times New Roman" w:cs="Times New Roman"/>
          <w:iCs/>
          <w:lang w:val="en-US"/>
        </w:rPr>
        <w:t xml:space="preserve"> </w:t>
      </w:r>
      <w:r>
        <w:rPr>
          <w:rFonts w:ascii="Times New Roman" w:hAnsi="Times New Roman" w:cs="Times New Roman"/>
          <w:iCs/>
          <w:lang w:val="en-US"/>
        </w:rPr>
        <w:t>=0.19</w:t>
      </w:r>
      <w:r w:rsidR="00DC0E13">
        <w:rPr>
          <w:rFonts w:ascii="Times New Roman" w:hAnsi="Times New Roman" w:cs="Times New Roman"/>
          <w:iCs/>
          <w:lang w:val="en-US"/>
        </w:rPr>
        <w:t>)</w:t>
      </w:r>
      <w:r w:rsidRPr="009632F9">
        <w:rPr>
          <w:rFonts w:ascii="Times New Roman" w:hAnsi="Times New Roman" w:cs="Times New Roman"/>
          <w:iCs/>
          <w:lang w:val="en-US"/>
        </w:rPr>
        <w:t>.</w:t>
      </w:r>
      <w:r>
        <w:rPr>
          <w:rFonts w:ascii="Times New Roman" w:hAnsi="Times New Roman" w:cs="Times New Roman"/>
          <w:iCs/>
          <w:lang w:val="en-US"/>
        </w:rPr>
        <w:t xml:space="preserve"> The change in the intensity of price promotions has on average no association with change in category sales (</w:t>
      </w:r>
      <w:r w:rsidRPr="00D354FF">
        <w:rPr>
          <w:rFonts w:ascii="Times New Roman" w:hAnsi="Times New Roman" w:cs="Times New Roman"/>
          <w:i/>
          <w:iCs/>
          <w:lang w:val="en-US"/>
        </w:rPr>
        <w:t>r</w:t>
      </w:r>
      <w:r w:rsidR="00D354FF">
        <w:rPr>
          <w:rFonts w:ascii="Times New Roman" w:hAnsi="Times New Roman" w:cs="Times New Roman"/>
          <w:iCs/>
          <w:lang w:val="en-US"/>
        </w:rPr>
        <w:t xml:space="preserve"> </w:t>
      </w:r>
      <w:r>
        <w:rPr>
          <w:rFonts w:ascii="Times New Roman" w:hAnsi="Times New Roman" w:cs="Times New Roman"/>
          <w:iCs/>
          <w:lang w:val="en-US"/>
        </w:rPr>
        <w:t xml:space="preserve">=0.04). The results </w:t>
      </w:r>
      <w:r w:rsidR="00D354FF">
        <w:rPr>
          <w:rFonts w:ascii="Times New Roman" w:hAnsi="Times New Roman" w:cs="Times New Roman"/>
          <w:iCs/>
          <w:lang w:val="en-US"/>
        </w:rPr>
        <w:t>were</w:t>
      </w:r>
      <w:r>
        <w:rPr>
          <w:rFonts w:ascii="Times New Roman" w:hAnsi="Times New Roman" w:cs="Times New Roman"/>
          <w:iCs/>
          <w:lang w:val="en-US"/>
        </w:rPr>
        <w:t xml:space="preserve"> generally consistent across all markets</w:t>
      </w:r>
      <w:r w:rsidR="00D354FF">
        <w:rPr>
          <w:rFonts w:ascii="Times New Roman" w:hAnsi="Times New Roman" w:cs="Times New Roman"/>
          <w:iCs/>
          <w:lang w:val="en-US"/>
        </w:rPr>
        <w:t>, but</w:t>
      </w:r>
      <w:r>
        <w:rPr>
          <w:rFonts w:ascii="Times New Roman" w:hAnsi="Times New Roman" w:cs="Times New Roman"/>
          <w:iCs/>
          <w:lang w:val="en-US"/>
        </w:rPr>
        <w:t xml:space="preserve"> strongest in the US</w:t>
      </w:r>
      <w:r w:rsidR="00DF7637">
        <w:rPr>
          <w:rFonts w:ascii="Times New Roman" w:hAnsi="Times New Roman" w:cs="Times New Roman"/>
          <w:iCs/>
          <w:lang w:val="en-US"/>
        </w:rPr>
        <w:t>, with correlation between changes in price per volume and category sales being 0.48</w:t>
      </w:r>
      <w:r>
        <w:rPr>
          <w:rFonts w:ascii="Times New Roman" w:hAnsi="Times New Roman" w:cs="Times New Roman"/>
          <w:iCs/>
          <w:lang w:val="en-US"/>
        </w:rPr>
        <w:t xml:space="preserve">. In Germany, </w:t>
      </w:r>
      <w:r w:rsidR="00DF7637">
        <w:rPr>
          <w:rFonts w:ascii="Times New Roman" w:hAnsi="Times New Roman" w:cs="Times New Roman"/>
          <w:iCs/>
          <w:lang w:val="en-US"/>
        </w:rPr>
        <w:t xml:space="preserve">the </w:t>
      </w:r>
      <w:r>
        <w:rPr>
          <w:rFonts w:ascii="Times New Roman" w:hAnsi="Times New Roman" w:cs="Times New Roman"/>
          <w:iCs/>
          <w:lang w:val="en-US"/>
        </w:rPr>
        <w:t xml:space="preserve">number SKUs </w:t>
      </w:r>
      <w:r w:rsidR="00DF7637">
        <w:rPr>
          <w:rFonts w:ascii="Times New Roman" w:hAnsi="Times New Roman" w:cs="Times New Roman"/>
          <w:iCs/>
          <w:lang w:val="en-US"/>
        </w:rPr>
        <w:t>had</w:t>
      </w:r>
      <w:r>
        <w:rPr>
          <w:rFonts w:ascii="Times New Roman" w:hAnsi="Times New Roman" w:cs="Times New Roman"/>
          <w:iCs/>
          <w:lang w:val="en-US"/>
        </w:rPr>
        <w:t xml:space="preserve"> t</w:t>
      </w:r>
      <w:r w:rsidR="000C73B9">
        <w:rPr>
          <w:rFonts w:ascii="Times New Roman" w:hAnsi="Times New Roman" w:cs="Times New Roman"/>
          <w:iCs/>
          <w:lang w:val="en-US"/>
        </w:rPr>
        <w:t xml:space="preserve">he highest </w:t>
      </w:r>
      <w:r>
        <w:rPr>
          <w:rFonts w:ascii="Times New Roman" w:hAnsi="Times New Roman" w:cs="Times New Roman"/>
          <w:iCs/>
          <w:lang w:val="en-US"/>
        </w:rPr>
        <w:t>positive relationship with changes in category sales</w:t>
      </w:r>
      <w:r w:rsidR="008E53A7">
        <w:rPr>
          <w:rFonts w:ascii="Times New Roman" w:hAnsi="Times New Roman" w:cs="Times New Roman"/>
          <w:iCs/>
          <w:lang w:val="en-US"/>
        </w:rPr>
        <w:t>, follow by changes in price</w:t>
      </w:r>
      <w:r>
        <w:rPr>
          <w:rFonts w:ascii="Times New Roman" w:hAnsi="Times New Roman" w:cs="Times New Roman"/>
          <w:iCs/>
          <w:lang w:val="en-US"/>
        </w:rPr>
        <w:t>.</w:t>
      </w:r>
      <w:r w:rsidR="008E53A7">
        <w:rPr>
          <w:rFonts w:ascii="Times New Roman" w:hAnsi="Times New Roman" w:cs="Times New Roman"/>
          <w:iCs/>
          <w:lang w:val="en-US"/>
        </w:rPr>
        <w:t xml:space="preserve"> </w:t>
      </w:r>
    </w:p>
    <w:p w14:paraId="7F63E3DD" w14:textId="77777777" w:rsidR="00182632" w:rsidRDefault="00182632" w:rsidP="009632F9">
      <w:pPr>
        <w:rPr>
          <w:rFonts w:ascii="Times New Roman" w:hAnsi="Times New Roman" w:cs="Times New Roman"/>
          <w:iCs/>
          <w:lang w:val="en-US"/>
        </w:rPr>
      </w:pPr>
    </w:p>
    <w:p w14:paraId="36298BE6" w14:textId="77777777" w:rsidR="002669F5" w:rsidRPr="000A148E" w:rsidRDefault="00182632" w:rsidP="009632F9">
      <w:pPr>
        <w:rPr>
          <w:rFonts w:ascii="Times New Roman" w:hAnsi="Times New Roman" w:cs="Times New Roman"/>
          <w:iCs/>
          <w:sz w:val="20"/>
          <w:szCs w:val="20"/>
          <w:lang w:val="en-US"/>
        </w:rPr>
      </w:pPr>
      <w:r w:rsidRPr="000A148E">
        <w:rPr>
          <w:rFonts w:ascii="Times New Roman" w:hAnsi="Times New Roman" w:cs="Times New Roman"/>
          <w:iCs/>
          <w:sz w:val="22"/>
          <w:szCs w:val="22"/>
          <w:lang w:val="en-US"/>
        </w:rPr>
        <w:t>T</w:t>
      </w:r>
      <w:r w:rsidRPr="000A148E">
        <w:rPr>
          <w:rFonts w:ascii="Times New Roman" w:hAnsi="Times New Roman" w:cs="Times New Roman"/>
          <w:iCs/>
          <w:sz w:val="20"/>
          <w:szCs w:val="20"/>
          <w:lang w:val="en-US"/>
        </w:rPr>
        <w:t>able 1: Summary of correlations between changes in quarterly category sales and change factors</w:t>
      </w:r>
      <w:r w:rsidR="000A148E">
        <w:rPr>
          <w:rFonts w:ascii="Times New Roman" w:hAnsi="Times New Roman" w:cs="Times New Roman"/>
          <w:iCs/>
          <w:sz w:val="20"/>
          <w:szCs w:val="20"/>
          <w:lang w:val="en-US"/>
        </w:rPr>
        <w:t>.</w:t>
      </w:r>
      <w:r w:rsidRPr="000A148E">
        <w:rPr>
          <w:rFonts w:ascii="Times New Roman" w:hAnsi="Times New Roman" w:cs="Times New Roman"/>
          <w:iCs/>
          <w:sz w:val="20"/>
          <w:szCs w:val="20"/>
          <w:lang w:val="en-US"/>
        </w:rPr>
        <w:t xml:space="preserve"> </w:t>
      </w:r>
    </w:p>
    <w:tbl>
      <w:tblPr>
        <w:tblStyle w:val="TableGrid"/>
        <w:tblW w:w="0" w:type="auto"/>
        <w:tblLook w:val="04A0" w:firstRow="1" w:lastRow="0" w:firstColumn="1" w:lastColumn="0" w:noHBand="0" w:noVBand="1"/>
      </w:tblPr>
      <w:tblGrid>
        <w:gridCol w:w="1658"/>
        <w:gridCol w:w="1658"/>
        <w:gridCol w:w="1658"/>
        <w:gridCol w:w="1658"/>
        <w:gridCol w:w="1658"/>
      </w:tblGrid>
      <w:tr w:rsidR="00182632" w:rsidRPr="00182632" w14:paraId="49E80112" w14:textId="77777777" w:rsidTr="005D374A">
        <w:tc>
          <w:tcPr>
            <w:tcW w:w="1658" w:type="dxa"/>
            <w:tcBorders>
              <w:bottom w:val="single" w:sz="4" w:space="0" w:color="auto"/>
            </w:tcBorders>
            <w:vAlign w:val="center"/>
          </w:tcPr>
          <w:p w14:paraId="72E8BEB5" w14:textId="77777777" w:rsidR="00182632" w:rsidRPr="000A148E" w:rsidRDefault="00182632" w:rsidP="00182632">
            <w:pPr>
              <w:rPr>
                <w:rFonts w:ascii="Times New Roman" w:hAnsi="Times New Roman" w:cs="Times New Roman"/>
                <w:iCs/>
                <w:sz w:val="20"/>
                <w:szCs w:val="20"/>
                <w:lang w:val="en-US"/>
              </w:rPr>
            </w:pPr>
          </w:p>
        </w:tc>
        <w:tc>
          <w:tcPr>
            <w:tcW w:w="1658" w:type="dxa"/>
            <w:tcBorders>
              <w:bottom w:val="single" w:sz="4" w:space="0" w:color="auto"/>
            </w:tcBorders>
            <w:vAlign w:val="center"/>
          </w:tcPr>
          <w:p w14:paraId="65E922E2" w14:textId="77777777" w:rsidR="00182632" w:rsidRPr="000A148E" w:rsidRDefault="000A148E" w:rsidP="000A148E">
            <w:pPr>
              <w:jc w:val="center"/>
              <w:rPr>
                <w:rFonts w:ascii="Times New Roman" w:hAnsi="Times New Roman" w:cs="Times New Roman"/>
                <w:b/>
                <w:iCs/>
                <w:color w:val="000000" w:themeColor="text1"/>
                <w:sz w:val="20"/>
                <w:szCs w:val="20"/>
                <w:lang w:val="en-US"/>
              </w:rPr>
            </w:pPr>
            <w:r>
              <w:rPr>
                <w:rFonts w:ascii="Times New Roman" w:hAnsi="Times New Roman" w:cs="Times New Roman"/>
                <w:b/>
                <w:color w:val="000000" w:themeColor="text1"/>
                <w:sz w:val="20"/>
                <w:szCs w:val="20"/>
              </w:rPr>
              <w:t>Avg.</w:t>
            </w:r>
            <w:r w:rsidR="00182632" w:rsidRPr="000A148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price/</w:t>
            </w:r>
            <w:r w:rsidR="00182632" w:rsidRPr="000A148E">
              <w:rPr>
                <w:rFonts w:ascii="Times New Roman" w:hAnsi="Times New Roman" w:cs="Times New Roman"/>
                <w:b/>
                <w:color w:val="000000" w:themeColor="text1"/>
                <w:sz w:val="20"/>
                <w:szCs w:val="20"/>
              </w:rPr>
              <w:t xml:space="preserve"> </w:t>
            </w:r>
            <w:proofErr w:type="spellStart"/>
            <w:r w:rsidR="00182632" w:rsidRPr="000A148E">
              <w:rPr>
                <w:rFonts w:ascii="Times New Roman" w:hAnsi="Times New Roman" w:cs="Times New Roman"/>
                <w:b/>
                <w:color w:val="000000" w:themeColor="text1"/>
                <w:sz w:val="20"/>
                <w:szCs w:val="20"/>
              </w:rPr>
              <w:t>vol</w:t>
            </w:r>
            <w:proofErr w:type="spellEnd"/>
          </w:p>
        </w:tc>
        <w:tc>
          <w:tcPr>
            <w:tcW w:w="1658" w:type="dxa"/>
            <w:tcBorders>
              <w:bottom w:val="single" w:sz="4" w:space="0" w:color="auto"/>
            </w:tcBorders>
            <w:vAlign w:val="center"/>
          </w:tcPr>
          <w:p w14:paraId="3BEC1F21" w14:textId="77777777" w:rsidR="00182632" w:rsidRPr="000A148E" w:rsidRDefault="00182632" w:rsidP="000A148E">
            <w:pPr>
              <w:jc w:val="center"/>
              <w:rPr>
                <w:rFonts w:ascii="Times New Roman" w:hAnsi="Times New Roman" w:cs="Times New Roman"/>
                <w:b/>
                <w:iCs/>
                <w:color w:val="000000" w:themeColor="text1"/>
                <w:sz w:val="20"/>
                <w:szCs w:val="20"/>
                <w:lang w:val="en-US"/>
              </w:rPr>
            </w:pPr>
            <w:r w:rsidRPr="000A148E">
              <w:rPr>
                <w:rFonts w:ascii="Times New Roman" w:hAnsi="Times New Roman" w:cs="Times New Roman"/>
                <w:b/>
                <w:color w:val="000000" w:themeColor="text1"/>
                <w:sz w:val="20"/>
                <w:szCs w:val="20"/>
              </w:rPr>
              <w:t xml:space="preserve">% </w:t>
            </w:r>
            <w:proofErr w:type="gramStart"/>
            <w:r w:rsidR="000A148E">
              <w:rPr>
                <w:rFonts w:ascii="Times New Roman" w:hAnsi="Times New Roman" w:cs="Times New Roman"/>
                <w:b/>
                <w:color w:val="000000" w:themeColor="text1"/>
                <w:sz w:val="20"/>
                <w:szCs w:val="20"/>
              </w:rPr>
              <w:t>s</w:t>
            </w:r>
            <w:r w:rsidRPr="000A148E">
              <w:rPr>
                <w:rFonts w:ascii="Times New Roman" w:hAnsi="Times New Roman" w:cs="Times New Roman"/>
                <w:b/>
                <w:color w:val="000000" w:themeColor="text1"/>
                <w:sz w:val="20"/>
                <w:szCs w:val="20"/>
              </w:rPr>
              <w:t>old</w:t>
            </w:r>
            <w:proofErr w:type="gramEnd"/>
            <w:r w:rsidRPr="000A148E">
              <w:rPr>
                <w:rFonts w:ascii="Times New Roman" w:hAnsi="Times New Roman" w:cs="Times New Roman"/>
                <w:b/>
                <w:color w:val="000000" w:themeColor="text1"/>
                <w:sz w:val="20"/>
                <w:szCs w:val="20"/>
              </w:rPr>
              <w:t xml:space="preserve"> </w:t>
            </w:r>
            <w:r w:rsidR="000A148E">
              <w:rPr>
                <w:rFonts w:ascii="Times New Roman" w:hAnsi="Times New Roman" w:cs="Times New Roman"/>
                <w:b/>
                <w:color w:val="000000" w:themeColor="text1"/>
                <w:sz w:val="20"/>
                <w:szCs w:val="20"/>
              </w:rPr>
              <w:t>deal</w:t>
            </w:r>
          </w:p>
        </w:tc>
        <w:tc>
          <w:tcPr>
            <w:tcW w:w="1658" w:type="dxa"/>
            <w:tcBorders>
              <w:bottom w:val="single" w:sz="4" w:space="0" w:color="auto"/>
            </w:tcBorders>
            <w:vAlign w:val="center"/>
          </w:tcPr>
          <w:p w14:paraId="6C730575" w14:textId="77777777" w:rsidR="00182632" w:rsidRPr="000A148E" w:rsidRDefault="00182632" w:rsidP="00182632">
            <w:pPr>
              <w:jc w:val="center"/>
              <w:rPr>
                <w:rFonts w:ascii="Times New Roman" w:hAnsi="Times New Roman" w:cs="Times New Roman"/>
                <w:b/>
                <w:iCs/>
                <w:color w:val="000000" w:themeColor="text1"/>
                <w:sz w:val="20"/>
                <w:szCs w:val="20"/>
                <w:lang w:val="en-US"/>
              </w:rPr>
            </w:pPr>
            <w:r w:rsidRPr="000A148E">
              <w:rPr>
                <w:rFonts w:ascii="Times New Roman" w:hAnsi="Times New Roman" w:cs="Times New Roman"/>
                <w:b/>
                <w:color w:val="000000" w:themeColor="text1"/>
                <w:sz w:val="20"/>
                <w:szCs w:val="20"/>
              </w:rPr>
              <w:t># SKUs</w:t>
            </w:r>
          </w:p>
        </w:tc>
        <w:tc>
          <w:tcPr>
            <w:tcW w:w="1658" w:type="dxa"/>
            <w:tcBorders>
              <w:bottom w:val="single" w:sz="4" w:space="0" w:color="auto"/>
            </w:tcBorders>
            <w:vAlign w:val="center"/>
          </w:tcPr>
          <w:p w14:paraId="13A55CDB" w14:textId="77777777" w:rsidR="00182632" w:rsidRPr="000A148E" w:rsidRDefault="00182632" w:rsidP="00182632">
            <w:pPr>
              <w:jc w:val="center"/>
              <w:rPr>
                <w:rFonts w:ascii="Times New Roman" w:hAnsi="Times New Roman" w:cs="Times New Roman"/>
                <w:b/>
                <w:iCs/>
                <w:color w:val="000000" w:themeColor="text1"/>
                <w:sz w:val="20"/>
                <w:szCs w:val="20"/>
                <w:lang w:val="en-US"/>
              </w:rPr>
            </w:pPr>
            <w:r w:rsidRPr="000A148E">
              <w:rPr>
                <w:rFonts w:ascii="Times New Roman" w:hAnsi="Times New Roman" w:cs="Times New Roman"/>
                <w:b/>
                <w:color w:val="000000" w:themeColor="text1"/>
                <w:sz w:val="20"/>
                <w:szCs w:val="20"/>
              </w:rPr>
              <w:t>Mkt Growth</w:t>
            </w:r>
          </w:p>
        </w:tc>
      </w:tr>
      <w:tr w:rsidR="00182632" w:rsidRPr="00182632" w14:paraId="2056832E" w14:textId="77777777" w:rsidTr="005D374A">
        <w:tc>
          <w:tcPr>
            <w:tcW w:w="1658" w:type="dxa"/>
            <w:tcBorders>
              <w:bottom w:val="nil"/>
            </w:tcBorders>
            <w:vAlign w:val="center"/>
          </w:tcPr>
          <w:p w14:paraId="647DDC44" w14:textId="77777777" w:rsidR="00182632" w:rsidRPr="000A148E" w:rsidRDefault="00182632" w:rsidP="00182632">
            <w:pPr>
              <w:rPr>
                <w:rFonts w:ascii="Times New Roman" w:hAnsi="Times New Roman" w:cs="Times New Roman"/>
                <w:iCs/>
                <w:color w:val="000000" w:themeColor="text1"/>
                <w:sz w:val="20"/>
                <w:szCs w:val="20"/>
                <w:lang w:val="en-US"/>
              </w:rPr>
            </w:pPr>
            <w:r w:rsidRPr="000A148E">
              <w:rPr>
                <w:rFonts w:ascii="Times New Roman" w:hAnsi="Times New Roman" w:cs="Times New Roman"/>
                <w:color w:val="000000" w:themeColor="text1"/>
                <w:sz w:val="20"/>
                <w:szCs w:val="20"/>
              </w:rPr>
              <w:t>Germany</w:t>
            </w:r>
          </w:p>
        </w:tc>
        <w:tc>
          <w:tcPr>
            <w:tcW w:w="1658" w:type="dxa"/>
            <w:tcBorders>
              <w:bottom w:val="nil"/>
              <w:right w:val="single" w:sz="4" w:space="0" w:color="auto"/>
            </w:tcBorders>
            <w:vAlign w:val="center"/>
          </w:tcPr>
          <w:p w14:paraId="4B77F68B"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0.15</w:t>
            </w:r>
          </w:p>
        </w:tc>
        <w:tc>
          <w:tcPr>
            <w:tcW w:w="1658" w:type="dxa"/>
            <w:tcBorders>
              <w:left w:val="single" w:sz="4" w:space="0" w:color="auto"/>
              <w:bottom w:val="nil"/>
              <w:right w:val="single" w:sz="4" w:space="0" w:color="auto"/>
            </w:tcBorders>
            <w:vAlign w:val="center"/>
          </w:tcPr>
          <w:p w14:paraId="543A042B"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0.02</w:t>
            </w:r>
          </w:p>
        </w:tc>
        <w:tc>
          <w:tcPr>
            <w:tcW w:w="1658" w:type="dxa"/>
            <w:tcBorders>
              <w:left w:val="single" w:sz="4" w:space="0" w:color="auto"/>
              <w:bottom w:val="nil"/>
            </w:tcBorders>
            <w:vAlign w:val="center"/>
          </w:tcPr>
          <w:p w14:paraId="50BEBF03"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0.33</w:t>
            </w:r>
          </w:p>
        </w:tc>
        <w:tc>
          <w:tcPr>
            <w:tcW w:w="1658" w:type="dxa"/>
            <w:tcBorders>
              <w:bottom w:val="nil"/>
            </w:tcBorders>
            <w:vAlign w:val="center"/>
          </w:tcPr>
          <w:p w14:paraId="40B2A451"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1</w:t>
            </w:r>
          </w:p>
        </w:tc>
      </w:tr>
      <w:tr w:rsidR="00182632" w:rsidRPr="00182632" w14:paraId="6F655AD8" w14:textId="77777777" w:rsidTr="005D374A">
        <w:tc>
          <w:tcPr>
            <w:tcW w:w="1658" w:type="dxa"/>
            <w:tcBorders>
              <w:top w:val="nil"/>
              <w:bottom w:val="nil"/>
            </w:tcBorders>
            <w:vAlign w:val="center"/>
          </w:tcPr>
          <w:p w14:paraId="31F347B0" w14:textId="77777777" w:rsidR="00182632" w:rsidRPr="000A148E" w:rsidRDefault="00182632" w:rsidP="00182632">
            <w:pPr>
              <w:rPr>
                <w:rFonts w:ascii="Times New Roman" w:hAnsi="Times New Roman" w:cs="Times New Roman"/>
                <w:iCs/>
                <w:color w:val="000000" w:themeColor="text1"/>
                <w:sz w:val="20"/>
                <w:szCs w:val="20"/>
                <w:lang w:val="en-US"/>
              </w:rPr>
            </w:pPr>
            <w:r w:rsidRPr="000A148E">
              <w:rPr>
                <w:rFonts w:ascii="Times New Roman" w:hAnsi="Times New Roman" w:cs="Times New Roman"/>
                <w:color w:val="000000" w:themeColor="text1"/>
                <w:sz w:val="20"/>
                <w:szCs w:val="20"/>
              </w:rPr>
              <w:t>France</w:t>
            </w:r>
          </w:p>
        </w:tc>
        <w:tc>
          <w:tcPr>
            <w:tcW w:w="1658" w:type="dxa"/>
            <w:tcBorders>
              <w:top w:val="nil"/>
              <w:bottom w:val="nil"/>
              <w:right w:val="single" w:sz="4" w:space="0" w:color="auto"/>
            </w:tcBorders>
            <w:vAlign w:val="center"/>
          </w:tcPr>
          <w:p w14:paraId="5D120BD1"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0.20</w:t>
            </w:r>
          </w:p>
        </w:tc>
        <w:tc>
          <w:tcPr>
            <w:tcW w:w="1658" w:type="dxa"/>
            <w:tcBorders>
              <w:top w:val="nil"/>
              <w:left w:val="single" w:sz="4" w:space="0" w:color="auto"/>
              <w:bottom w:val="nil"/>
              <w:right w:val="single" w:sz="4" w:space="0" w:color="auto"/>
            </w:tcBorders>
            <w:vAlign w:val="center"/>
          </w:tcPr>
          <w:p w14:paraId="185C4BD0"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0.11</w:t>
            </w:r>
          </w:p>
        </w:tc>
        <w:tc>
          <w:tcPr>
            <w:tcW w:w="1658" w:type="dxa"/>
            <w:tcBorders>
              <w:top w:val="nil"/>
              <w:left w:val="single" w:sz="4" w:space="0" w:color="auto"/>
              <w:bottom w:val="nil"/>
            </w:tcBorders>
            <w:vAlign w:val="center"/>
          </w:tcPr>
          <w:p w14:paraId="27D519D8"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w:t>
            </w:r>
          </w:p>
        </w:tc>
        <w:tc>
          <w:tcPr>
            <w:tcW w:w="1658" w:type="dxa"/>
            <w:tcBorders>
              <w:top w:val="nil"/>
              <w:bottom w:val="nil"/>
            </w:tcBorders>
            <w:vAlign w:val="center"/>
          </w:tcPr>
          <w:p w14:paraId="354D3E8C"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6</w:t>
            </w:r>
          </w:p>
        </w:tc>
      </w:tr>
      <w:tr w:rsidR="00182632" w:rsidRPr="00182632" w14:paraId="1F92D40A" w14:textId="77777777" w:rsidTr="005D374A">
        <w:tc>
          <w:tcPr>
            <w:tcW w:w="1658" w:type="dxa"/>
            <w:tcBorders>
              <w:top w:val="nil"/>
              <w:bottom w:val="nil"/>
            </w:tcBorders>
            <w:vAlign w:val="center"/>
          </w:tcPr>
          <w:p w14:paraId="1E5B1671" w14:textId="77777777" w:rsidR="00182632" w:rsidRPr="000A148E" w:rsidRDefault="00182632" w:rsidP="00182632">
            <w:pPr>
              <w:rPr>
                <w:rFonts w:ascii="Times New Roman" w:hAnsi="Times New Roman" w:cs="Times New Roman"/>
                <w:iCs/>
                <w:color w:val="000000" w:themeColor="text1"/>
                <w:sz w:val="20"/>
                <w:szCs w:val="20"/>
                <w:lang w:val="en-US"/>
              </w:rPr>
            </w:pPr>
            <w:r w:rsidRPr="000A148E">
              <w:rPr>
                <w:rFonts w:ascii="Times New Roman" w:hAnsi="Times New Roman" w:cs="Times New Roman"/>
                <w:color w:val="000000" w:themeColor="text1"/>
                <w:sz w:val="20"/>
                <w:szCs w:val="20"/>
              </w:rPr>
              <w:t>UK</w:t>
            </w:r>
          </w:p>
        </w:tc>
        <w:tc>
          <w:tcPr>
            <w:tcW w:w="1658" w:type="dxa"/>
            <w:tcBorders>
              <w:top w:val="nil"/>
              <w:bottom w:val="nil"/>
              <w:right w:val="single" w:sz="4" w:space="0" w:color="auto"/>
            </w:tcBorders>
            <w:vAlign w:val="center"/>
          </w:tcPr>
          <w:p w14:paraId="2778BE33"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0.34</w:t>
            </w:r>
          </w:p>
        </w:tc>
        <w:tc>
          <w:tcPr>
            <w:tcW w:w="1658" w:type="dxa"/>
            <w:tcBorders>
              <w:top w:val="nil"/>
              <w:left w:val="single" w:sz="4" w:space="0" w:color="auto"/>
              <w:bottom w:val="nil"/>
              <w:right w:val="single" w:sz="4" w:space="0" w:color="auto"/>
            </w:tcBorders>
            <w:vAlign w:val="center"/>
          </w:tcPr>
          <w:p w14:paraId="5E257980"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0.11</w:t>
            </w:r>
          </w:p>
        </w:tc>
        <w:tc>
          <w:tcPr>
            <w:tcW w:w="1658" w:type="dxa"/>
            <w:tcBorders>
              <w:top w:val="nil"/>
              <w:left w:val="single" w:sz="4" w:space="0" w:color="auto"/>
              <w:bottom w:val="nil"/>
            </w:tcBorders>
            <w:vAlign w:val="center"/>
          </w:tcPr>
          <w:p w14:paraId="5EB30E92"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0.15</w:t>
            </w:r>
          </w:p>
        </w:tc>
        <w:tc>
          <w:tcPr>
            <w:tcW w:w="1658" w:type="dxa"/>
            <w:tcBorders>
              <w:top w:val="nil"/>
              <w:bottom w:val="nil"/>
            </w:tcBorders>
            <w:vAlign w:val="center"/>
          </w:tcPr>
          <w:p w14:paraId="1642E689"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6</w:t>
            </w:r>
          </w:p>
        </w:tc>
      </w:tr>
      <w:tr w:rsidR="00182632" w:rsidRPr="00182632" w14:paraId="0212F5A5" w14:textId="77777777" w:rsidTr="005D374A">
        <w:tc>
          <w:tcPr>
            <w:tcW w:w="1658" w:type="dxa"/>
            <w:tcBorders>
              <w:top w:val="nil"/>
            </w:tcBorders>
            <w:vAlign w:val="center"/>
          </w:tcPr>
          <w:p w14:paraId="5EDD34EF" w14:textId="77777777" w:rsidR="00182632" w:rsidRPr="000A148E" w:rsidRDefault="00182632" w:rsidP="00182632">
            <w:pPr>
              <w:rPr>
                <w:rFonts w:ascii="Times New Roman" w:hAnsi="Times New Roman" w:cs="Times New Roman"/>
                <w:iCs/>
                <w:color w:val="000000" w:themeColor="text1"/>
                <w:sz w:val="20"/>
                <w:szCs w:val="20"/>
                <w:lang w:val="en-US"/>
              </w:rPr>
            </w:pPr>
            <w:r w:rsidRPr="000A148E">
              <w:rPr>
                <w:rFonts w:ascii="Times New Roman" w:hAnsi="Times New Roman" w:cs="Times New Roman"/>
                <w:color w:val="000000" w:themeColor="text1"/>
                <w:sz w:val="20"/>
                <w:szCs w:val="20"/>
              </w:rPr>
              <w:t>US</w:t>
            </w:r>
          </w:p>
        </w:tc>
        <w:tc>
          <w:tcPr>
            <w:tcW w:w="1658" w:type="dxa"/>
            <w:tcBorders>
              <w:top w:val="nil"/>
              <w:right w:val="single" w:sz="4" w:space="0" w:color="auto"/>
            </w:tcBorders>
            <w:vAlign w:val="center"/>
          </w:tcPr>
          <w:p w14:paraId="6744A298"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0.42</w:t>
            </w:r>
          </w:p>
        </w:tc>
        <w:tc>
          <w:tcPr>
            <w:tcW w:w="1658" w:type="dxa"/>
            <w:tcBorders>
              <w:top w:val="nil"/>
              <w:left w:val="single" w:sz="4" w:space="0" w:color="auto"/>
              <w:right w:val="single" w:sz="4" w:space="0" w:color="auto"/>
            </w:tcBorders>
            <w:vAlign w:val="center"/>
          </w:tcPr>
          <w:p w14:paraId="4F1E7F07"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-0.1</w:t>
            </w:r>
          </w:p>
        </w:tc>
        <w:tc>
          <w:tcPr>
            <w:tcW w:w="1658" w:type="dxa"/>
            <w:tcBorders>
              <w:top w:val="nil"/>
              <w:left w:val="single" w:sz="4" w:space="0" w:color="auto"/>
            </w:tcBorders>
            <w:vAlign w:val="center"/>
          </w:tcPr>
          <w:p w14:paraId="5FFC1944"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0.28</w:t>
            </w:r>
          </w:p>
        </w:tc>
        <w:tc>
          <w:tcPr>
            <w:tcW w:w="1658" w:type="dxa"/>
            <w:tcBorders>
              <w:top w:val="nil"/>
            </w:tcBorders>
            <w:vAlign w:val="center"/>
          </w:tcPr>
          <w:p w14:paraId="65622ADB"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color w:val="000000"/>
                <w:sz w:val="20"/>
                <w:szCs w:val="20"/>
              </w:rPr>
              <w:t>2</w:t>
            </w:r>
          </w:p>
        </w:tc>
      </w:tr>
      <w:tr w:rsidR="00182632" w:rsidRPr="00182632" w14:paraId="24424057" w14:textId="77777777" w:rsidTr="009242CC">
        <w:tc>
          <w:tcPr>
            <w:tcW w:w="1658" w:type="dxa"/>
            <w:vAlign w:val="center"/>
          </w:tcPr>
          <w:p w14:paraId="2C666581" w14:textId="77777777" w:rsidR="00182632" w:rsidRPr="000A148E" w:rsidRDefault="00182632" w:rsidP="00182632">
            <w:pPr>
              <w:rPr>
                <w:rFonts w:ascii="Times New Roman" w:hAnsi="Times New Roman" w:cs="Times New Roman"/>
                <w:b/>
                <w:iCs/>
                <w:color w:val="000000" w:themeColor="text1"/>
                <w:sz w:val="20"/>
                <w:szCs w:val="20"/>
                <w:lang w:val="en-US"/>
              </w:rPr>
            </w:pPr>
            <w:r w:rsidRPr="000A148E">
              <w:rPr>
                <w:rFonts w:ascii="Times New Roman" w:hAnsi="Times New Roman" w:cs="Times New Roman"/>
                <w:b/>
                <w:color w:val="000000" w:themeColor="text1"/>
                <w:sz w:val="20"/>
                <w:szCs w:val="20"/>
              </w:rPr>
              <w:t>Average</w:t>
            </w:r>
          </w:p>
        </w:tc>
        <w:tc>
          <w:tcPr>
            <w:tcW w:w="1658" w:type="dxa"/>
            <w:vAlign w:val="center"/>
          </w:tcPr>
          <w:p w14:paraId="6F50BFEF"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b/>
                <w:bCs/>
                <w:color w:val="000000"/>
                <w:sz w:val="20"/>
                <w:szCs w:val="20"/>
              </w:rPr>
              <w:t>0.28</w:t>
            </w:r>
          </w:p>
        </w:tc>
        <w:tc>
          <w:tcPr>
            <w:tcW w:w="1658" w:type="dxa"/>
            <w:vAlign w:val="center"/>
          </w:tcPr>
          <w:p w14:paraId="07E01BE7"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b/>
                <w:bCs/>
                <w:color w:val="000000"/>
                <w:sz w:val="20"/>
                <w:szCs w:val="20"/>
              </w:rPr>
              <w:t>0.04</w:t>
            </w:r>
          </w:p>
        </w:tc>
        <w:tc>
          <w:tcPr>
            <w:tcW w:w="1658" w:type="dxa"/>
            <w:vAlign w:val="center"/>
          </w:tcPr>
          <w:p w14:paraId="3B9B2BEF"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b/>
                <w:bCs/>
                <w:color w:val="000000"/>
                <w:sz w:val="20"/>
                <w:szCs w:val="20"/>
              </w:rPr>
              <w:t>0.19</w:t>
            </w:r>
          </w:p>
        </w:tc>
        <w:tc>
          <w:tcPr>
            <w:tcW w:w="1658" w:type="dxa"/>
            <w:vAlign w:val="center"/>
          </w:tcPr>
          <w:p w14:paraId="4AF14072" w14:textId="77777777" w:rsidR="00182632" w:rsidRPr="000A148E" w:rsidRDefault="00182632" w:rsidP="00182632">
            <w:pPr>
              <w:jc w:val="center"/>
              <w:rPr>
                <w:rFonts w:ascii="Times New Roman" w:hAnsi="Times New Roman" w:cs="Times New Roman"/>
                <w:iCs/>
                <w:sz w:val="20"/>
                <w:szCs w:val="20"/>
                <w:lang w:val="en-US"/>
              </w:rPr>
            </w:pPr>
            <w:r w:rsidRPr="000A148E">
              <w:rPr>
                <w:rFonts w:ascii="Times New Roman" w:hAnsi="Times New Roman" w:cs="Times New Roman"/>
                <w:b/>
                <w:bCs/>
                <w:color w:val="000000"/>
                <w:sz w:val="20"/>
                <w:szCs w:val="20"/>
              </w:rPr>
              <w:t>4</w:t>
            </w:r>
          </w:p>
        </w:tc>
      </w:tr>
    </w:tbl>
    <w:p w14:paraId="1CAB04CD" w14:textId="77777777" w:rsidR="00811557" w:rsidRDefault="00811557" w:rsidP="009632F9">
      <w:pPr>
        <w:rPr>
          <w:rFonts w:ascii="Times New Roman" w:hAnsi="Times New Roman" w:cs="Times New Roman"/>
          <w:iCs/>
          <w:lang w:val="en-US"/>
        </w:rPr>
      </w:pPr>
    </w:p>
    <w:p w14:paraId="67E3F2FA" w14:textId="53B91E40" w:rsidR="00B95E9E" w:rsidRDefault="008E53A7" w:rsidP="009632F9">
      <w:pPr>
        <w:rPr>
          <w:rFonts w:ascii="Times New Roman" w:hAnsi="Times New Roman" w:cs="Times New Roman"/>
          <w:b/>
          <w:bCs/>
          <w:iCs/>
          <w:lang w:val="en-US"/>
        </w:rPr>
      </w:pPr>
      <w:r>
        <w:rPr>
          <w:rFonts w:ascii="Times New Roman" w:hAnsi="Times New Roman" w:cs="Times New Roman"/>
          <w:iCs/>
          <w:lang w:val="en-US"/>
        </w:rPr>
        <w:t>Next, we deconstructed the category growth into volume and price growth for categories at different levels of maturity. We find that for less mature categories, growth comes mainly from increases in volume, aided by price increases and m</w:t>
      </w:r>
      <w:r w:rsidRPr="008E53A7">
        <w:rPr>
          <w:rFonts w:ascii="Times New Roman" w:hAnsi="Times New Roman" w:cs="Times New Roman"/>
          <w:iCs/>
          <w:lang w:val="en-US"/>
        </w:rPr>
        <w:t>ore SKUs launched</w:t>
      </w:r>
      <w:r>
        <w:rPr>
          <w:rFonts w:ascii="Times New Roman" w:hAnsi="Times New Roman" w:cs="Times New Roman"/>
          <w:iCs/>
          <w:lang w:val="en-US"/>
        </w:rPr>
        <w:t>. In more matu</w:t>
      </w:r>
      <w:r w:rsidR="00DF7637">
        <w:rPr>
          <w:rFonts w:ascii="Times New Roman" w:hAnsi="Times New Roman" w:cs="Times New Roman"/>
          <w:iCs/>
          <w:lang w:val="en-US"/>
        </w:rPr>
        <w:t xml:space="preserve">re categories, growth relies </w:t>
      </w:r>
      <w:r w:rsidRPr="008E53A7">
        <w:rPr>
          <w:rFonts w:ascii="Times New Roman" w:hAnsi="Times New Roman" w:cs="Times New Roman"/>
          <w:iCs/>
          <w:lang w:val="en-US"/>
        </w:rPr>
        <w:t>on getting price</w:t>
      </w:r>
      <w:r w:rsidR="008C2990">
        <w:rPr>
          <w:rFonts w:ascii="Times New Roman" w:hAnsi="Times New Roman" w:cs="Times New Roman"/>
          <w:iCs/>
          <w:lang w:val="en-US"/>
        </w:rPr>
        <w:t>s</w:t>
      </w:r>
      <w:r w:rsidRPr="008E53A7">
        <w:rPr>
          <w:rFonts w:ascii="Times New Roman" w:hAnsi="Times New Roman" w:cs="Times New Roman"/>
          <w:iCs/>
          <w:lang w:val="en-US"/>
        </w:rPr>
        <w:t xml:space="preserve"> up</w:t>
      </w:r>
      <w:r w:rsidR="00DF7637">
        <w:rPr>
          <w:rFonts w:ascii="Times New Roman" w:hAnsi="Times New Roman" w:cs="Times New Roman"/>
          <w:iCs/>
          <w:lang w:val="en-US"/>
        </w:rPr>
        <w:t>, with volume being relatively stable</w:t>
      </w:r>
      <w:r>
        <w:rPr>
          <w:rFonts w:ascii="Times New Roman" w:hAnsi="Times New Roman" w:cs="Times New Roman"/>
          <w:iCs/>
          <w:lang w:val="en-US"/>
        </w:rPr>
        <w:t>.</w:t>
      </w:r>
      <w:r w:rsidRPr="008E53A7">
        <w:rPr>
          <w:rFonts w:ascii="Times New Roman" w:hAnsi="Times New Roman" w:cs="Times New Roman"/>
          <w:iCs/>
          <w:lang w:val="en-US"/>
        </w:rPr>
        <w:t xml:space="preserve"> </w:t>
      </w:r>
      <w:r w:rsidR="00E77B03" w:rsidRPr="00E77B03">
        <w:rPr>
          <w:rFonts w:ascii="Times New Roman" w:hAnsi="Times New Roman" w:cs="Times New Roman"/>
          <w:iCs/>
          <w:lang w:val="en-US"/>
        </w:rPr>
        <w:t>Finally, we find that in mature</w:t>
      </w:r>
      <w:r w:rsidR="00644092">
        <w:rPr>
          <w:rFonts w:ascii="Times New Roman" w:hAnsi="Times New Roman" w:cs="Times New Roman"/>
          <w:iCs/>
          <w:lang w:val="en-US"/>
        </w:rPr>
        <w:t xml:space="preserve"> sub-categories</w:t>
      </w:r>
      <w:r w:rsidR="00484C65">
        <w:rPr>
          <w:rFonts w:ascii="Times New Roman" w:hAnsi="Times New Roman" w:cs="Times New Roman"/>
          <w:iCs/>
          <w:lang w:val="en-US"/>
        </w:rPr>
        <w:t xml:space="preserve"> new SKUs are introduced at a</w:t>
      </w:r>
      <w:r w:rsidR="00E77B03" w:rsidRPr="00E77B03">
        <w:rPr>
          <w:rFonts w:ascii="Times New Roman" w:hAnsi="Times New Roman" w:cs="Times New Roman"/>
          <w:iCs/>
          <w:lang w:val="en-US"/>
        </w:rPr>
        <w:t xml:space="preserve"> price on average </w:t>
      </w:r>
      <w:r w:rsidR="009F31EF">
        <w:rPr>
          <w:rFonts w:ascii="Times New Roman" w:hAnsi="Times New Roman" w:cs="Times New Roman"/>
          <w:bCs/>
          <w:iCs/>
          <w:lang w:val="en-US"/>
        </w:rPr>
        <w:t>30</w:t>
      </w:r>
      <w:r w:rsidR="00E77B03" w:rsidRPr="00E77B03">
        <w:rPr>
          <w:rFonts w:ascii="Times New Roman" w:hAnsi="Times New Roman" w:cs="Times New Roman"/>
          <w:bCs/>
          <w:iCs/>
          <w:lang w:val="en-US"/>
        </w:rPr>
        <w:t>% higher than the existing SKUs. This is only 10% higher for non-mature categories</w:t>
      </w:r>
      <w:r w:rsidR="004D0692">
        <w:rPr>
          <w:rFonts w:ascii="Times New Roman" w:hAnsi="Times New Roman" w:cs="Times New Roman"/>
          <w:bCs/>
          <w:iCs/>
          <w:lang w:val="en-US"/>
        </w:rPr>
        <w:t>, implying</w:t>
      </w:r>
      <w:r w:rsidR="00E77B03" w:rsidRPr="00E77B03">
        <w:rPr>
          <w:rFonts w:ascii="Times New Roman" w:hAnsi="Times New Roman" w:cs="Times New Roman"/>
          <w:bCs/>
          <w:iCs/>
          <w:lang w:val="en-US"/>
        </w:rPr>
        <w:t xml:space="preserve"> that</w:t>
      </w:r>
      <w:r w:rsidR="00E77B03">
        <w:rPr>
          <w:rFonts w:ascii="Times New Roman" w:hAnsi="Times New Roman" w:cs="Times New Roman"/>
          <w:bCs/>
          <w:iCs/>
          <w:lang w:val="en-US"/>
        </w:rPr>
        <w:t xml:space="preserve"> new SKUs are </w:t>
      </w:r>
      <w:r w:rsidR="004D0692">
        <w:rPr>
          <w:rFonts w:ascii="Times New Roman" w:hAnsi="Times New Roman" w:cs="Times New Roman"/>
          <w:bCs/>
          <w:iCs/>
          <w:lang w:val="en-US"/>
        </w:rPr>
        <w:t>being used</w:t>
      </w:r>
      <w:r w:rsidR="00E77B03">
        <w:rPr>
          <w:rFonts w:ascii="Times New Roman" w:hAnsi="Times New Roman" w:cs="Times New Roman"/>
          <w:bCs/>
          <w:iCs/>
          <w:lang w:val="en-US"/>
        </w:rPr>
        <w:t xml:space="preserve"> to increase category value and grow category sales. </w:t>
      </w:r>
      <w:r w:rsidR="00E77B03">
        <w:rPr>
          <w:rFonts w:ascii="Times New Roman" w:hAnsi="Times New Roman" w:cs="Times New Roman"/>
          <w:b/>
          <w:bCs/>
          <w:iCs/>
          <w:lang w:val="en-US"/>
        </w:rPr>
        <w:t xml:space="preserve"> </w:t>
      </w:r>
    </w:p>
    <w:p w14:paraId="2EED5E1A" w14:textId="77777777" w:rsidR="009D2DF2" w:rsidRDefault="009D2DF2" w:rsidP="002A303C">
      <w:pPr>
        <w:rPr>
          <w:rFonts w:ascii="Times New Roman" w:hAnsi="Times New Roman" w:cs="Times New Roman"/>
        </w:rPr>
      </w:pPr>
    </w:p>
    <w:p w14:paraId="633FD9E5" w14:textId="77777777" w:rsidR="009632F9" w:rsidRDefault="002A303C" w:rsidP="005433EC">
      <w:pPr>
        <w:rPr>
          <w:rFonts w:ascii="Times New Roman" w:hAnsi="Times New Roman" w:cs="Times New Roman"/>
          <w:b/>
        </w:rPr>
      </w:pPr>
      <w:r>
        <w:rPr>
          <w:rFonts w:ascii="Times New Roman" w:hAnsi="Times New Roman" w:cs="Times New Roman"/>
          <w:b/>
        </w:rPr>
        <w:t>Implications for Theory &amp; Practice</w:t>
      </w:r>
    </w:p>
    <w:p w14:paraId="239706DA" w14:textId="409E0ED1" w:rsidR="00647FFE" w:rsidRDefault="009D7949" w:rsidP="002A303C">
      <w:pPr>
        <w:rPr>
          <w:rFonts w:ascii="Times New Roman" w:hAnsi="Times New Roman" w:cs="Times New Roman"/>
        </w:rPr>
      </w:pPr>
      <w:r w:rsidRPr="009D7949">
        <w:rPr>
          <w:rFonts w:ascii="Times New Roman" w:hAnsi="Times New Roman" w:cs="Times New Roman"/>
        </w:rPr>
        <w:t>Our findings</w:t>
      </w:r>
      <w:r>
        <w:rPr>
          <w:rFonts w:ascii="Times New Roman" w:hAnsi="Times New Roman" w:cs="Times New Roman"/>
        </w:rPr>
        <w:t xml:space="preserve"> </w:t>
      </w:r>
      <w:r w:rsidR="00207EF3">
        <w:rPr>
          <w:rFonts w:ascii="Times New Roman" w:hAnsi="Times New Roman" w:cs="Times New Roman"/>
        </w:rPr>
        <w:t>provide important implications for companies wanting to grow with</w:t>
      </w:r>
      <w:r w:rsidR="004D0692">
        <w:rPr>
          <w:rFonts w:ascii="Times New Roman" w:hAnsi="Times New Roman" w:cs="Times New Roman"/>
        </w:rPr>
        <w:t>in</w:t>
      </w:r>
      <w:r w:rsidR="00207EF3">
        <w:rPr>
          <w:rFonts w:ascii="Times New Roman" w:hAnsi="Times New Roman" w:cs="Times New Roman"/>
        </w:rPr>
        <w:t xml:space="preserve"> their portfolios of categories and brands. Our main finding is that category growth strategy depends on category maturity. </w:t>
      </w:r>
      <w:r w:rsidR="00FB28AA">
        <w:rPr>
          <w:rFonts w:ascii="Times New Roman" w:hAnsi="Times New Roman" w:cs="Times New Roman"/>
        </w:rPr>
        <w:t xml:space="preserve">In more mature categories, the main growth </w:t>
      </w:r>
      <w:r w:rsidR="00C27634">
        <w:rPr>
          <w:rFonts w:ascii="Times New Roman" w:hAnsi="Times New Roman" w:cs="Times New Roman"/>
        </w:rPr>
        <w:t xml:space="preserve">strategy </w:t>
      </w:r>
      <w:r w:rsidR="00FB28AA">
        <w:rPr>
          <w:rFonts w:ascii="Times New Roman" w:hAnsi="Times New Roman" w:cs="Times New Roman"/>
        </w:rPr>
        <w:t xml:space="preserve">is </w:t>
      </w:r>
      <w:r w:rsidR="00636E76">
        <w:rPr>
          <w:rFonts w:ascii="Times New Roman" w:hAnsi="Times New Roman" w:cs="Times New Roman"/>
        </w:rPr>
        <w:t>premiumisation</w:t>
      </w:r>
      <w:r w:rsidR="00FB28AA">
        <w:rPr>
          <w:rFonts w:ascii="Times New Roman" w:hAnsi="Times New Roman" w:cs="Times New Roman"/>
        </w:rPr>
        <w:t>. P</w:t>
      </w:r>
      <w:r w:rsidR="00672DBB" w:rsidRPr="00672DBB">
        <w:rPr>
          <w:rFonts w:ascii="Times New Roman" w:hAnsi="Times New Roman" w:cs="Times New Roman"/>
        </w:rPr>
        <w:t>remiumisation occurs more frequently, diffuses more quickly and achieves higher price premiums from highly commoditised</w:t>
      </w:r>
      <w:r w:rsidR="00547EC3">
        <w:rPr>
          <w:rFonts w:ascii="Times New Roman" w:hAnsi="Times New Roman" w:cs="Times New Roman"/>
        </w:rPr>
        <w:t xml:space="preserve"> mature</w:t>
      </w:r>
      <w:r w:rsidR="00672DBB" w:rsidRPr="00672DBB">
        <w:rPr>
          <w:rFonts w:ascii="Times New Roman" w:hAnsi="Times New Roman" w:cs="Times New Roman"/>
        </w:rPr>
        <w:t xml:space="preserve"> categories because it more easily gains the support of retailers and manufacturers</w:t>
      </w:r>
      <w:r w:rsidR="00FB28AA">
        <w:rPr>
          <w:rFonts w:ascii="Times New Roman" w:hAnsi="Times New Roman" w:cs="Times New Roman"/>
        </w:rPr>
        <w:t xml:space="preserve"> {</w:t>
      </w:r>
      <w:r w:rsidR="004867B1">
        <w:rPr>
          <w:rFonts w:ascii="Times New Roman" w:hAnsi="Times New Roman" w:cs="Times New Roman"/>
        </w:rPr>
        <w:t>REF</w:t>
      </w:r>
      <w:r w:rsidR="00FB28AA">
        <w:rPr>
          <w:rFonts w:ascii="Times New Roman" w:hAnsi="Times New Roman" w:cs="Times New Roman"/>
        </w:rPr>
        <w:t>}</w:t>
      </w:r>
      <w:r w:rsidR="00672DBB" w:rsidRPr="00672DBB">
        <w:rPr>
          <w:rFonts w:ascii="Times New Roman" w:hAnsi="Times New Roman" w:cs="Times New Roman"/>
        </w:rPr>
        <w:t>.</w:t>
      </w:r>
      <w:r w:rsidR="00FB28AA">
        <w:rPr>
          <w:rFonts w:ascii="Times New Roman" w:hAnsi="Times New Roman" w:cs="Times New Roman"/>
        </w:rPr>
        <w:t xml:space="preserve"> </w:t>
      </w:r>
      <w:r w:rsidR="00636E76">
        <w:rPr>
          <w:rFonts w:ascii="Times New Roman" w:hAnsi="Times New Roman" w:cs="Times New Roman"/>
        </w:rPr>
        <w:t>In less mature categories, growth comes from more buyers buying more</w:t>
      </w:r>
      <w:r w:rsidR="00002E55">
        <w:rPr>
          <w:rFonts w:ascii="Times New Roman" w:hAnsi="Times New Roman" w:cs="Times New Roman"/>
        </w:rPr>
        <w:t xml:space="preserve"> often</w:t>
      </w:r>
      <w:r w:rsidR="00636E76">
        <w:rPr>
          <w:rFonts w:ascii="Times New Roman" w:hAnsi="Times New Roman" w:cs="Times New Roman"/>
        </w:rPr>
        <w:t xml:space="preserve">, which is reflected in increases in volume. </w:t>
      </w:r>
      <w:r w:rsidR="00021363">
        <w:rPr>
          <w:rFonts w:ascii="Times New Roman" w:hAnsi="Times New Roman" w:cs="Times New Roman"/>
        </w:rPr>
        <w:t>In such categories, the focus should be on capturing as many new category buyers as possible and build</w:t>
      </w:r>
      <w:r w:rsidR="004D0692">
        <w:rPr>
          <w:rFonts w:ascii="Times New Roman" w:hAnsi="Times New Roman" w:cs="Times New Roman"/>
        </w:rPr>
        <w:t>ing</w:t>
      </w:r>
      <w:r w:rsidR="00021363">
        <w:rPr>
          <w:rFonts w:ascii="Times New Roman" w:hAnsi="Times New Roman" w:cs="Times New Roman"/>
        </w:rPr>
        <w:t xml:space="preserve"> the category within </w:t>
      </w:r>
      <w:r w:rsidR="004D0692">
        <w:rPr>
          <w:rFonts w:ascii="Times New Roman" w:hAnsi="Times New Roman" w:cs="Times New Roman"/>
        </w:rPr>
        <w:t xml:space="preserve">individual </w:t>
      </w:r>
      <w:r w:rsidR="00021363">
        <w:rPr>
          <w:rFonts w:ascii="Times New Roman" w:hAnsi="Times New Roman" w:cs="Times New Roman"/>
        </w:rPr>
        <w:t>shopper</w:t>
      </w:r>
      <w:r w:rsidR="004D0692">
        <w:rPr>
          <w:rFonts w:ascii="Times New Roman" w:hAnsi="Times New Roman" w:cs="Times New Roman"/>
        </w:rPr>
        <w:t>’</w:t>
      </w:r>
      <w:r w:rsidR="00021363">
        <w:rPr>
          <w:rFonts w:ascii="Times New Roman" w:hAnsi="Times New Roman" w:cs="Times New Roman"/>
        </w:rPr>
        <w:t xml:space="preserve">s repertoires. In more mature categories, </w:t>
      </w:r>
      <w:r w:rsidR="004D0692">
        <w:rPr>
          <w:rFonts w:ascii="Times New Roman" w:hAnsi="Times New Roman" w:cs="Times New Roman"/>
        </w:rPr>
        <w:t xml:space="preserve">the </w:t>
      </w:r>
      <w:r w:rsidR="00021363">
        <w:rPr>
          <w:rFonts w:ascii="Times New Roman" w:hAnsi="Times New Roman" w:cs="Times New Roman"/>
        </w:rPr>
        <w:t>focus should be on getting category prices up. Our research suggests that new SKUS are a way to do this</w:t>
      </w:r>
      <w:r w:rsidR="00002E55">
        <w:rPr>
          <w:rFonts w:ascii="Times New Roman" w:hAnsi="Times New Roman" w:cs="Times New Roman"/>
        </w:rPr>
        <w:t xml:space="preserve">, with new </w:t>
      </w:r>
      <w:r w:rsidR="00547EC3">
        <w:rPr>
          <w:rFonts w:ascii="Times New Roman" w:hAnsi="Times New Roman" w:cs="Times New Roman"/>
        </w:rPr>
        <w:t xml:space="preserve">SKUs in mature categories </w:t>
      </w:r>
      <w:r w:rsidR="00002E55">
        <w:rPr>
          <w:rFonts w:ascii="Times New Roman" w:hAnsi="Times New Roman" w:cs="Times New Roman"/>
        </w:rPr>
        <w:t>being able to demand on average 30% higher prices</w:t>
      </w:r>
      <w:r w:rsidR="00547EC3">
        <w:rPr>
          <w:rFonts w:ascii="Times New Roman" w:hAnsi="Times New Roman" w:cs="Times New Roman"/>
        </w:rPr>
        <w:t xml:space="preserve">. </w:t>
      </w:r>
    </w:p>
    <w:p w14:paraId="73EE98CE" w14:textId="77777777" w:rsidR="004867B1" w:rsidRDefault="004867B1" w:rsidP="002A303C">
      <w:pPr>
        <w:rPr>
          <w:rFonts w:ascii="Times New Roman" w:hAnsi="Times New Roman" w:cs="Times New Roman"/>
        </w:rPr>
      </w:pPr>
    </w:p>
    <w:p w14:paraId="23691F35" w14:textId="163CADA2" w:rsidR="004867B1" w:rsidRDefault="004867B1" w:rsidP="002A303C">
      <w:pPr>
        <w:rPr>
          <w:rFonts w:ascii="Times New Roman" w:hAnsi="Times New Roman" w:cs="Times New Roman"/>
        </w:rPr>
      </w:pPr>
      <w:r>
        <w:rPr>
          <w:rFonts w:ascii="Times New Roman" w:hAnsi="Times New Roman" w:cs="Times New Roman"/>
        </w:rPr>
        <w:t>The research has several limitations</w:t>
      </w:r>
      <w:r w:rsidR="004D0692">
        <w:rPr>
          <w:rFonts w:ascii="Times New Roman" w:hAnsi="Times New Roman" w:cs="Times New Roman"/>
        </w:rPr>
        <w:t>,</w:t>
      </w:r>
      <w:r w:rsidR="00FC21C5">
        <w:rPr>
          <w:rFonts w:ascii="Times New Roman" w:hAnsi="Times New Roman" w:cs="Times New Roman"/>
        </w:rPr>
        <w:t xml:space="preserve"> which give direction </w:t>
      </w:r>
      <w:r w:rsidR="004D0692">
        <w:rPr>
          <w:rFonts w:ascii="Times New Roman" w:hAnsi="Times New Roman" w:cs="Times New Roman"/>
        </w:rPr>
        <w:t>for</w:t>
      </w:r>
      <w:r w:rsidR="00FC21C5">
        <w:rPr>
          <w:rFonts w:ascii="Times New Roman" w:hAnsi="Times New Roman" w:cs="Times New Roman"/>
        </w:rPr>
        <w:t xml:space="preserve"> future </w:t>
      </w:r>
      <w:r w:rsidR="004D0692">
        <w:rPr>
          <w:rFonts w:ascii="Times New Roman" w:hAnsi="Times New Roman" w:cs="Times New Roman"/>
        </w:rPr>
        <w:t>study</w:t>
      </w:r>
      <w:r>
        <w:rPr>
          <w:rFonts w:ascii="Times New Roman" w:hAnsi="Times New Roman" w:cs="Times New Roman"/>
        </w:rPr>
        <w:t xml:space="preserve">. First, we </w:t>
      </w:r>
      <w:r w:rsidR="004D0692">
        <w:rPr>
          <w:rFonts w:ascii="Times New Roman" w:hAnsi="Times New Roman" w:cs="Times New Roman"/>
        </w:rPr>
        <w:t xml:space="preserve">have </w:t>
      </w:r>
      <w:r w:rsidR="00547EC3">
        <w:rPr>
          <w:rFonts w:ascii="Times New Roman" w:hAnsi="Times New Roman" w:cs="Times New Roman"/>
        </w:rPr>
        <w:t>consider</w:t>
      </w:r>
      <w:r w:rsidR="004D0692">
        <w:rPr>
          <w:rFonts w:ascii="Times New Roman" w:hAnsi="Times New Roman" w:cs="Times New Roman"/>
        </w:rPr>
        <w:t>ed</w:t>
      </w:r>
      <w:r w:rsidR="00547EC3">
        <w:rPr>
          <w:rFonts w:ascii="Times New Roman" w:hAnsi="Times New Roman" w:cs="Times New Roman"/>
        </w:rPr>
        <w:t xml:space="preserve"> </w:t>
      </w:r>
      <w:r w:rsidR="004D0692">
        <w:rPr>
          <w:rFonts w:ascii="Times New Roman" w:hAnsi="Times New Roman" w:cs="Times New Roman"/>
        </w:rPr>
        <w:t xml:space="preserve">only </w:t>
      </w:r>
      <w:r w:rsidR="00547EC3">
        <w:rPr>
          <w:rFonts w:ascii="Times New Roman" w:hAnsi="Times New Roman" w:cs="Times New Roman"/>
        </w:rPr>
        <w:t xml:space="preserve">a limited number of categories and countries, all developed markets. In order to </w:t>
      </w:r>
      <w:r w:rsidR="004D0692">
        <w:rPr>
          <w:rFonts w:ascii="Times New Roman" w:hAnsi="Times New Roman" w:cs="Times New Roman"/>
        </w:rPr>
        <w:t>strengthen</w:t>
      </w:r>
      <w:r w:rsidR="00547EC3">
        <w:rPr>
          <w:rFonts w:ascii="Times New Roman" w:hAnsi="Times New Roman" w:cs="Times New Roman"/>
        </w:rPr>
        <w:t xml:space="preserve"> empirical generalisations the research should be extended to a higher number of conditions, including emerging markets. We also consider </w:t>
      </w:r>
      <w:r w:rsidR="004D0692">
        <w:rPr>
          <w:rFonts w:ascii="Times New Roman" w:hAnsi="Times New Roman" w:cs="Times New Roman"/>
        </w:rPr>
        <w:t xml:space="preserve">only </w:t>
      </w:r>
      <w:r w:rsidR="00547EC3">
        <w:rPr>
          <w:rFonts w:ascii="Times New Roman" w:hAnsi="Times New Roman" w:cs="Times New Roman"/>
        </w:rPr>
        <w:t xml:space="preserve">a limited number of factors. Future research should </w:t>
      </w:r>
      <w:r w:rsidR="004D0692">
        <w:rPr>
          <w:rFonts w:ascii="Times New Roman" w:hAnsi="Times New Roman" w:cs="Times New Roman"/>
        </w:rPr>
        <w:t xml:space="preserve">identify and </w:t>
      </w:r>
      <w:r w:rsidR="00547EC3">
        <w:rPr>
          <w:rFonts w:ascii="Times New Roman" w:hAnsi="Times New Roman" w:cs="Times New Roman"/>
        </w:rPr>
        <w:t xml:space="preserve">consider more factors, </w:t>
      </w:r>
      <w:r w:rsidR="004D0692">
        <w:rPr>
          <w:rFonts w:ascii="Times New Roman" w:hAnsi="Times New Roman" w:cs="Times New Roman"/>
        </w:rPr>
        <w:t>for example</w:t>
      </w:r>
      <w:r w:rsidR="00547EC3">
        <w:rPr>
          <w:rFonts w:ascii="Times New Roman" w:hAnsi="Times New Roman" w:cs="Times New Roman"/>
        </w:rPr>
        <w:t xml:space="preserve"> the level of category advertising</w:t>
      </w:r>
      <w:r w:rsidR="004D0692">
        <w:rPr>
          <w:rFonts w:ascii="Times New Roman" w:hAnsi="Times New Roman" w:cs="Times New Roman"/>
        </w:rPr>
        <w:t>,</w:t>
      </w:r>
      <w:r w:rsidR="00FC21C5">
        <w:rPr>
          <w:rFonts w:ascii="Times New Roman" w:hAnsi="Times New Roman" w:cs="Times New Roman"/>
        </w:rPr>
        <w:t xml:space="preserve"> which could lead to category expansion. </w:t>
      </w:r>
      <w:r w:rsidR="00547EC3">
        <w:rPr>
          <w:rFonts w:ascii="Times New Roman" w:hAnsi="Times New Roman" w:cs="Times New Roman"/>
        </w:rPr>
        <w:t xml:space="preserve">  </w:t>
      </w:r>
    </w:p>
    <w:p w14:paraId="7DF6A4E5" w14:textId="77777777" w:rsidR="00D07023" w:rsidRDefault="00D07023" w:rsidP="002A303C">
      <w:pPr>
        <w:rPr>
          <w:rFonts w:ascii="Times New Roman" w:hAnsi="Times New Roman" w:cs="Times New Roman"/>
          <w:b/>
        </w:rPr>
        <w:sectPr w:rsidR="00D07023" w:rsidSect="009242CC">
          <w:pgSz w:w="11900" w:h="16840"/>
          <w:pgMar w:top="1418" w:right="1418" w:bottom="1418" w:left="1418" w:header="708" w:footer="708" w:gutter="0"/>
          <w:cols w:space="708"/>
          <w:docGrid w:linePitch="360"/>
        </w:sectPr>
      </w:pPr>
    </w:p>
    <w:p w14:paraId="7A20D714" w14:textId="77777777" w:rsidR="008E532F" w:rsidRDefault="008E532F" w:rsidP="008E532F">
      <w:pPr>
        <w:rPr>
          <w:rFonts w:ascii="Times New Roman" w:hAnsi="Times New Roman" w:cs="Times New Roman"/>
          <w:b/>
        </w:rPr>
      </w:pPr>
      <w:r>
        <w:rPr>
          <w:rFonts w:ascii="Times New Roman" w:hAnsi="Times New Roman" w:cs="Times New Roman"/>
          <w:b/>
        </w:rPr>
        <w:lastRenderedPageBreak/>
        <w:t>References</w:t>
      </w:r>
    </w:p>
    <w:p w14:paraId="58E81E10" w14:textId="77777777" w:rsidR="008E532F" w:rsidRDefault="008E532F" w:rsidP="008E532F">
      <w:pPr>
        <w:pStyle w:val="EndNoteBibliography"/>
        <w:rPr>
          <w:rFonts w:ascii="Times New Roman" w:hAnsi="Times New Roman" w:cs="Times New Roman"/>
          <w:b/>
        </w:rPr>
      </w:pPr>
    </w:p>
    <w:p w14:paraId="36A34822" w14:textId="77777777" w:rsidR="005433EC" w:rsidRDefault="008E532F" w:rsidP="008E532F">
      <w:pPr>
        <w:pStyle w:val="EndNoteBibliography"/>
        <w:rPr>
          <w:rFonts w:ascii="Times New Roman" w:hAnsi="Times New Roman" w:cs="Times New Roman"/>
          <w:i/>
          <w:noProof/>
        </w:rPr>
      </w:pPr>
      <w:r w:rsidRPr="00FC2E17">
        <w:rPr>
          <w:rFonts w:ascii="Times New Roman" w:hAnsi="Times New Roman" w:cs="Times New Roman"/>
          <w:b/>
        </w:rPr>
        <w:fldChar w:fldCharType="begin"/>
      </w:r>
      <w:r w:rsidRPr="00FC2E17">
        <w:rPr>
          <w:rFonts w:ascii="Times New Roman" w:hAnsi="Times New Roman" w:cs="Times New Roman"/>
          <w:b/>
        </w:rPr>
        <w:instrText xml:space="preserve"> ADDIN EN.REFLIST </w:instrText>
      </w:r>
      <w:r w:rsidRPr="00FC2E17">
        <w:rPr>
          <w:rFonts w:ascii="Times New Roman" w:hAnsi="Times New Roman" w:cs="Times New Roman"/>
          <w:b/>
        </w:rPr>
        <w:fldChar w:fldCharType="separate"/>
      </w:r>
      <w:r w:rsidRPr="00FC2E17">
        <w:rPr>
          <w:rFonts w:ascii="Times New Roman" w:hAnsi="Times New Roman" w:cs="Times New Roman"/>
          <w:noProof/>
        </w:rPr>
        <w:t xml:space="preserve">BERGKVIST, L. 2000. </w:t>
      </w:r>
      <w:r w:rsidRPr="00FC2E17">
        <w:rPr>
          <w:rFonts w:ascii="Times New Roman" w:hAnsi="Times New Roman" w:cs="Times New Roman"/>
          <w:i/>
          <w:noProof/>
        </w:rPr>
        <w:t xml:space="preserve">Advertising Effectiveness Measurement: Intermediate </w:t>
      </w:r>
    </w:p>
    <w:p w14:paraId="5BD63922" w14:textId="31132236" w:rsidR="008E532F" w:rsidRPr="00FC2E17" w:rsidRDefault="008E532F" w:rsidP="005433EC">
      <w:pPr>
        <w:pStyle w:val="EndNoteBibliography"/>
        <w:ind w:left="720"/>
        <w:rPr>
          <w:rFonts w:ascii="Times New Roman" w:hAnsi="Times New Roman" w:cs="Times New Roman"/>
          <w:noProof/>
        </w:rPr>
      </w:pPr>
      <w:r w:rsidRPr="00FC2E17">
        <w:rPr>
          <w:rFonts w:ascii="Times New Roman" w:hAnsi="Times New Roman" w:cs="Times New Roman"/>
          <w:i/>
          <w:noProof/>
        </w:rPr>
        <w:t>Constructs and Measures.</w:t>
      </w:r>
      <w:r w:rsidRPr="00FC2E17">
        <w:rPr>
          <w:rFonts w:ascii="Times New Roman" w:hAnsi="Times New Roman" w:cs="Times New Roman"/>
          <w:noProof/>
        </w:rPr>
        <w:t xml:space="preserve"> Doctor of Philosophy, Stockholm School of Economics.</w:t>
      </w:r>
    </w:p>
    <w:p w14:paraId="445AA7B7"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 xml:space="preserve">CHIMHUNDU, R., HAMLIN, R. P. &amp; MCNEILL, L. 2010. Impact of Manufacturer Brand Innovation on Retailer Brands. </w:t>
      </w:r>
      <w:r w:rsidRPr="00FC2E17">
        <w:rPr>
          <w:rFonts w:ascii="Times New Roman" w:hAnsi="Times New Roman" w:cs="Times New Roman"/>
          <w:i/>
          <w:noProof/>
        </w:rPr>
        <w:t>International Journal of Business &amp; Management,</w:t>
      </w:r>
      <w:r w:rsidRPr="00FC2E17">
        <w:rPr>
          <w:rFonts w:ascii="Times New Roman" w:hAnsi="Times New Roman" w:cs="Times New Roman"/>
          <w:noProof/>
        </w:rPr>
        <w:t xml:space="preserve"> 5</w:t>
      </w:r>
      <w:r w:rsidRPr="00FC2E17">
        <w:rPr>
          <w:rFonts w:ascii="Times New Roman" w:hAnsi="Times New Roman" w:cs="Times New Roman"/>
          <w:b/>
          <w:noProof/>
        </w:rPr>
        <w:t>,</w:t>
      </w:r>
      <w:r w:rsidRPr="00FC2E17">
        <w:rPr>
          <w:rFonts w:ascii="Times New Roman" w:hAnsi="Times New Roman" w:cs="Times New Roman"/>
          <w:noProof/>
        </w:rPr>
        <w:t xml:space="preserve"> 10-19.</w:t>
      </w:r>
    </w:p>
    <w:p w14:paraId="64E0F391"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DHAR, S. K., HOCH, S. J. &amp; KUMAR, N. 2000. Why Retailers Sell More or Less Than Their Fair Share in a Category.</w:t>
      </w:r>
    </w:p>
    <w:p w14:paraId="24ECE495"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 xml:space="preserve">GRAHAM, C. 2009. What’s the point of marketing anyway? new findings on the prevalence, temporal extent &amp; implications of long-term market share equilibrium. </w:t>
      </w:r>
      <w:r w:rsidRPr="00FC2E17">
        <w:rPr>
          <w:rFonts w:ascii="Times New Roman" w:hAnsi="Times New Roman" w:cs="Times New Roman"/>
          <w:i/>
          <w:noProof/>
        </w:rPr>
        <w:t>Academy of Marketing Annual Conference.</w:t>
      </w:r>
      <w:r w:rsidRPr="00FC2E17">
        <w:rPr>
          <w:rFonts w:ascii="Times New Roman" w:hAnsi="Times New Roman" w:cs="Times New Roman"/>
          <w:noProof/>
        </w:rPr>
        <w:t xml:space="preserve"> Leeds Metropolitan University.</w:t>
      </w:r>
    </w:p>
    <w:p w14:paraId="2F09F8FA"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NIELSEN 2010. Greek Yoghurt: A Case Study in how Consumers Redefine Value. online.</w:t>
      </w:r>
    </w:p>
    <w:p w14:paraId="2CA16849"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NIELSEN 2012. Small Cider Category Poised for Big Growth. online.</w:t>
      </w:r>
    </w:p>
    <w:p w14:paraId="472A8DB6"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PUTSIS JR, W. P. 1998. Are Brand Promotions Just a Zero</w:t>
      </w:r>
      <w:r w:rsidRPr="00FC2E17">
        <w:rPr>
          <w:rFonts w:ascii="Cambria Math" w:hAnsi="Cambria Math" w:cs="Cambria Math"/>
          <w:noProof/>
        </w:rPr>
        <w:t>‐</w:t>
      </w:r>
      <w:r w:rsidRPr="00FC2E17">
        <w:rPr>
          <w:rFonts w:ascii="Times New Roman" w:hAnsi="Times New Roman" w:cs="Times New Roman"/>
          <w:noProof/>
        </w:rPr>
        <w:t xml:space="preserve">Sum Game–or Can They Increase the Size of the Pie? </w:t>
      </w:r>
      <w:r w:rsidRPr="00FC2E17">
        <w:rPr>
          <w:rFonts w:ascii="Times New Roman" w:hAnsi="Times New Roman" w:cs="Times New Roman"/>
          <w:i/>
          <w:noProof/>
        </w:rPr>
        <w:t>Business Strategy Review,</w:t>
      </w:r>
      <w:r w:rsidRPr="00FC2E17">
        <w:rPr>
          <w:rFonts w:ascii="Times New Roman" w:hAnsi="Times New Roman" w:cs="Times New Roman"/>
          <w:noProof/>
        </w:rPr>
        <w:t xml:space="preserve"> 9</w:t>
      </w:r>
      <w:r w:rsidRPr="00FC2E17">
        <w:rPr>
          <w:rFonts w:ascii="Times New Roman" w:hAnsi="Times New Roman" w:cs="Times New Roman"/>
          <w:b/>
          <w:noProof/>
        </w:rPr>
        <w:t>,</w:t>
      </w:r>
      <w:r w:rsidRPr="00FC2E17">
        <w:rPr>
          <w:rFonts w:ascii="Times New Roman" w:hAnsi="Times New Roman" w:cs="Times New Roman"/>
          <w:noProof/>
        </w:rPr>
        <w:t xml:space="preserve"> 21-32.</w:t>
      </w:r>
    </w:p>
    <w:p w14:paraId="468B6D1D" w14:textId="77777777" w:rsidR="008E532F" w:rsidRPr="00FC2E17" w:rsidRDefault="008E532F" w:rsidP="008E532F">
      <w:pPr>
        <w:pStyle w:val="EndNoteBibliography"/>
        <w:ind w:left="720" w:hanging="720"/>
        <w:rPr>
          <w:rFonts w:ascii="Times New Roman" w:hAnsi="Times New Roman" w:cs="Times New Roman"/>
          <w:i/>
          <w:noProof/>
        </w:rPr>
      </w:pPr>
      <w:r w:rsidRPr="00FC2E17">
        <w:rPr>
          <w:rFonts w:ascii="Times New Roman" w:hAnsi="Times New Roman" w:cs="Times New Roman"/>
          <w:noProof/>
        </w:rPr>
        <w:t xml:space="preserve">QUELCH, J. A. &amp; KENNY, D. 1994. Extend Profits, Not Product Lines. </w:t>
      </w:r>
      <w:r w:rsidRPr="00FC2E17">
        <w:rPr>
          <w:rFonts w:ascii="Times New Roman" w:hAnsi="Times New Roman" w:cs="Times New Roman"/>
          <w:i/>
          <w:noProof/>
        </w:rPr>
        <w:t>Harvard Business Review.</w:t>
      </w:r>
    </w:p>
    <w:p w14:paraId="6DE5BDE2"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 xml:space="preserve">SOBERMAN, D. &amp; GATIGNON, H. 2005. Research issues at the boundary of competitive dynamics and market evolution. </w:t>
      </w:r>
      <w:r w:rsidRPr="00FC2E17">
        <w:rPr>
          <w:rFonts w:ascii="Times New Roman" w:hAnsi="Times New Roman" w:cs="Times New Roman"/>
          <w:i/>
          <w:noProof/>
        </w:rPr>
        <w:t>Marketing Science,</w:t>
      </w:r>
      <w:r w:rsidRPr="00FC2E17">
        <w:rPr>
          <w:rFonts w:ascii="Times New Roman" w:hAnsi="Times New Roman" w:cs="Times New Roman"/>
          <w:noProof/>
        </w:rPr>
        <w:t xml:space="preserve"> 24</w:t>
      </w:r>
      <w:r w:rsidRPr="00FC2E17">
        <w:rPr>
          <w:rFonts w:ascii="Times New Roman" w:hAnsi="Times New Roman" w:cs="Times New Roman"/>
          <w:b/>
          <w:noProof/>
        </w:rPr>
        <w:t>,</w:t>
      </w:r>
      <w:r w:rsidRPr="00FC2E17">
        <w:rPr>
          <w:rFonts w:ascii="Times New Roman" w:hAnsi="Times New Roman" w:cs="Times New Roman"/>
          <w:noProof/>
        </w:rPr>
        <w:t xml:space="preserve"> 165-174.</w:t>
      </w:r>
    </w:p>
    <w:p w14:paraId="21B28AD4" w14:textId="77777777" w:rsidR="008E532F" w:rsidRPr="00FC2E17" w:rsidRDefault="008E532F" w:rsidP="008E532F">
      <w:pPr>
        <w:pStyle w:val="EndNoteBibliography"/>
        <w:ind w:left="720" w:hanging="720"/>
        <w:rPr>
          <w:rFonts w:ascii="Times New Roman" w:hAnsi="Times New Roman" w:cs="Times New Roman"/>
          <w:noProof/>
        </w:rPr>
      </w:pPr>
      <w:r w:rsidRPr="00FC2E17">
        <w:rPr>
          <w:rFonts w:ascii="Times New Roman" w:hAnsi="Times New Roman" w:cs="Times New Roman"/>
          <w:noProof/>
        </w:rPr>
        <w:t xml:space="preserve">STOREY, J. 2003. Harnessing consumer and market trends to drive the category: A case study of the pizza market in general and the effect on the chilled pizza category. </w:t>
      </w:r>
      <w:r w:rsidRPr="00FC2E17">
        <w:rPr>
          <w:rFonts w:ascii="Times New Roman" w:hAnsi="Times New Roman" w:cs="Times New Roman"/>
          <w:i/>
          <w:noProof/>
        </w:rPr>
        <w:t>ESOMAR.</w:t>
      </w:r>
      <w:r w:rsidRPr="00FC2E17">
        <w:rPr>
          <w:rFonts w:ascii="Times New Roman" w:hAnsi="Times New Roman" w:cs="Times New Roman"/>
          <w:noProof/>
        </w:rPr>
        <w:t xml:space="preserve"> Dublin: WARC.</w:t>
      </w:r>
    </w:p>
    <w:p w14:paraId="2E011DE8" w14:textId="77777777" w:rsidR="005433EC" w:rsidRDefault="008E532F" w:rsidP="005433EC">
      <w:pPr>
        <w:rPr>
          <w:rFonts w:ascii="Times New Roman" w:hAnsi="Times New Roman" w:cs="Times New Roman"/>
          <w:bCs/>
        </w:rPr>
      </w:pPr>
      <w:r w:rsidRPr="00FC2E17">
        <w:rPr>
          <w:rFonts w:ascii="Times New Roman" w:hAnsi="Times New Roman" w:cs="Times New Roman"/>
          <w:b/>
        </w:rPr>
        <w:fldChar w:fldCharType="end"/>
      </w:r>
      <w:r w:rsidR="005433EC">
        <w:rPr>
          <w:rFonts w:ascii="Times New Roman" w:hAnsi="Times New Roman" w:cs="Times New Roman"/>
          <w:bCs/>
        </w:rPr>
        <w:t>YOON</w:t>
      </w:r>
      <w:r w:rsidR="009242CC" w:rsidRPr="0089453B">
        <w:rPr>
          <w:rFonts w:ascii="Times New Roman" w:hAnsi="Times New Roman" w:cs="Times New Roman"/>
          <w:bCs/>
        </w:rPr>
        <w:t xml:space="preserve">, E., </w:t>
      </w:r>
      <w:r w:rsidR="005433EC">
        <w:rPr>
          <w:rFonts w:ascii="Times New Roman" w:hAnsi="Times New Roman" w:cs="Times New Roman"/>
          <w:bCs/>
        </w:rPr>
        <w:t>BURCHMAN</w:t>
      </w:r>
      <w:r w:rsidR="009242CC" w:rsidRPr="0089453B">
        <w:rPr>
          <w:rFonts w:ascii="Times New Roman" w:hAnsi="Times New Roman" w:cs="Times New Roman"/>
          <w:bCs/>
        </w:rPr>
        <w:t xml:space="preserve">, S and </w:t>
      </w:r>
      <w:r w:rsidR="005433EC">
        <w:rPr>
          <w:rFonts w:ascii="Times New Roman" w:hAnsi="Times New Roman" w:cs="Times New Roman"/>
          <w:bCs/>
        </w:rPr>
        <w:t>SULLIVAN</w:t>
      </w:r>
      <w:r w:rsidR="009242CC" w:rsidRPr="0089453B">
        <w:rPr>
          <w:rFonts w:ascii="Times New Roman" w:hAnsi="Times New Roman" w:cs="Times New Roman"/>
          <w:bCs/>
        </w:rPr>
        <w:t xml:space="preserve">, B.  2017. Why Companies </w:t>
      </w:r>
      <w:r w:rsidR="005433EC">
        <w:rPr>
          <w:rFonts w:ascii="Times New Roman" w:hAnsi="Times New Roman" w:cs="Times New Roman"/>
          <w:bCs/>
        </w:rPr>
        <w:t xml:space="preserve">Should </w:t>
      </w:r>
    </w:p>
    <w:p w14:paraId="5984A714" w14:textId="7BE50A32" w:rsidR="009242CC" w:rsidRPr="0089453B" w:rsidRDefault="009242CC" w:rsidP="005433EC">
      <w:pPr>
        <w:ind w:left="720"/>
        <w:rPr>
          <w:rFonts w:ascii="Times New Roman" w:hAnsi="Times New Roman" w:cs="Times New Roman"/>
          <w:bCs/>
        </w:rPr>
      </w:pPr>
      <w:r w:rsidRPr="0089453B">
        <w:rPr>
          <w:rFonts w:ascii="Times New Roman" w:hAnsi="Times New Roman" w:cs="Times New Roman"/>
          <w:bCs/>
        </w:rPr>
        <w:t xml:space="preserve">Measure “Share of Growth,” Not Just Market Share. </w:t>
      </w:r>
      <w:r w:rsidRPr="0089453B">
        <w:rPr>
          <w:rFonts w:ascii="Times New Roman" w:hAnsi="Times New Roman" w:cs="Times New Roman"/>
          <w:bCs/>
          <w:i/>
        </w:rPr>
        <w:t>Harvard Business Review</w:t>
      </w:r>
      <w:r w:rsidRPr="0089453B">
        <w:rPr>
          <w:rFonts w:ascii="Times New Roman" w:hAnsi="Times New Roman" w:cs="Times New Roman"/>
          <w:bCs/>
        </w:rPr>
        <w:t xml:space="preserve"> June 02 2017</w:t>
      </w:r>
    </w:p>
    <w:p w14:paraId="510A8FB8" w14:textId="77777777" w:rsidR="00D07023" w:rsidRPr="002A303C" w:rsidRDefault="00D07023" w:rsidP="002A303C">
      <w:pPr>
        <w:rPr>
          <w:rFonts w:ascii="Times New Roman" w:hAnsi="Times New Roman" w:cs="Times New Roman"/>
          <w:b/>
        </w:rPr>
      </w:pPr>
    </w:p>
    <w:sectPr w:rsidR="00D07023" w:rsidRPr="002A303C" w:rsidSect="008E53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4D72"/>
    <w:multiLevelType w:val="hybridMultilevel"/>
    <w:tmpl w:val="C6A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26D5F"/>
    <w:multiLevelType w:val="hybridMultilevel"/>
    <w:tmpl w:val="267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E3E29"/>
    <w:multiLevelType w:val="hybridMultilevel"/>
    <w:tmpl w:val="9F1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105E"/>
    <w:multiLevelType w:val="hybridMultilevel"/>
    <w:tmpl w:val="4A1E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D322F"/>
    <w:multiLevelType w:val="hybridMultilevel"/>
    <w:tmpl w:val="FE74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5584E"/>
    <w:multiLevelType w:val="multilevel"/>
    <w:tmpl w:val="0230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86016"/>
    <w:multiLevelType w:val="hybridMultilevel"/>
    <w:tmpl w:val="49B4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303C"/>
    <w:rsid w:val="00002E55"/>
    <w:rsid w:val="0000526D"/>
    <w:rsid w:val="00014949"/>
    <w:rsid w:val="00020254"/>
    <w:rsid w:val="00020BCC"/>
    <w:rsid w:val="00021363"/>
    <w:rsid w:val="00021DC4"/>
    <w:rsid w:val="00022C89"/>
    <w:rsid w:val="000245A6"/>
    <w:rsid w:val="0003690E"/>
    <w:rsid w:val="0004391A"/>
    <w:rsid w:val="00050BA5"/>
    <w:rsid w:val="00050C3C"/>
    <w:rsid w:val="000717C9"/>
    <w:rsid w:val="000722C8"/>
    <w:rsid w:val="00075E62"/>
    <w:rsid w:val="000A148E"/>
    <w:rsid w:val="000A70E8"/>
    <w:rsid w:val="000C2572"/>
    <w:rsid w:val="000C3322"/>
    <w:rsid w:val="000C73B9"/>
    <w:rsid w:val="000D0695"/>
    <w:rsid w:val="000D1A82"/>
    <w:rsid w:val="000D321E"/>
    <w:rsid w:val="000E6145"/>
    <w:rsid w:val="000F3352"/>
    <w:rsid w:val="000F4958"/>
    <w:rsid w:val="00100558"/>
    <w:rsid w:val="001023D2"/>
    <w:rsid w:val="001047C0"/>
    <w:rsid w:val="0011544C"/>
    <w:rsid w:val="001201C2"/>
    <w:rsid w:val="001210F8"/>
    <w:rsid w:val="001344D7"/>
    <w:rsid w:val="00137FFC"/>
    <w:rsid w:val="0014137E"/>
    <w:rsid w:val="00151B30"/>
    <w:rsid w:val="00152EBC"/>
    <w:rsid w:val="001567C3"/>
    <w:rsid w:val="00156D51"/>
    <w:rsid w:val="00161657"/>
    <w:rsid w:val="00164CF9"/>
    <w:rsid w:val="00164F07"/>
    <w:rsid w:val="00166677"/>
    <w:rsid w:val="00182632"/>
    <w:rsid w:val="00195514"/>
    <w:rsid w:val="001A756C"/>
    <w:rsid w:val="001B1700"/>
    <w:rsid w:val="001B20BB"/>
    <w:rsid w:val="001D0C60"/>
    <w:rsid w:val="001E2B29"/>
    <w:rsid w:val="001E448C"/>
    <w:rsid w:val="001F0D34"/>
    <w:rsid w:val="00200397"/>
    <w:rsid w:val="00201236"/>
    <w:rsid w:val="00207EF3"/>
    <w:rsid w:val="00213F58"/>
    <w:rsid w:val="00222BF9"/>
    <w:rsid w:val="00234829"/>
    <w:rsid w:val="002357A4"/>
    <w:rsid w:val="002504EA"/>
    <w:rsid w:val="002541A2"/>
    <w:rsid w:val="00264AC7"/>
    <w:rsid w:val="002669F5"/>
    <w:rsid w:val="00266B00"/>
    <w:rsid w:val="0027797C"/>
    <w:rsid w:val="002803B0"/>
    <w:rsid w:val="00281223"/>
    <w:rsid w:val="002944E5"/>
    <w:rsid w:val="002A14B4"/>
    <w:rsid w:val="002A303C"/>
    <w:rsid w:val="002A4246"/>
    <w:rsid w:val="002A7642"/>
    <w:rsid w:val="002B4263"/>
    <w:rsid w:val="002B79B3"/>
    <w:rsid w:val="002D3D9B"/>
    <w:rsid w:val="002E0E21"/>
    <w:rsid w:val="002F1E2F"/>
    <w:rsid w:val="0030117C"/>
    <w:rsid w:val="00310AC4"/>
    <w:rsid w:val="00310D38"/>
    <w:rsid w:val="00311641"/>
    <w:rsid w:val="0031219A"/>
    <w:rsid w:val="003146DF"/>
    <w:rsid w:val="00314D94"/>
    <w:rsid w:val="00331611"/>
    <w:rsid w:val="003562C4"/>
    <w:rsid w:val="00361FE2"/>
    <w:rsid w:val="00365EB4"/>
    <w:rsid w:val="00383B55"/>
    <w:rsid w:val="00386096"/>
    <w:rsid w:val="00387CB7"/>
    <w:rsid w:val="00395B8A"/>
    <w:rsid w:val="003961AB"/>
    <w:rsid w:val="003A0303"/>
    <w:rsid w:val="003D4A3C"/>
    <w:rsid w:val="003E4DE7"/>
    <w:rsid w:val="003E70FD"/>
    <w:rsid w:val="003E7DE9"/>
    <w:rsid w:val="003F20F6"/>
    <w:rsid w:val="003F27A6"/>
    <w:rsid w:val="003F3EFE"/>
    <w:rsid w:val="003F4FCF"/>
    <w:rsid w:val="003F7A55"/>
    <w:rsid w:val="00404B02"/>
    <w:rsid w:val="0041423E"/>
    <w:rsid w:val="00420771"/>
    <w:rsid w:val="00423AC2"/>
    <w:rsid w:val="0042620B"/>
    <w:rsid w:val="00431035"/>
    <w:rsid w:val="0043151F"/>
    <w:rsid w:val="00431B7C"/>
    <w:rsid w:val="004344BE"/>
    <w:rsid w:val="0044329A"/>
    <w:rsid w:val="004452BF"/>
    <w:rsid w:val="0044585F"/>
    <w:rsid w:val="00453A3E"/>
    <w:rsid w:val="0045518F"/>
    <w:rsid w:val="00455B76"/>
    <w:rsid w:val="00461030"/>
    <w:rsid w:val="00467B51"/>
    <w:rsid w:val="0047408F"/>
    <w:rsid w:val="00474532"/>
    <w:rsid w:val="00484C65"/>
    <w:rsid w:val="004867B1"/>
    <w:rsid w:val="004870E6"/>
    <w:rsid w:val="00487BD6"/>
    <w:rsid w:val="004923C1"/>
    <w:rsid w:val="004A60E2"/>
    <w:rsid w:val="004C09B3"/>
    <w:rsid w:val="004C6BA6"/>
    <w:rsid w:val="004D0692"/>
    <w:rsid w:val="004D3A63"/>
    <w:rsid w:val="004D5002"/>
    <w:rsid w:val="004E24D7"/>
    <w:rsid w:val="004F0BEB"/>
    <w:rsid w:val="004F76A0"/>
    <w:rsid w:val="00501379"/>
    <w:rsid w:val="00506624"/>
    <w:rsid w:val="00511CAF"/>
    <w:rsid w:val="00513337"/>
    <w:rsid w:val="00513A2C"/>
    <w:rsid w:val="0052328C"/>
    <w:rsid w:val="005433EC"/>
    <w:rsid w:val="00547EC3"/>
    <w:rsid w:val="0056193F"/>
    <w:rsid w:val="005643CE"/>
    <w:rsid w:val="00564F34"/>
    <w:rsid w:val="00566497"/>
    <w:rsid w:val="0058203A"/>
    <w:rsid w:val="005A0723"/>
    <w:rsid w:val="005A0DF5"/>
    <w:rsid w:val="005B7863"/>
    <w:rsid w:val="005D374A"/>
    <w:rsid w:val="005D6F4F"/>
    <w:rsid w:val="005E7618"/>
    <w:rsid w:val="006046FA"/>
    <w:rsid w:val="00604CC6"/>
    <w:rsid w:val="00611E86"/>
    <w:rsid w:val="00620615"/>
    <w:rsid w:val="00624592"/>
    <w:rsid w:val="00625340"/>
    <w:rsid w:val="00627977"/>
    <w:rsid w:val="00636E76"/>
    <w:rsid w:val="0063748A"/>
    <w:rsid w:val="00644092"/>
    <w:rsid w:val="00647FFE"/>
    <w:rsid w:val="00652830"/>
    <w:rsid w:val="0066011E"/>
    <w:rsid w:val="0066733E"/>
    <w:rsid w:val="00672DBB"/>
    <w:rsid w:val="006749AF"/>
    <w:rsid w:val="006860E0"/>
    <w:rsid w:val="00690AF2"/>
    <w:rsid w:val="006912D4"/>
    <w:rsid w:val="00697896"/>
    <w:rsid w:val="00697F78"/>
    <w:rsid w:val="006A5143"/>
    <w:rsid w:val="006B75C3"/>
    <w:rsid w:val="006D28D3"/>
    <w:rsid w:val="006E196C"/>
    <w:rsid w:val="006E2190"/>
    <w:rsid w:val="006E649A"/>
    <w:rsid w:val="006F02D5"/>
    <w:rsid w:val="006F6332"/>
    <w:rsid w:val="007137D7"/>
    <w:rsid w:val="00714147"/>
    <w:rsid w:val="00716C08"/>
    <w:rsid w:val="007306CF"/>
    <w:rsid w:val="00734D18"/>
    <w:rsid w:val="007413E7"/>
    <w:rsid w:val="00742BD2"/>
    <w:rsid w:val="00750A72"/>
    <w:rsid w:val="00752B8A"/>
    <w:rsid w:val="00757EB1"/>
    <w:rsid w:val="00773D6F"/>
    <w:rsid w:val="007753BD"/>
    <w:rsid w:val="0078404D"/>
    <w:rsid w:val="00795C72"/>
    <w:rsid w:val="007C387A"/>
    <w:rsid w:val="007F0252"/>
    <w:rsid w:val="007F0907"/>
    <w:rsid w:val="00811557"/>
    <w:rsid w:val="00820515"/>
    <w:rsid w:val="00835BB2"/>
    <w:rsid w:val="00862564"/>
    <w:rsid w:val="00864F84"/>
    <w:rsid w:val="00874F73"/>
    <w:rsid w:val="0088158B"/>
    <w:rsid w:val="0088244C"/>
    <w:rsid w:val="0089453B"/>
    <w:rsid w:val="008B23E3"/>
    <w:rsid w:val="008B7EBF"/>
    <w:rsid w:val="008C2990"/>
    <w:rsid w:val="008C2C15"/>
    <w:rsid w:val="008C337B"/>
    <w:rsid w:val="008C34B3"/>
    <w:rsid w:val="008C6A8B"/>
    <w:rsid w:val="008E0105"/>
    <w:rsid w:val="008E532F"/>
    <w:rsid w:val="008E53A7"/>
    <w:rsid w:val="008E6294"/>
    <w:rsid w:val="008E6329"/>
    <w:rsid w:val="008F74EA"/>
    <w:rsid w:val="009122BD"/>
    <w:rsid w:val="009170CD"/>
    <w:rsid w:val="009242CC"/>
    <w:rsid w:val="00930EC7"/>
    <w:rsid w:val="00932C46"/>
    <w:rsid w:val="00950048"/>
    <w:rsid w:val="009610DC"/>
    <w:rsid w:val="0096280E"/>
    <w:rsid w:val="009632F9"/>
    <w:rsid w:val="009648A8"/>
    <w:rsid w:val="009A11C4"/>
    <w:rsid w:val="009A1F89"/>
    <w:rsid w:val="009C71BF"/>
    <w:rsid w:val="009D09AE"/>
    <w:rsid w:val="009D2DF2"/>
    <w:rsid w:val="009D6E93"/>
    <w:rsid w:val="009D7949"/>
    <w:rsid w:val="009E56B2"/>
    <w:rsid w:val="009F31EF"/>
    <w:rsid w:val="00A05153"/>
    <w:rsid w:val="00A065DB"/>
    <w:rsid w:val="00A067D2"/>
    <w:rsid w:val="00A14663"/>
    <w:rsid w:val="00A26291"/>
    <w:rsid w:val="00A3081F"/>
    <w:rsid w:val="00A32CBE"/>
    <w:rsid w:val="00A37DD2"/>
    <w:rsid w:val="00A37E84"/>
    <w:rsid w:val="00A44292"/>
    <w:rsid w:val="00A4533E"/>
    <w:rsid w:val="00A63C9C"/>
    <w:rsid w:val="00A65400"/>
    <w:rsid w:val="00AA32AE"/>
    <w:rsid w:val="00AA54D7"/>
    <w:rsid w:val="00AA7DE1"/>
    <w:rsid w:val="00AC3EB7"/>
    <w:rsid w:val="00AD644A"/>
    <w:rsid w:val="00AF2224"/>
    <w:rsid w:val="00B00EDC"/>
    <w:rsid w:val="00B04821"/>
    <w:rsid w:val="00B1326C"/>
    <w:rsid w:val="00B21304"/>
    <w:rsid w:val="00B235E0"/>
    <w:rsid w:val="00B27359"/>
    <w:rsid w:val="00B3127F"/>
    <w:rsid w:val="00B3456D"/>
    <w:rsid w:val="00B44F7D"/>
    <w:rsid w:val="00B4628D"/>
    <w:rsid w:val="00B46AD9"/>
    <w:rsid w:val="00B53868"/>
    <w:rsid w:val="00B62ED6"/>
    <w:rsid w:val="00B719C9"/>
    <w:rsid w:val="00B7768C"/>
    <w:rsid w:val="00B91CBE"/>
    <w:rsid w:val="00B95E9E"/>
    <w:rsid w:val="00BC0E18"/>
    <w:rsid w:val="00BC4266"/>
    <w:rsid w:val="00BD1FAE"/>
    <w:rsid w:val="00BF0277"/>
    <w:rsid w:val="00BF5745"/>
    <w:rsid w:val="00BF683D"/>
    <w:rsid w:val="00BF730D"/>
    <w:rsid w:val="00C04E14"/>
    <w:rsid w:val="00C069EC"/>
    <w:rsid w:val="00C10185"/>
    <w:rsid w:val="00C1713E"/>
    <w:rsid w:val="00C22A58"/>
    <w:rsid w:val="00C27634"/>
    <w:rsid w:val="00C40DDF"/>
    <w:rsid w:val="00C44B3F"/>
    <w:rsid w:val="00C44D06"/>
    <w:rsid w:val="00C5475D"/>
    <w:rsid w:val="00C625DA"/>
    <w:rsid w:val="00C63275"/>
    <w:rsid w:val="00C71F28"/>
    <w:rsid w:val="00C72E96"/>
    <w:rsid w:val="00C74780"/>
    <w:rsid w:val="00C90ADF"/>
    <w:rsid w:val="00CA5145"/>
    <w:rsid w:val="00CA5FF9"/>
    <w:rsid w:val="00CB4446"/>
    <w:rsid w:val="00CC210E"/>
    <w:rsid w:val="00CD23E4"/>
    <w:rsid w:val="00CD2C65"/>
    <w:rsid w:val="00CF1B0F"/>
    <w:rsid w:val="00CF26DC"/>
    <w:rsid w:val="00CF5AB1"/>
    <w:rsid w:val="00D01FC9"/>
    <w:rsid w:val="00D07023"/>
    <w:rsid w:val="00D07506"/>
    <w:rsid w:val="00D31A27"/>
    <w:rsid w:val="00D354FF"/>
    <w:rsid w:val="00D541F0"/>
    <w:rsid w:val="00D73F0C"/>
    <w:rsid w:val="00D84151"/>
    <w:rsid w:val="00D84466"/>
    <w:rsid w:val="00D8475E"/>
    <w:rsid w:val="00D91E9F"/>
    <w:rsid w:val="00D938E4"/>
    <w:rsid w:val="00DA7C81"/>
    <w:rsid w:val="00DC0E13"/>
    <w:rsid w:val="00DE5880"/>
    <w:rsid w:val="00DE7B7A"/>
    <w:rsid w:val="00DF7637"/>
    <w:rsid w:val="00E041F7"/>
    <w:rsid w:val="00E1087B"/>
    <w:rsid w:val="00E13952"/>
    <w:rsid w:val="00E17430"/>
    <w:rsid w:val="00E23424"/>
    <w:rsid w:val="00E23FD1"/>
    <w:rsid w:val="00E32E1F"/>
    <w:rsid w:val="00E44337"/>
    <w:rsid w:val="00E52730"/>
    <w:rsid w:val="00E53D4C"/>
    <w:rsid w:val="00E61934"/>
    <w:rsid w:val="00E73C91"/>
    <w:rsid w:val="00E75130"/>
    <w:rsid w:val="00E776DC"/>
    <w:rsid w:val="00E77B03"/>
    <w:rsid w:val="00EA7CAD"/>
    <w:rsid w:val="00EB21F7"/>
    <w:rsid w:val="00EB4417"/>
    <w:rsid w:val="00EC3D54"/>
    <w:rsid w:val="00EC6217"/>
    <w:rsid w:val="00EC7118"/>
    <w:rsid w:val="00EE0259"/>
    <w:rsid w:val="00EE74D3"/>
    <w:rsid w:val="00EF4C2B"/>
    <w:rsid w:val="00EF71FB"/>
    <w:rsid w:val="00EF75FC"/>
    <w:rsid w:val="00F22BB5"/>
    <w:rsid w:val="00F31884"/>
    <w:rsid w:val="00F33073"/>
    <w:rsid w:val="00F53E17"/>
    <w:rsid w:val="00F6178F"/>
    <w:rsid w:val="00F656F6"/>
    <w:rsid w:val="00F65DFC"/>
    <w:rsid w:val="00F71022"/>
    <w:rsid w:val="00F72ED8"/>
    <w:rsid w:val="00F7669B"/>
    <w:rsid w:val="00F77D83"/>
    <w:rsid w:val="00F9088C"/>
    <w:rsid w:val="00F93729"/>
    <w:rsid w:val="00F93FCE"/>
    <w:rsid w:val="00F944BB"/>
    <w:rsid w:val="00FA163F"/>
    <w:rsid w:val="00FA5047"/>
    <w:rsid w:val="00FB28AA"/>
    <w:rsid w:val="00FB2E52"/>
    <w:rsid w:val="00FB4DC6"/>
    <w:rsid w:val="00FC1A8D"/>
    <w:rsid w:val="00FC21C5"/>
    <w:rsid w:val="00FC2E17"/>
    <w:rsid w:val="00FD5B16"/>
    <w:rsid w:val="00FE0DA2"/>
    <w:rsid w:val="00FE7E28"/>
    <w:rsid w:val="00FF65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55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A2"/>
    <w:pPr>
      <w:ind w:left="720"/>
      <w:contextualSpacing/>
    </w:pPr>
  </w:style>
  <w:style w:type="paragraph" w:styleId="NormalWeb">
    <w:name w:val="Normal (Web)"/>
    <w:basedOn w:val="Normal"/>
    <w:uiPriority w:val="99"/>
    <w:semiHidden/>
    <w:unhideWhenUsed/>
    <w:rsid w:val="000C3322"/>
    <w:rPr>
      <w:rFonts w:ascii="Times New Roman" w:hAnsi="Times New Roman" w:cs="Times New Roman"/>
    </w:rPr>
  </w:style>
  <w:style w:type="character" w:customStyle="1" w:styleId="apple-converted-space">
    <w:name w:val="apple-converted-space"/>
    <w:basedOn w:val="DefaultParagraphFont"/>
    <w:rsid w:val="000C3322"/>
  </w:style>
  <w:style w:type="character" w:styleId="Hyperlink">
    <w:name w:val="Hyperlink"/>
    <w:basedOn w:val="DefaultParagraphFont"/>
    <w:uiPriority w:val="99"/>
    <w:unhideWhenUsed/>
    <w:rsid w:val="0089453B"/>
    <w:rPr>
      <w:color w:val="0000FF" w:themeColor="hyperlink"/>
      <w:u w:val="single"/>
    </w:rPr>
  </w:style>
  <w:style w:type="paragraph" w:styleId="BalloonText">
    <w:name w:val="Balloon Text"/>
    <w:basedOn w:val="Normal"/>
    <w:link w:val="BalloonTextChar"/>
    <w:uiPriority w:val="99"/>
    <w:semiHidden/>
    <w:unhideWhenUsed/>
    <w:rsid w:val="009500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04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020254"/>
    <w:rPr>
      <w:color w:val="605E5C"/>
      <w:shd w:val="clear" w:color="auto" w:fill="E1DFDD"/>
    </w:rPr>
  </w:style>
  <w:style w:type="character" w:styleId="FollowedHyperlink">
    <w:name w:val="FollowedHyperlink"/>
    <w:basedOn w:val="DefaultParagraphFont"/>
    <w:uiPriority w:val="99"/>
    <w:semiHidden/>
    <w:unhideWhenUsed/>
    <w:rsid w:val="008E532F"/>
    <w:rPr>
      <w:color w:val="800080" w:themeColor="followedHyperlink"/>
      <w:u w:val="single"/>
    </w:rPr>
  </w:style>
  <w:style w:type="paragraph" w:customStyle="1" w:styleId="EndNoteBibliographyTitle">
    <w:name w:val="EndNote Bibliography Title"/>
    <w:basedOn w:val="Normal"/>
    <w:link w:val="EndNoteBibliographyTitleChar"/>
    <w:rsid w:val="008E532F"/>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E532F"/>
    <w:rPr>
      <w:rFonts w:ascii="Cambria" w:hAnsi="Cambria"/>
      <w:lang w:val="en-US"/>
    </w:rPr>
  </w:style>
  <w:style w:type="paragraph" w:customStyle="1" w:styleId="EndNoteBibliography">
    <w:name w:val="EndNote Bibliography"/>
    <w:basedOn w:val="Normal"/>
    <w:link w:val="EndNoteBibliographyChar"/>
    <w:rsid w:val="008E532F"/>
    <w:rPr>
      <w:rFonts w:ascii="Cambria" w:hAnsi="Cambria"/>
      <w:lang w:val="en-US"/>
    </w:rPr>
  </w:style>
  <w:style w:type="character" w:customStyle="1" w:styleId="EndNoteBibliographyChar">
    <w:name w:val="EndNote Bibliography Char"/>
    <w:basedOn w:val="DefaultParagraphFont"/>
    <w:link w:val="EndNoteBibliography"/>
    <w:rsid w:val="008E532F"/>
    <w:rPr>
      <w:rFonts w:ascii="Cambria" w:hAnsi="Cambria"/>
      <w:lang w:val="en-US"/>
    </w:rPr>
  </w:style>
  <w:style w:type="table" w:styleId="TableGrid">
    <w:name w:val="Table Grid"/>
    <w:basedOn w:val="TableNormal"/>
    <w:uiPriority w:val="59"/>
    <w:rsid w:val="0018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A2"/>
    <w:pPr>
      <w:ind w:left="720"/>
      <w:contextualSpacing/>
    </w:pPr>
  </w:style>
  <w:style w:type="paragraph" w:styleId="NormalWeb">
    <w:name w:val="Normal (Web)"/>
    <w:basedOn w:val="Normal"/>
    <w:uiPriority w:val="99"/>
    <w:semiHidden/>
    <w:unhideWhenUsed/>
    <w:rsid w:val="000C3322"/>
    <w:rPr>
      <w:rFonts w:ascii="Times New Roman" w:hAnsi="Times New Roman" w:cs="Times New Roman"/>
    </w:rPr>
  </w:style>
  <w:style w:type="character" w:customStyle="1" w:styleId="apple-converted-space">
    <w:name w:val="apple-converted-space"/>
    <w:basedOn w:val="DefaultParagraphFont"/>
    <w:rsid w:val="000C3322"/>
  </w:style>
  <w:style w:type="character" w:styleId="Hyperlink">
    <w:name w:val="Hyperlink"/>
    <w:basedOn w:val="DefaultParagraphFont"/>
    <w:uiPriority w:val="99"/>
    <w:unhideWhenUsed/>
    <w:rsid w:val="0089453B"/>
    <w:rPr>
      <w:color w:val="0000FF" w:themeColor="hyperlink"/>
      <w:u w:val="single"/>
    </w:rPr>
  </w:style>
  <w:style w:type="paragraph" w:styleId="BalloonText">
    <w:name w:val="Balloon Text"/>
    <w:basedOn w:val="Normal"/>
    <w:link w:val="BalloonTextChar"/>
    <w:uiPriority w:val="99"/>
    <w:semiHidden/>
    <w:unhideWhenUsed/>
    <w:rsid w:val="009500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04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020254"/>
    <w:rPr>
      <w:color w:val="605E5C"/>
      <w:shd w:val="clear" w:color="auto" w:fill="E1DFDD"/>
    </w:rPr>
  </w:style>
  <w:style w:type="character" w:styleId="FollowedHyperlink">
    <w:name w:val="FollowedHyperlink"/>
    <w:basedOn w:val="DefaultParagraphFont"/>
    <w:uiPriority w:val="99"/>
    <w:semiHidden/>
    <w:unhideWhenUsed/>
    <w:rsid w:val="008E532F"/>
    <w:rPr>
      <w:color w:val="800080" w:themeColor="followedHyperlink"/>
      <w:u w:val="single"/>
    </w:rPr>
  </w:style>
  <w:style w:type="paragraph" w:customStyle="1" w:styleId="EndNoteBibliographyTitle">
    <w:name w:val="EndNote Bibliography Title"/>
    <w:basedOn w:val="Normal"/>
    <w:link w:val="EndNoteBibliographyTitleChar"/>
    <w:rsid w:val="008E532F"/>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E532F"/>
    <w:rPr>
      <w:rFonts w:ascii="Cambria" w:hAnsi="Cambria"/>
      <w:lang w:val="en-US"/>
    </w:rPr>
  </w:style>
  <w:style w:type="paragraph" w:customStyle="1" w:styleId="EndNoteBibliography">
    <w:name w:val="EndNote Bibliography"/>
    <w:basedOn w:val="Normal"/>
    <w:link w:val="EndNoteBibliographyChar"/>
    <w:rsid w:val="008E532F"/>
    <w:rPr>
      <w:rFonts w:ascii="Cambria" w:hAnsi="Cambria"/>
      <w:lang w:val="en-US"/>
    </w:rPr>
  </w:style>
  <w:style w:type="character" w:customStyle="1" w:styleId="EndNoteBibliographyChar">
    <w:name w:val="EndNote Bibliography Char"/>
    <w:basedOn w:val="DefaultParagraphFont"/>
    <w:link w:val="EndNoteBibliography"/>
    <w:rsid w:val="008E532F"/>
    <w:rPr>
      <w:rFonts w:ascii="Cambria" w:hAnsi="Cambria"/>
      <w:lang w:val="en-US"/>
    </w:rPr>
  </w:style>
  <w:style w:type="table" w:styleId="TableGrid">
    <w:name w:val="Table Grid"/>
    <w:basedOn w:val="TableNormal"/>
    <w:uiPriority w:val="59"/>
    <w:rsid w:val="0018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20">
      <w:bodyDiv w:val="1"/>
      <w:marLeft w:val="0"/>
      <w:marRight w:val="0"/>
      <w:marTop w:val="0"/>
      <w:marBottom w:val="0"/>
      <w:divBdr>
        <w:top w:val="none" w:sz="0" w:space="0" w:color="auto"/>
        <w:left w:val="none" w:sz="0" w:space="0" w:color="auto"/>
        <w:bottom w:val="none" w:sz="0" w:space="0" w:color="auto"/>
        <w:right w:val="none" w:sz="0" w:space="0" w:color="auto"/>
      </w:divBdr>
      <w:divsChild>
        <w:div w:id="110481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62290">
              <w:marLeft w:val="0"/>
              <w:marRight w:val="0"/>
              <w:marTop w:val="0"/>
              <w:marBottom w:val="0"/>
              <w:divBdr>
                <w:top w:val="none" w:sz="0" w:space="0" w:color="auto"/>
                <w:left w:val="none" w:sz="0" w:space="0" w:color="auto"/>
                <w:bottom w:val="none" w:sz="0" w:space="0" w:color="auto"/>
                <w:right w:val="none" w:sz="0" w:space="0" w:color="auto"/>
              </w:divBdr>
              <w:divsChild>
                <w:div w:id="4246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923">
      <w:bodyDiv w:val="1"/>
      <w:marLeft w:val="0"/>
      <w:marRight w:val="0"/>
      <w:marTop w:val="0"/>
      <w:marBottom w:val="0"/>
      <w:divBdr>
        <w:top w:val="none" w:sz="0" w:space="0" w:color="auto"/>
        <w:left w:val="none" w:sz="0" w:space="0" w:color="auto"/>
        <w:bottom w:val="none" w:sz="0" w:space="0" w:color="auto"/>
        <w:right w:val="none" w:sz="0" w:space="0" w:color="auto"/>
      </w:divBdr>
    </w:div>
    <w:div w:id="154808365">
      <w:bodyDiv w:val="1"/>
      <w:marLeft w:val="0"/>
      <w:marRight w:val="0"/>
      <w:marTop w:val="0"/>
      <w:marBottom w:val="0"/>
      <w:divBdr>
        <w:top w:val="none" w:sz="0" w:space="0" w:color="auto"/>
        <w:left w:val="none" w:sz="0" w:space="0" w:color="auto"/>
        <w:bottom w:val="none" w:sz="0" w:space="0" w:color="auto"/>
        <w:right w:val="none" w:sz="0" w:space="0" w:color="auto"/>
      </w:divBdr>
    </w:div>
    <w:div w:id="354814084">
      <w:bodyDiv w:val="1"/>
      <w:marLeft w:val="0"/>
      <w:marRight w:val="0"/>
      <w:marTop w:val="0"/>
      <w:marBottom w:val="0"/>
      <w:divBdr>
        <w:top w:val="none" w:sz="0" w:space="0" w:color="auto"/>
        <w:left w:val="none" w:sz="0" w:space="0" w:color="auto"/>
        <w:bottom w:val="none" w:sz="0" w:space="0" w:color="auto"/>
        <w:right w:val="none" w:sz="0" w:space="0" w:color="auto"/>
      </w:divBdr>
    </w:div>
    <w:div w:id="399258971">
      <w:bodyDiv w:val="1"/>
      <w:marLeft w:val="0"/>
      <w:marRight w:val="0"/>
      <w:marTop w:val="0"/>
      <w:marBottom w:val="0"/>
      <w:divBdr>
        <w:top w:val="none" w:sz="0" w:space="0" w:color="auto"/>
        <w:left w:val="none" w:sz="0" w:space="0" w:color="auto"/>
        <w:bottom w:val="none" w:sz="0" w:space="0" w:color="auto"/>
        <w:right w:val="none" w:sz="0" w:space="0" w:color="auto"/>
      </w:divBdr>
      <w:divsChild>
        <w:div w:id="42658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80965">
              <w:marLeft w:val="0"/>
              <w:marRight w:val="0"/>
              <w:marTop w:val="0"/>
              <w:marBottom w:val="0"/>
              <w:divBdr>
                <w:top w:val="none" w:sz="0" w:space="0" w:color="auto"/>
                <w:left w:val="none" w:sz="0" w:space="0" w:color="auto"/>
                <w:bottom w:val="none" w:sz="0" w:space="0" w:color="auto"/>
                <w:right w:val="none" w:sz="0" w:space="0" w:color="auto"/>
              </w:divBdr>
              <w:divsChild>
                <w:div w:id="209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673">
      <w:bodyDiv w:val="1"/>
      <w:marLeft w:val="0"/>
      <w:marRight w:val="0"/>
      <w:marTop w:val="0"/>
      <w:marBottom w:val="0"/>
      <w:divBdr>
        <w:top w:val="none" w:sz="0" w:space="0" w:color="auto"/>
        <w:left w:val="none" w:sz="0" w:space="0" w:color="auto"/>
        <w:bottom w:val="none" w:sz="0" w:space="0" w:color="auto"/>
        <w:right w:val="none" w:sz="0" w:space="0" w:color="auto"/>
      </w:divBdr>
    </w:div>
    <w:div w:id="931595164">
      <w:bodyDiv w:val="1"/>
      <w:marLeft w:val="0"/>
      <w:marRight w:val="0"/>
      <w:marTop w:val="0"/>
      <w:marBottom w:val="0"/>
      <w:divBdr>
        <w:top w:val="none" w:sz="0" w:space="0" w:color="auto"/>
        <w:left w:val="none" w:sz="0" w:space="0" w:color="auto"/>
        <w:bottom w:val="none" w:sz="0" w:space="0" w:color="auto"/>
        <w:right w:val="none" w:sz="0" w:space="0" w:color="auto"/>
      </w:divBdr>
      <w:divsChild>
        <w:div w:id="1142428202">
          <w:marLeft w:val="0"/>
          <w:marRight w:val="0"/>
          <w:marTop w:val="0"/>
          <w:marBottom w:val="0"/>
          <w:divBdr>
            <w:top w:val="none" w:sz="0" w:space="0" w:color="auto"/>
            <w:left w:val="none" w:sz="0" w:space="0" w:color="auto"/>
            <w:bottom w:val="none" w:sz="0" w:space="0" w:color="auto"/>
            <w:right w:val="none" w:sz="0" w:space="0" w:color="auto"/>
          </w:divBdr>
        </w:div>
        <w:div w:id="1894777420">
          <w:marLeft w:val="0"/>
          <w:marRight w:val="0"/>
          <w:marTop w:val="0"/>
          <w:marBottom w:val="0"/>
          <w:divBdr>
            <w:top w:val="none" w:sz="0" w:space="0" w:color="auto"/>
            <w:left w:val="none" w:sz="0" w:space="0" w:color="auto"/>
            <w:bottom w:val="none" w:sz="0" w:space="0" w:color="auto"/>
            <w:right w:val="none" w:sz="0" w:space="0" w:color="auto"/>
          </w:divBdr>
        </w:div>
      </w:divsChild>
    </w:div>
    <w:div w:id="1287348612">
      <w:bodyDiv w:val="1"/>
      <w:marLeft w:val="0"/>
      <w:marRight w:val="0"/>
      <w:marTop w:val="0"/>
      <w:marBottom w:val="0"/>
      <w:divBdr>
        <w:top w:val="none" w:sz="0" w:space="0" w:color="auto"/>
        <w:left w:val="none" w:sz="0" w:space="0" w:color="auto"/>
        <w:bottom w:val="none" w:sz="0" w:space="0" w:color="auto"/>
        <w:right w:val="none" w:sz="0" w:space="0" w:color="auto"/>
      </w:divBdr>
      <w:divsChild>
        <w:div w:id="875120277">
          <w:marLeft w:val="0"/>
          <w:marRight w:val="0"/>
          <w:marTop w:val="0"/>
          <w:marBottom w:val="0"/>
          <w:divBdr>
            <w:top w:val="none" w:sz="0" w:space="0" w:color="auto"/>
            <w:left w:val="none" w:sz="0" w:space="0" w:color="auto"/>
            <w:bottom w:val="none" w:sz="0" w:space="0" w:color="auto"/>
            <w:right w:val="none" w:sz="0" w:space="0" w:color="auto"/>
          </w:divBdr>
          <w:divsChild>
            <w:div w:id="215970789">
              <w:marLeft w:val="0"/>
              <w:marRight w:val="0"/>
              <w:marTop w:val="0"/>
              <w:marBottom w:val="0"/>
              <w:divBdr>
                <w:top w:val="none" w:sz="0" w:space="0" w:color="auto"/>
                <w:left w:val="none" w:sz="0" w:space="0" w:color="auto"/>
                <w:bottom w:val="none" w:sz="0" w:space="0" w:color="auto"/>
                <w:right w:val="none" w:sz="0" w:space="0" w:color="auto"/>
              </w:divBdr>
              <w:divsChild>
                <w:div w:id="579170993">
                  <w:marLeft w:val="0"/>
                  <w:marRight w:val="0"/>
                  <w:marTop w:val="0"/>
                  <w:marBottom w:val="0"/>
                  <w:divBdr>
                    <w:top w:val="none" w:sz="0" w:space="0" w:color="auto"/>
                    <w:left w:val="none" w:sz="0" w:space="0" w:color="auto"/>
                    <w:bottom w:val="none" w:sz="0" w:space="0" w:color="auto"/>
                    <w:right w:val="none" w:sz="0" w:space="0" w:color="auto"/>
                  </w:divBdr>
                  <w:divsChild>
                    <w:div w:id="2036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3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EA96-9A19-B247-A6E4-F30A7F1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2203</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Graham</dc:creator>
  <cp:keywords/>
  <dc:description/>
  <cp:lastModifiedBy>Charles Graham</cp:lastModifiedBy>
  <cp:revision>4</cp:revision>
  <cp:lastPrinted>2018-07-02T07:38:00Z</cp:lastPrinted>
  <dcterms:created xsi:type="dcterms:W3CDTF">2018-07-01T16:59:00Z</dcterms:created>
  <dcterms:modified xsi:type="dcterms:W3CDTF">2018-07-02T07:41:00Z</dcterms:modified>
</cp:coreProperties>
</file>