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AE70" w14:textId="77777777" w:rsidR="00FC4448" w:rsidRPr="009F7A75" w:rsidRDefault="00FC4448" w:rsidP="004A3588">
      <w:pPr>
        <w:spacing w:line="240" w:lineRule="auto"/>
        <w:rPr>
          <w:sz w:val="40"/>
          <w:szCs w:val="40"/>
        </w:rPr>
      </w:pPr>
      <w:bookmarkStart w:id="0" w:name="_GoBack"/>
      <w:bookmarkEnd w:id="0"/>
    </w:p>
    <w:p w14:paraId="28E8CD37" w14:textId="77777777" w:rsidR="00FC4448" w:rsidRPr="009F7A75" w:rsidRDefault="00752642" w:rsidP="004A3588">
      <w:pPr>
        <w:spacing w:line="240" w:lineRule="auto"/>
        <w:rPr>
          <w:b/>
          <w:sz w:val="40"/>
          <w:szCs w:val="40"/>
        </w:rPr>
      </w:pPr>
      <w:r w:rsidRPr="009F7A75">
        <w:rPr>
          <w:b/>
          <w:sz w:val="40"/>
          <w:szCs w:val="40"/>
        </w:rPr>
        <w:t>Conflicting and c</w:t>
      </w:r>
      <w:r w:rsidR="00525F20" w:rsidRPr="009F7A75">
        <w:rPr>
          <w:b/>
          <w:sz w:val="40"/>
          <w:szCs w:val="40"/>
        </w:rPr>
        <w:t xml:space="preserve">ompeting </w:t>
      </w:r>
      <w:r w:rsidR="007B0D86" w:rsidRPr="009F7A75">
        <w:rPr>
          <w:b/>
          <w:sz w:val="40"/>
          <w:szCs w:val="40"/>
        </w:rPr>
        <w:t xml:space="preserve">roles and </w:t>
      </w:r>
      <w:r w:rsidR="00525F20" w:rsidRPr="009F7A75">
        <w:rPr>
          <w:b/>
          <w:sz w:val="40"/>
          <w:szCs w:val="40"/>
        </w:rPr>
        <w:t>expectations</w:t>
      </w:r>
      <w:r w:rsidR="00F44604" w:rsidRPr="009F7A75">
        <w:rPr>
          <w:b/>
          <w:sz w:val="40"/>
          <w:szCs w:val="40"/>
        </w:rPr>
        <w:t>:</w:t>
      </w:r>
      <w:r w:rsidR="00525F20" w:rsidRPr="009F7A75">
        <w:rPr>
          <w:b/>
          <w:sz w:val="40"/>
          <w:szCs w:val="40"/>
        </w:rPr>
        <w:t xml:space="preserve">  the </w:t>
      </w:r>
      <w:r w:rsidR="001173E8" w:rsidRPr="009F7A75">
        <w:rPr>
          <w:b/>
          <w:sz w:val="40"/>
          <w:szCs w:val="40"/>
        </w:rPr>
        <w:t>con</w:t>
      </w:r>
      <w:r w:rsidR="00107CF7" w:rsidRPr="009F7A75">
        <w:rPr>
          <w:b/>
          <w:sz w:val="40"/>
          <w:szCs w:val="40"/>
        </w:rPr>
        <w:t>undrum</w:t>
      </w:r>
      <w:r w:rsidR="00525F20" w:rsidRPr="009F7A75">
        <w:rPr>
          <w:b/>
          <w:sz w:val="40"/>
          <w:szCs w:val="40"/>
        </w:rPr>
        <w:t xml:space="preserve"> of </w:t>
      </w:r>
      <w:r w:rsidR="007B0D86" w:rsidRPr="009F7A75">
        <w:rPr>
          <w:b/>
          <w:sz w:val="40"/>
          <w:szCs w:val="40"/>
        </w:rPr>
        <w:t>failing social work students on placements.</w:t>
      </w:r>
    </w:p>
    <w:p w14:paraId="0615783F" w14:textId="77777777" w:rsidR="00587731" w:rsidRPr="009F7A75" w:rsidRDefault="00587731" w:rsidP="004A3588">
      <w:pPr>
        <w:spacing w:line="240" w:lineRule="auto"/>
        <w:rPr>
          <w:rFonts w:eastAsia="Times New Roman"/>
          <w:b/>
        </w:rPr>
      </w:pPr>
    </w:p>
    <w:p w14:paraId="00B2C462" w14:textId="77777777" w:rsidR="001173E8" w:rsidRPr="009F7A75" w:rsidRDefault="00B856D8" w:rsidP="004A3588">
      <w:pPr>
        <w:spacing w:line="240" w:lineRule="auto"/>
        <w:rPr>
          <w:rFonts w:eastAsia="Times New Roman"/>
          <w:b/>
        </w:rPr>
      </w:pPr>
      <w:r w:rsidRPr="009F7A75">
        <w:rPr>
          <w:rFonts w:eastAsia="Times New Roman"/>
          <w:b/>
        </w:rPr>
        <w:t>Summary</w:t>
      </w:r>
    </w:p>
    <w:p w14:paraId="65249F9E" w14:textId="77777777" w:rsidR="001173E8" w:rsidRPr="009F7A75" w:rsidRDefault="001173E8" w:rsidP="004A3588">
      <w:pPr>
        <w:spacing w:line="240" w:lineRule="auto"/>
      </w:pPr>
      <w:r w:rsidRPr="009F7A75">
        <w:t xml:space="preserve">The relatively limited literature on failing students on social work placements tends to focus on the emotional reactions of the participants. The aim of this paper is different because it explores whether it is the student who is failing or whether stakeholders are failing the student by being unclear about expectations of a student on placement. </w:t>
      </w:r>
      <w:r w:rsidR="00F21A83" w:rsidRPr="009F7A75">
        <w:rPr>
          <w:rFonts w:eastAsia="Times New Roman"/>
        </w:rPr>
        <w:t xml:space="preserve">This study examines whether the problem of failing students needs to be </w:t>
      </w:r>
      <w:proofErr w:type="spellStart"/>
      <w:r w:rsidR="00F21A83" w:rsidRPr="009F7A75">
        <w:rPr>
          <w:rFonts w:eastAsia="Times New Roman"/>
        </w:rPr>
        <w:t>recontextualised</w:t>
      </w:r>
      <w:proofErr w:type="spellEnd"/>
      <w:r w:rsidR="00F21A83" w:rsidRPr="009F7A75">
        <w:rPr>
          <w:rFonts w:eastAsia="Times New Roman"/>
        </w:rPr>
        <w:t xml:space="preserve"> within a wider framework of roles and expectations of social work.</w:t>
      </w:r>
      <w:r w:rsidRPr="009F7A75">
        <w:t xml:space="preserve"> </w:t>
      </w:r>
      <w:r w:rsidR="0054513B" w:rsidRPr="009F7A75">
        <w:rPr>
          <w:bCs/>
        </w:rPr>
        <w:t xml:space="preserve">The paper is </w:t>
      </w:r>
      <w:r w:rsidR="00B856D8" w:rsidRPr="009F7A75">
        <w:rPr>
          <w:bCs/>
        </w:rPr>
        <w:t>derived from</w:t>
      </w:r>
      <w:r w:rsidR="0054513B" w:rsidRPr="009F7A75">
        <w:rPr>
          <w:bCs/>
        </w:rPr>
        <w:t xml:space="preserve"> a wider </w:t>
      </w:r>
      <w:r w:rsidR="00B856D8" w:rsidRPr="009F7A75">
        <w:rPr>
          <w:bCs/>
        </w:rPr>
        <w:t>study</w:t>
      </w:r>
      <w:r w:rsidR="0054513B" w:rsidRPr="009F7A75">
        <w:rPr>
          <w:bCs/>
        </w:rPr>
        <w:t xml:space="preserve"> into the expectations of </w:t>
      </w:r>
      <w:r w:rsidR="00B856D8" w:rsidRPr="009F7A75">
        <w:rPr>
          <w:bCs/>
        </w:rPr>
        <w:t>participants</w:t>
      </w:r>
      <w:r w:rsidR="00D15351" w:rsidRPr="009F7A75">
        <w:rPr>
          <w:bCs/>
        </w:rPr>
        <w:t xml:space="preserve"> of the social work degree. </w:t>
      </w:r>
      <w:r w:rsidRPr="009F7A75">
        <w:t xml:space="preserve">The results indicate that </w:t>
      </w:r>
      <w:r w:rsidR="00B856D8" w:rsidRPr="009F7A75">
        <w:t>interviewees</w:t>
      </w:r>
      <w:r w:rsidRPr="009F7A75">
        <w:t xml:space="preserve"> hold contradictory and inconsistent expectations of students, which may contribute to the difficulties encountered by tutors, practice educators</w:t>
      </w:r>
      <w:r w:rsidR="00520D8F" w:rsidRPr="009F7A75">
        <w:t xml:space="preserve">, </w:t>
      </w:r>
      <w:r w:rsidRPr="009F7A75">
        <w:t xml:space="preserve">and students when a student is failing. The findings </w:t>
      </w:r>
      <w:r w:rsidR="00B856D8" w:rsidRPr="009F7A75">
        <w:t>are</w:t>
      </w:r>
      <w:r w:rsidRPr="009F7A75">
        <w:t xml:space="preserve"> linked to the wider context of the present reform of social work </w:t>
      </w:r>
      <w:r w:rsidR="00D15351" w:rsidRPr="009F7A75">
        <w:t>education</w:t>
      </w:r>
      <w:r w:rsidRPr="009F7A75">
        <w:t xml:space="preserve"> and concerns about students’ suitability for professional practice.</w:t>
      </w:r>
    </w:p>
    <w:p w14:paraId="490C5D32" w14:textId="77777777" w:rsidR="00B856D8" w:rsidRPr="009F7A75" w:rsidRDefault="00B856D8" w:rsidP="004A3588">
      <w:pPr>
        <w:spacing w:line="240" w:lineRule="auto"/>
      </w:pPr>
      <w:r w:rsidRPr="009F7A75">
        <w:rPr>
          <w:b/>
        </w:rPr>
        <w:t>Keywords:</w:t>
      </w:r>
      <w:r w:rsidRPr="009F7A75">
        <w:t xml:space="preserve"> failing, students, expectations, practice learning.</w:t>
      </w:r>
    </w:p>
    <w:p w14:paraId="7A602293" w14:textId="77777777" w:rsidR="00D40701" w:rsidRPr="009F7A75" w:rsidRDefault="00D40701" w:rsidP="004A3588">
      <w:pPr>
        <w:spacing w:line="240" w:lineRule="auto"/>
        <w:rPr>
          <w:rFonts w:eastAsia="Times New Roman"/>
          <w:b/>
          <w:sz w:val="32"/>
          <w:szCs w:val="32"/>
        </w:rPr>
      </w:pPr>
    </w:p>
    <w:p w14:paraId="551B5251" w14:textId="77777777" w:rsidR="00F44604" w:rsidRPr="009F7A75" w:rsidRDefault="00F44604" w:rsidP="004A3588">
      <w:pPr>
        <w:spacing w:line="240" w:lineRule="auto"/>
        <w:rPr>
          <w:rFonts w:eastAsia="Times New Roman"/>
          <w:b/>
          <w:sz w:val="32"/>
          <w:szCs w:val="32"/>
        </w:rPr>
      </w:pPr>
      <w:r w:rsidRPr="009F7A75">
        <w:rPr>
          <w:rFonts w:eastAsia="Times New Roman"/>
          <w:b/>
          <w:sz w:val="32"/>
          <w:szCs w:val="32"/>
        </w:rPr>
        <w:t>Introduction</w:t>
      </w:r>
    </w:p>
    <w:p w14:paraId="1431E371" w14:textId="77777777" w:rsidR="00F44604" w:rsidRPr="009F7A75" w:rsidRDefault="00107CF7" w:rsidP="004A3588">
      <w:pPr>
        <w:spacing w:line="240" w:lineRule="auto"/>
        <w:rPr>
          <w:rFonts w:eastAsia="Times New Roman"/>
        </w:rPr>
      </w:pPr>
      <w:r w:rsidRPr="009F7A75">
        <w:rPr>
          <w:rFonts w:eastAsia="Times New Roman"/>
        </w:rPr>
        <w:t xml:space="preserve">Failure of social work students is a conundrum. It is a puzzling question or problem for three reasons. Firstly, there is relatively little written on the </w:t>
      </w:r>
      <w:r w:rsidR="00010E77" w:rsidRPr="009F7A75">
        <w:rPr>
          <w:rFonts w:eastAsia="Times New Roman"/>
        </w:rPr>
        <w:t>subject.</w:t>
      </w:r>
      <w:r w:rsidRPr="009F7A75">
        <w:rPr>
          <w:rFonts w:eastAsia="Times New Roman"/>
        </w:rPr>
        <w:t xml:space="preserve"> </w:t>
      </w:r>
      <w:r w:rsidR="00EF0FC6" w:rsidRPr="009F7A75">
        <w:rPr>
          <w:rFonts w:eastAsia="Times New Roman"/>
        </w:rPr>
        <w:t xml:space="preserve"> Secondly w</w:t>
      </w:r>
      <w:r w:rsidRPr="009F7A75">
        <w:rPr>
          <w:rFonts w:eastAsia="Times New Roman"/>
        </w:rPr>
        <w:t xml:space="preserve">hat is </w:t>
      </w:r>
      <w:r w:rsidR="00010E77" w:rsidRPr="009F7A75">
        <w:rPr>
          <w:rFonts w:eastAsia="Times New Roman"/>
        </w:rPr>
        <w:t>available</w:t>
      </w:r>
      <w:r w:rsidRPr="009F7A75">
        <w:rPr>
          <w:rFonts w:eastAsia="Times New Roman"/>
        </w:rPr>
        <w:t xml:space="preserve"> tends to lack a clear theoretical approach. Finally, partly perhaps because of the preceding reasons, it is not clear whether there is a problem. </w:t>
      </w:r>
      <w:r w:rsidR="00F44604" w:rsidRPr="009F7A75">
        <w:rPr>
          <w:rFonts w:eastAsia="Times New Roman"/>
        </w:rPr>
        <w:t xml:space="preserve">This </w:t>
      </w:r>
      <w:r w:rsidR="00B856D8" w:rsidRPr="009F7A75">
        <w:rPr>
          <w:rFonts w:eastAsia="Times New Roman"/>
        </w:rPr>
        <w:t>paper</w:t>
      </w:r>
      <w:r w:rsidR="00F44604" w:rsidRPr="009F7A75">
        <w:rPr>
          <w:rFonts w:eastAsia="Times New Roman"/>
        </w:rPr>
        <w:t xml:space="preserve"> examines whether the problem of failing students needs to be </w:t>
      </w:r>
      <w:proofErr w:type="spellStart"/>
      <w:r w:rsidR="00F44604" w:rsidRPr="009F7A75">
        <w:rPr>
          <w:rFonts w:eastAsia="Times New Roman"/>
        </w:rPr>
        <w:t>recontextualised</w:t>
      </w:r>
      <w:proofErr w:type="spellEnd"/>
      <w:r w:rsidR="00F44604" w:rsidRPr="009F7A75">
        <w:rPr>
          <w:rFonts w:eastAsia="Times New Roman"/>
        </w:rPr>
        <w:t xml:space="preserve"> within a wider framework of roles and expectations of social work.</w:t>
      </w:r>
    </w:p>
    <w:p w14:paraId="58EF1CBF" w14:textId="6D903675" w:rsidR="0024447A" w:rsidRPr="009F7A75" w:rsidRDefault="00F73586" w:rsidP="0024447A">
      <w:pPr>
        <w:spacing w:line="240" w:lineRule="auto"/>
        <w:rPr>
          <w:rFonts w:eastAsia="Times New Roman"/>
        </w:rPr>
      </w:pPr>
      <w:r w:rsidRPr="009F7A75">
        <w:rPr>
          <w:rFonts w:eastAsia="Times New Roman"/>
        </w:rPr>
        <w:t>The importance of improving the quality of both student placements and student assessment on placement has been highlighted by the Social Work Reform Board.  The requirement for all students to be assessed by a qualified social work practice educator, the introduction of the practice educator standards and the establishment of the 30 day skills programm</w:t>
      </w:r>
      <w:r w:rsidR="00813ADA" w:rsidRPr="009F7A75">
        <w:rPr>
          <w:rFonts w:eastAsia="Times New Roman"/>
        </w:rPr>
        <w:t>e are examples of this emphasis.</w:t>
      </w:r>
    </w:p>
    <w:p w14:paraId="682EBC27" w14:textId="77777777" w:rsidR="0078673A" w:rsidRPr="009F7A75" w:rsidRDefault="0078673A" w:rsidP="0078673A">
      <w:pPr>
        <w:spacing w:line="240" w:lineRule="auto"/>
        <w:rPr>
          <w:rFonts w:eastAsia="Times New Roman"/>
        </w:rPr>
      </w:pPr>
      <w:r w:rsidRPr="009F7A75">
        <w:rPr>
          <w:bCs/>
        </w:rPr>
        <w:t>One of the main weaknesses of current literature on failing social work students is the lack of a wide research base or theorised approach (</w:t>
      </w:r>
      <w:proofErr w:type="spellStart"/>
      <w:r w:rsidRPr="009F7A75">
        <w:rPr>
          <w:bCs/>
        </w:rPr>
        <w:t>Basnett</w:t>
      </w:r>
      <w:proofErr w:type="spellEnd"/>
      <w:r w:rsidRPr="009F7A75">
        <w:rPr>
          <w:bCs/>
        </w:rPr>
        <w:t xml:space="preserve"> and Sheffield, 2010; Parker, 2010).  Developing a </w:t>
      </w:r>
      <w:r w:rsidR="00010E77" w:rsidRPr="009F7A75">
        <w:rPr>
          <w:bCs/>
        </w:rPr>
        <w:t>stronger research</w:t>
      </w:r>
      <w:r w:rsidRPr="009F7A75">
        <w:rPr>
          <w:bCs/>
        </w:rPr>
        <w:t xml:space="preserve"> base and greater theorisation, this paper is based on a wider study into the expectations of stakeholders of the social work degree.  Despite limitations, the research approaches student failure from a more systematic view by a consideration of the understandings of a range of stakeholders (academics, students and practice educators), which is contrasted with </w:t>
      </w:r>
      <w:r w:rsidRPr="009F7A75">
        <w:rPr>
          <w:bCs/>
        </w:rPr>
        <w:lastRenderedPageBreak/>
        <w:t xml:space="preserve">a tendency in some of the other studies to focus on one group. </w:t>
      </w:r>
      <w:r w:rsidRPr="009F7A75">
        <w:rPr>
          <w:rFonts w:eastAsia="Times New Roman"/>
        </w:rPr>
        <w:t>Focussing on a single group may provide only a limited univocal understanding of a process (</w:t>
      </w:r>
      <w:r w:rsidR="009349A4" w:rsidRPr="009F7A75">
        <w:rPr>
          <w:rFonts w:eastAsia="Times New Roman"/>
        </w:rPr>
        <w:t>author’s own</w:t>
      </w:r>
      <w:r w:rsidRPr="009F7A75">
        <w:rPr>
          <w:rFonts w:eastAsia="Times New Roman"/>
        </w:rPr>
        <w:t xml:space="preserve">, 2009).  </w:t>
      </w:r>
    </w:p>
    <w:p w14:paraId="63F50C2B" w14:textId="77777777" w:rsidR="00850A7F" w:rsidRPr="009F7A75" w:rsidRDefault="0010341D" w:rsidP="004A3588">
      <w:pPr>
        <w:spacing w:line="240" w:lineRule="auto"/>
      </w:pPr>
      <w:r w:rsidRPr="009F7A75">
        <w:t xml:space="preserve">There are limited available figures on student failure on placement. </w:t>
      </w:r>
      <w:r w:rsidR="002466F3" w:rsidRPr="009F7A75">
        <w:t>Hussein et al.</w:t>
      </w:r>
      <w:r w:rsidR="00282A01" w:rsidRPr="009F7A75">
        <w:t xml:space="preserve"> (2009</w:t>
      </w:r>
      <w:r w:rsidR="002466F3" w:rsidRPr="009F7A75">
        <w:t>), for example were unable to obtain su</w:t>
      </w:r>
      <w:r w:rsidR="00947A6F" w:rsidRPr="009F7A75">
        <w:t xml:space="preserve">fficiently meaningful data </w:t>
      </w:r>
      <w:r w:rsidR="002466F3" w:rsidRPr="009F7A75">
        <w:t xml:space="preserve">to compare practice placements with student progression because there was a lack of detail about placements from nature and duration to, most importantly, type of assessment and the outcomes of different placements. They concluded more research needed to be undertaken on placements and student progression (Hussein et al., 2009). </w:t>
      </w:r>
      <w:r w:rsidR="00850A7F" w:rsidRPr="009F7A75">
        <w:t xml:space="preserve"> The absence of national figures on student progression on placements is a significant problem in identifying the conundrum of student failure in this area (</w:t>
      </w:r>
      <w:proofErr w:type="spellStart"/>
      <w:r w:rsidR="00850A7F" w:rsidRPr="009F7A75">
        <w:t>Basnett</w:t>
      </w:r>
      <w:proofErr w:type="spellEnd"/>
      <w:r w:rsidR="00850A7F" w:rsidRPr="009F7A75">
        <w:t xml:space="preserve"> and Sheffield, 2010).  Some studies </w:t>
      </w:r>
      <w:r w:rsidR="008C4E4E" w:rsidRPr="009F7A75">
        <w:t>have</w:t>
      </w:r>
      <w:r w:rsidR="00850A7F" w:rsidRPr="009F7A75">
        <w:t xml:space="preserve"> had to resort to </w:t>
      </w:r>
      <w:r w:rsidR="00010E77" w:rsidRPr="009F7A75">
        <w:t>‘guesstimates’ by</w:t>
      </w:r>
      <w:r w:rsidR="00850A7F" w:rsidRPr="009F7A75">
        <w:t xml:space="preserve"> generalising from rates of failure on their programme to offer a possible national figure (</w:t>
      </w:r>
      <w:proofErr w:type="spellStart"/>
      <w:r w:rsidR="00850A7F" w:rsidRPr="009F7A75">
        <w:t>Basnett</w:t>
      </w:r>
      <w:proofErr w:type="spellEnd"/>
      <w:r w:rsidR="00850A7F" w:rsidRPr="009F7A75">
        <w:t xml:space="preserve"> and Sheffield, 2010).</w:t>
      </w:r>
    </w:p>
    <w:p w14:paraId="4AE0ABF5" w14:textId="77777777" w:rsidR="0010341D" w:rsidRPr="009F7A75" w:rsidRDefault="00010E77" w:rsidP="004A3588">
      <w:pPr>
        <w:spacing w:line="240" w:lineRule="auto"/>
        <w:rPr>
          <w:rFonts w:eastAsia="Times New Roman"/>
        </w:rPr>
      </w:pPr>
      <w:r w:rsidRPr="009F7A75">
        <w:t xml:space="preserve">The lack of an agreed baseline for ‘acceptable’ student failure and, particularly, sufficient detail on placements and student progression clearly makes it difficult to establish whether students' progression on placement is appropriate or otherwise.  </w:t>
      </w:r>
    </w:p>
    <w:p w14:paraId="2831A3C8" w14:textId="77777777" w:rsidR="0024447A" w:rsidRPr="009F7A75" w:rsidRDefault="0024447A" w:rsidP="004A3588">
      <w:pPr>
        <w:spacing w:line="240" w:lineRule="auto"/>
        <w:rPr>
          <w:rFonts w:eastAsia="Times New Roman"/>
          <w:b/>
          <w:sz w:val="28"/>
          <w:szCs w:val="28"/>
        </w:rPr>
      </w:pPr>
    </w:p>
    <w:p w14:paraId="1364F7F7" w14:textId="77777777" w:rsidR="00451119" w:rsidRPr="009F7A75" w:rsidRDefault="00BE7838" w:rsidP="004A3588">
      <w:pPr>
        <w:spacing w:line="240" w:lineRule="auto"/>
        <w:rPr>
          <w:rFonts w:eastAsia="Times New Roman"/>
          <w:b/>
          <w:sz w:val="32"/>
          <w:szCs w:val="32"/>
        </w:rPr>
      </w:pPr>
      <w:r w:rsidRPr="009F7A75">
        <w:rPr>
          <w:rFonts w:eastAsia="Times New Roman"/>
          <w:b/>
          <w:sz w:val="32"/>
          <w:szCs w:val="32"/>
        </w:rPr>
        <w:t>Literature review</w:t>
      </w:r>
    </w:p>
    <w:p w14:paraId="23897D13" w14:textId="77777777" w:rsidR="00F91D19" w:rsidRPr="009F7A75" w:rsidRDefault="00282A01" w:rsidP="004A3588">
      <w:pPr>
        <w:spacing w:line="240" w:lineRule="auto"/>
        <w:rPr>
          <w:rFonts w:eastAsia="Times New Roman"/>
        </w:rPr>
      </w:pPr>
      <w:r w:rsidRPr="009F7A75">
        <w:rPr>
          <w:rFonts w:eastAsia="Times New Roman"/>
        </w:rPr>
        <w:t>T</w:t>
      </w:r>
      <w:r w:rsidR="00EF0FC6" w:rsidRPr="009F7A75">
        <w:rPr>
          <w:rFonts w:eastAsia="Times New Roman"/>
        </w:rPr>
        <w:t>he a</w:t>
      </w:r>
      <w:r w:rsidR="00B951ED" w:rsidRPr="009F7A75">
        <w:rPr>
          <w:rFonts w:eastAsia="Times New Roman"/>
        </w:rPr>
        <w:t xml:space="preserve">vailable studies </w:t>
      </w:r>
      <w:r w:rsidRPr="009F7A75">
        <w:rPr>
          <w:rFonts w:eastAsia="Times New Roman"/>
        </w:rPr>
        <w:t xml:space="preserve">on failing social work students </w:t>
      </w:r>
      <w:r w:rsidR="00B951ED" w:rsidRPr="009F7A75">
        <w:rPr>
          <w:rFonts w:eastAsia="Times New Roman"/>
        </w:rPr>
        <w:t>tend to focus on the phenomenological experience of one particular group</w:t>
      </w:r>
      <w:r w:rsidR="00E62336" w:rsidRPr="009F7A75">
        <w:rPr>
          <w:rFonts w:eastAsia="Times New Roman"/>
        </w:rPr>
        <w:t xml:space="preserve"> (usually that of the practice educator: Parker, 2010)</w:t>
      </w:r>
      <w:r w:rsidR="00F21A83" w:rsidRPr="009F7A75">
        <w:rPr>
          <w:rFonts w:eastAsia="Times New Roman"/>
        </w:rPr>
        <w:t xml:space="preserve"> and addresses the question: </w:t>
      </w:r>
      <w:r w:rsidR="00B951ED" w:rsidRPr="009F7A75">
        <w:rPr>
          <w:rFonts w:eastAsia="Times New Roman"/>
        </w:rPr>
        <w:t>what does the experience of failing mean</w:t>
      </w:r>
      <w:r w:rsidR="00F21A83" w:rsidRPr="009F7A75">
        <w:rPr>
          <w:rFonts w:eastAsia="Times New Roman"/>
        </w:rPr>
        <w:t xml:space="preserve"> for the practice educator</w:t>
      </w:r>
      <w:r w:rsidR="00B951ED" w:rsidRPr="009F7A75">
        <w:rPr>
          <w:rFonts w:eastAsia="Times New Roman"/>
        </w:rPr>
        <w:t xml:space="preserve">? </w:t>
      </w:r>
      <w:r w:rsidR="00DD128E" w:rsidRPr="009F7A75">
        <w:rPr>
          <w:rFonts w:eastAsia="Times New Roman"/>
        </w:rPr>
        <w:t xml:space="preserve">Studies </w:t>
      </w:r>
      <w:r w:rsidR="00010E77" w:rsidRPr="009F7A75">
        <w:rPr>
          <w:rFonts w:eastAsia="Times New Roman"/>
        </w:rPr>
        <w:t>highlight such</w:t>
      </w:r>
      <w:r w:rsidR="00F91D19" w:rsidRPr="009F7A75">
        <w:rPr>
          <w:rFonts w:eastAsia="Times New Roman"/>
        </w:rPr>
        <w:t xml:space="preserve"> emotions as sadness (</w:t>
      </w:r>
      <w:proofErr w:type="spellStart"/>
      <w:r w:rsidR="00F91D19" w:rsidRPr="009F7A75">
        <w:rPr>
          <w:rFonts w:eastAsia="Times New Roman"/>
        </w:rPr>
        <w:t>Shapton</w:t>
      </w:r>
      <w:proofErr w:type="spellEnd"/>
      <w:r w:rsidR="00F91D19" w:rsidRPr="009F7A75">
        <w:rPr>
          <w:rFonts w:eastAsia="Times New Roman"/>
        </w:rPr>
        <w:t>, 2006) or finding the process stressful (</w:t>
      </w:r>
      <w:proofErr w:type="spellStart"/>
      <w:r w:rsidR="00F91D19" w:rsidRPr="009F7A75">
        <w:rPr>
          <w:rFonts w:eastAsia="Times New Roman"/>
        </w:rPr>
        <w:t>Basnett</w:t>
      </w:r>
      <w:proofErr w:type="spellEnd"/>
      <w:r w:rsidR="00F91D19" w:rsidRPr="009F7A75">
        <w:rPr>
          <w:rFonts w:eastAsia="Times New Roman"/>
        </w:rPr>
        <w:t xml:space="preserve"> and Sheffield, 2010). </w:t>
      </w:r>
    </w:p>
    <w:p w14:paraId="6C8FFA2C" w14:textId="77777777" w:rsidR="00732DA8" w:rsidRPr="009F7A75" w:rsidRDefault="00DD128E" w:rsidP="004A3588">
      <w:pPr>
        <w:spacing w:line="240" w:lineRule="auto"/>
        <w:rPr>
          <w:rFonts w:eastAsia="Times New Roman"/>
        </w:rPr>
      </w:pPr>
      <w:r w:rsidRPr="009F7A75">
        <w:rPr>
          <w:rFonts w:eastAsia="Times New Roman"/>
        </w:rPr>
        <w:t>T</w:t>
      </w:r>
      <w:r w:rsidR="00E62336" w:rsidRPr="009F7A75">
        <w:rPr>
          <w:rFonts w:eastAsia="Times New Roman"/>
        </w:rPr>
        <w:t>here are a smaller number of studies that consider the experience of students.</w:t>
      </w:r>
      <w:r w:rsidRPr="009F7A75">
        <w:rPr>
          <w:rFonts w:eastAsia="Times New Roman"/>
        </w:rPr>
        <w:t xml:space="preserve"> One such study explored</w:t>
      </w:r>
      <w:r w:rsidR="00C22D77" w:rsidRPr="009F7A75">
        <w:rPr>
          <w:rFonts w:eastAsia="Times New Roman"/>
        </w:rPr>
        <w:t xml:space="preserve"> the experiences of Black African students (</w:t>
      </w:r>
      <w:proofErr w:type="spellStart"/>
      <w:r w:rsidR="00C22D77" w:rsidRPr="009F7A75">
        <w:rPr>
          <w:rFonts w:eastAsia="Times New Roman"/>
        </w:rPr>
        <w:t>Bartoli</w:t>
      </w:r>
      <w:proofErr w:type="spellEnd"/>
      <w:r w:rsidR="00C22D77" w:rsidRPr="009F7A75">
        <w:rPr>
          <w:rFonts w:eastAsia="Times New Roman"/>
        </w:rPr>
        <w:t xml:space="preserve"> </w:t>
      </w:r>
      <w:r w:rsidR="00732DA8" w:rsidRPr="009F7A75">
        <w:rPr>
          <w:rFonts w:eastAsia="Times New Roman"/>
        </w:rPr>
        <w:t>et al</w:t>
      </w:r>
      <w:r w:rsidR="00C22D77" w:rsidRPr="009F7A75">
        <w:rPr>
          <w:rFonts w:eastAsia="Times New Roman"/>
        </w:rPr>
        <w:t>, 2008). In th</w:t>
      </w:r>
      <w:r w:rsidR="00A37B16" w:rsidRPr="009F7A75">
        <w:rPr>
          <w:rFonts w:eastAsia="Times New Roman"/>
        </w:rPr>
        <w:t>is paper the authors address</w:t>
      </w:r>
      <w:r w:rsidRPr="009F7A75">
        <w:rPr>
          <w:rFonts w:eastAsia="Times New Roman"/>
        </w:rPr>
        <w:t>ed</w:t>
      </w:r>
      <w:r w:rsidR="00C22D77" w:rsidRPr="009F7A75">
        <w:rPr>
          <w:rFonts w:eastAsia="Times New Roman"/>
        </w:rPr>
        <w:t xml:space="preserve"> the difficulties students experience</w:t>
      </w:r>
      <w:r w:rsidRPr="009F7A75">
        <w:rPr>
          <w:rFonts w:eastAsia="Times New Roman"/>
        </w:rPr>
        <w:t>d</w:t>
      </w:r>
      <w:r w:rsidR="00C22D77" w:rsidRPr="009F7A75">
        <w:rPr>
          <w:rFonts w:eastAsia="Times New Roman"/>
        </w:rPr>
        <w:t xml:space="preserve"> in adjusting to the expectations of social work placements within England. The point is rightly made that there needs to be a mutual adjustment or re-alignment of understandings from academics and practice educators as well as Black African students</w:t>
      </w:r>
      <w:r w:rsidR="008D7EAE" w:rsidRPr="009F7A75">
        <w:rPr>
          <w:rFonts w:eastAsia="Times New Roman"/>
        </w:rPr>
        <w:t>.</w:t>
      </w:r>
      <w:r w:rsidR="00732DA8" w:rsidRPr="009F7A75">
        <w:rPr>
          <w:rFonts w:eastAsia="Times New Roman"/>
        </w:rPr>
        <w:t xml:space="preserve">  Further work </w:t>
      </w:r>
      <w:r w:rsidR="00C151BE" w:rsidRPr="009F7A75">
        <w:rPr>
          <w:rFonts w:eastAsia="Times New Roman"/>
        </w:rPr>
        <w:t xml:space="preserve">is </w:t>
      </w:r>
      <w:r w:rsidR="00732DA8" w:rsidRPr="009F7A75">
        <w:rPr>
          <w:rFonts w:eastAsia="Times New Roman"/>
        </w:rPr>
        <w:t xml:space="preserve">likely to be required on the effects of </w:t>
      </w:r>
      <w:r w:rsidR="00C151BE" w:rsidRPr="009F7A75">
        <w:rPr>
          <w:rFonts w:eastAsia="Times New Roman"/>
        </w:rPr>
        <w:t xml:space="preserve">personal characteristics such as </w:t>
      </w:r>
      <w:r w:rsidR="00732DA8" w:rsidRPr="009F7A75">
        <w:rPr>
          <w:rFonts w:eastAsia="Times New Roman"/>
        </w:rPr>
        <w:t xml:space="preserve">ethnicity and other features such as gender with regard to student failure (Hussein et al, 2009, p. 7; Furness, 2011). </w:t>
      </w:r>
    </w:p>
    <w:p w14:paraId="6A7D53A2" w14:textId="77777777" w:rsidR="007B66DA" w:rsidRPr="009F7A75" w:rsidRDefault="007B66DA" w:rsidP="004A3588">
      <w:pPr>
        <w:spacing w:line="240" w:lineRule="auto"/>
        <w:rPr>
          <w:rFonts w:eastAsia="Times New Roman"/>
        </w:rPr>
      </w:pPr>
      <w:r w:rsidRPr="009F7A75">
        <w:rPr>
          <w:rFonts w:eastAsia="Times New Roman"/>
        </w:rPr>
        <w:t xml:space="preserve"> Another study on student experience</w:t>
      </w:r>
      <w:r w:rsidR="00DD128E" w:rsidRPr="009F7A75">
        <w:rPr>
          <w:rFonts w:eastAsia="Times New Roman"/>
        </w:rPr>
        <w:t>s (Parker, 2010) explored</w:t>
      </w:r>
      <w:r w:rsidRPr="009F7A75">
        <w:rPr>
          <w:rFonts w:eastAsia="Times New Roman"/>
        </w:rPr>
        <w:t xml:space="preserve"> student feelings of powerless</w:t>
      </w:r>
      <w:r w:rsidR="0024447A" w:rsidRPr="009F7A75">
        <w:rPr>
          <w:rFonts w:eastAsia="Times New Roman"/>
        </w:rPr>
        <w:t>ness</w:t>
      </w:r>
      <w:r w:rsidRPr="009F7A75">
        <w:rPr>
          <w:rFonts w:eastAsia="Times New Roman"/>
        </w:rPr>
        <w:t xml:space="preserve">, lack of control or fear of reprisal.  A perhaps similar suggestion to </w:t>
      </w:r>
      <w:r w:rsidR="0024447A" w:rsidRPr="009F7A75">
        <w:rPr>
          <w:rFonts w:eastAsia="Times New Roman"/>
        </w:rPr>
        <w:t xml:space="preserve">that made </w:t>
      </w:r>
      <w:r w:rsidR="00010E77" w:rsidRPr="009F7A75">
        <w:rPr>
          <w:rFonts w:eastAsia="Times New Roman"/>
        </w:rPr>
        <w:t xml:space="preserve">in </w:t>
      </w:r>
      <w:proofErr w:type="spellStart"/>
      <w:r w:rsidR="00010E77" w:rsidRPr="009F7A75">
        <w:rPr>
          <w:rFonts w:eastAsia="Times New Roman"/>
        </w:rPr>
        <w:t>Bartoli</w:t>
      </w:r>
      <w:proofErr w:type="spellEnd"/>
      <w:r w:rsidR="00732DA8" w:rsidRPr="009F7A75">
        <w:rPr>
          <w:rFonts w:eastAsia="Times New Roman"/>
        </w:rPr>
        <w:t xml:space="preserve"> et al </w:t>
      </w:r>
      <w:r w:rsidRPr="009F7A75">
        <w:rPr>
          <w:rFonts w:eastAsia="Times New Roman"/>
        </w:rPr>
        <w:t>(2008) is that students’ experiences and opinions need to be heard in this area.</w:t>
      </w:r>
    </w:p>
    <w:p w14:paraId="64FE4C2F" w14:textId="1BA8B202" w:rsidR="007536F1" w:rsidRPr="009F7A75" w:rsidRDefault="007536F1" w:rsidP="004A3588">
      <w:pPr>
        <w:spacing w:line="240" w:lineRule="auto"/>
        <w:rPr>
          <w:rFonts w:eastAsia="Times New Roman"/>
        </w:rPr>
      </w:pPr>
      <w:r w:rsidRPr="009F7A75">
        <w:rPr>
          <w:rFonts w:eastAsia="Times New Roman"/>
        </w:rPr>
        <w:t xml:space="preserve">This study needs to be set within </w:t>
      </w:r>
      <w:r w:rsidR="002137D6" w:rsidRPr="009F7A75">
        <w:rPr>
          <w:rFonts w:eastAsia="Times New Roman"/>
        </w:rPr>
        <w:t>national</w:t>
      </w:r>
      <w:r w:rsidRPr="009F7A75">
        <w:rPr>
          <w:rFonts w:eastAsia="Times New Roman"/>
        </w:rPr>
        <w:t xml:space="preserve"> and international debates about the nature and role of social work. Since devo</w:t>
      </w:r>
      <w:r w:rsidR="006203CD" w:rsidRPr="009F7A75">
        <w:rPr>
          <w:rFonts w:eastAsia="Times New Roman"/>
        </w:rPr>
        <w:t>lution in the UK social work</w:t>
      </w:r>
      <w:r w:rsidRPr="009F7A75">
        <w:rPr>
          <w:rFonts w:eastAsia="Times New Roman"/>
        </w:rPr>
        <w:t xml:space="preserve"> in each of the four nations (England, Northern I</w:t>
      </w:r>
      <w:r w:rsidR="002137D6" w:rsidRPr="009F7A75">
        <w:rPr>
          <w:rFonts w:eastAsia="Times New Roman"/>
        </w:rPr>
        <w:t>reland, Scotland and Wales) has</w:t>
      </w:r>
      <w:r w:rsidRPr="009F7A75">
        <w:rPr>
          <w:rFonts w:eastAsia="Times New Roman"/>
        </w:rPr>
        <w:t xml:space="preserve"> developed</w:t>
      </w:r>
      <w:r w:rsidR="006203CD" w:rsidRPr="009F7A75">
        <w:rPr>
          <w:rFonts w:eastAsia="Times New Roman"/>
        </w:rPr>
        <w:t xml:space="preserve"> within the systems of their individual</w:t>
      </w:r>
      <w:r w:rsidRPr="009F7A75">
        <w:rPr>
          <w:rFonts w:eastAsia="Times New Roman"/>
        </w:rPr>
        <w:t xml:space="preserve"> nations. This paper is restricted to social work in England. Within England there are tensions and differences about what is expected of social workers. For example, social work </w:t>
      </w:r>
      <w:r w:rsidR="00916708" w:rsidRPr="009F7A75">
        <w:rPr>
          <w:rFonts w:eastAsia="Times New Roman"/>
        </w:rPr>
        <w:t xml:space="preserve">in England </w:t>
      </w:r>
      <w:r w:rsidRPr="009F7A75">
        <w:rPr>
          <w:rFonts w:eastAsia="Times New Roman"/>
        </w:rPr>
        <w:t xml:space="preserve">is sometimes seen as </w:t>
      </w:r>
      <w:r w:rsidR="00916708" w:rsidRPr="009F7A75">
        <w:rPr>
          <w:rFonts w:eastAsia="Times New Roman"/>
        </w:rPr>
        <w:t xml:space="preserve">based on the International Federation of Social Work (2014) with a focus on human rights and </w:t>
      </w:r>
      <w:r w:rsidR="00916708" w:rsidRPr="009F7A75">
        <w:rPr>
          <w:rFonts w:eastAsia="Times New Roman"/>
        </w:rPr>
        <w:lastRenderedPageBreak/>
        <w:t>principles of justice (</w:t>
      </w:r>
      <w:proofErr w:type="spellStart"/>
      <w:r w:rsidR="00916708" w:rsidRPr="009F7A75">
        <w:rPr>
          <w:rFonts w:eastAsia="Times New Roman"/>
        </w:rPr>
        <w:t>Croisdale</w:t>
      </w:r>
      <w:proofErr w:type="spellEnd"/>
      <w:r w:rsidR="00916708" w:rsidRPr="009F7A75">
        <w:rPr>
          <w:rFonts w:eastAsia="Times New Roman"/>
        </w:rPr>
        <w:t>-Appleby, 2014). Others adopt a more narrow approach emphasising the legal duties of the state to intervene to protect vulnerable individuals (</w:t>
      </w:r>
      <w:proofErr w:type="spellStart"/>
      <w:r w:rsidR="00916708" w:rsidRPr="009F7A75">
        <w:rPr>
          <w:rFonts w:eastAsia="Times New Roman"/>
        </w:rPr>
        <w:t>Narey</w:t>
      </w:r>
      <w:proofErr w:type="spellEnd"/>
      <w:r w:rsidR="00916708" w:rsidRPr="009F7A75">
        <w:rPr>
          <w:rFonts w:eastAsia="Times New Roman"/>
        </w:rPr>
        <w:t>, 2014). This debate about social work can produce conflicting models and interventions (Munro, 2011). However, although restricted to England, tensions and differences about the nature and purpose of social work can be found in other European countries</w:t>
      </w:r>
      <w:r w:rsidR="006E09C3" w:rsidRPr="009F7A75">
        <w:rPr>
          <w:rFonts w:eastAsia="Times New Roman"/>
        </w:rPr>
        <w:t xml:space="preserve"> (</w:t>
      </w:r>
      <w:r w:rsidR="006203CD" w:rsidRPr="009F7A75">
        <w:rPr>
          <w:rFonts w:eastAsia="Times New Roman"/>
        </w:rPr>
        <w:t xml:space="preserve">Woolf et al, 2011; </w:t>
      </w:r>
      <w:r w:rsidR="006E09C3" w:rsidRPr="009F7A75">
        <w:rPr>
          <w:rFonts w:eastAsia="Times New Roman"/>
        </w:rPr>
        <w:t>author</w:t>
      </w:r>
      <w:r w:rsidR="006203CD" w:rsidRPr="009F7A75">
        <w:rPr>
          <w:rFonts w:eastAsia="Times New Roman"/>
        </w:rPr>
        <w:t>’s own</w:t>
      </w:r>
      <w:r w:rsidR="006E09C3" w:rsidRPr="009F7A75">
        <w:rPr>
          <w:rFonts w:eastAsia="Times New Roman"/>
        </w:rPr>
        <w:t>, 2015)</w:t>
      </w:r>
      <w:r w:rsidR="006203CD" w:rsidRPr="009F7A75">
        <w:rPr>
          <w:rFonts w:eastAsia="Times New Roman"/>
        </w:rPr>
        <w:t>. Therefore, this paper can be seen as part of a wider European debate about the role of social work in 21</w:t>
      </w:r>
      <w:r w:rsidR="006203CD" w:rsidRPr="009F7A75">
        <w:rPr>
          <w:rFonts w:eastAsia="Times New Roman"/>
          <w:vertAlign w:val="superscript"/>
        </w:rPr>
        <w:t>st</w:t>
      </w:r>
      <w:r w:rsidR="006203CD" w:rsidRPr="009F7A75">
        <w:rPr>
          <w:rFonts w:eastAsia="Times New Roman"/>
        </w:rPr>
        <w:t xml:space="preserve"> century Europe.</w:t>
      </w:r>
    </w:p>
    <w:p w14:paraId="0ABD9B37" w14:textId="77777777" w:rsidR="008C4E4E" w:rsidRPr="009F7A75" w:rsidRDefault="008C4E4E" w:rsidP="004A3588">
      <w:pPr>
        <w:spacing w:line="240" w:lineRule="auto"/>
        <w:rPr>
          <w:rFonts w:eastAsia="Times New Roman"/>
          <w:b/>
        </w:rPr>
      </w:pPr>
    </w:p>
    <w:p w14:paraId="26F8554A" w14:textId="77777777" w:rsidR="00D15351" w:rsidRPr="009F7A75" w:rsidRDefault="00D15351" w:rsidP="004A3588">
      <w:pPr>
        <w:spacing w:line="240" w:lineRule="auto"/>
        <w:rPr>
          <w:rFonts w:eastAsia="Times New Roman"/>
          <w:b/>
        </w:rPr>
      </w:pPr>
    </w:p>
    <w:p w14:paraId="1FECB63A" w14:textId="77777777" w:rsidR="008D7EAE" w:rsidRPr="009F7A75" w:rsidRDefault="008D7EAE" w:rsidP="004A3588">
      <w:pPr>
        <w:spacing w:line="240" w:lineRule="auto"/>
        <w:rPr>
          <w:rFonts w:eastAsia="Times New Roman"/>
          <w:b/>
        </w:rPr>
      </w:pPr>
    </w:p>
    <w:p w14:paraId="57178757" w14:textId="77777777" w:rsidR="00E1414C" w:rsidRPr="009F7A75" w:rsidRDefault="005D45BF" w:rsidP="004A3588">
      <w:pPr>
        <w:spacing w:line="240" w:lineRule="auto"/>
        <w:rPr>
          <w:rFonts w:eastAsia="Times New Roman"/>
          <w:b/>
        </w:rPr>
      </w:pPr>
      <w:r w:rsidRPr="009F7A75">
        <w:rPr>
          <w:rFonts w:eastAsia="Times New Roman"/>
          <w:b/>
        </w:rPr>
        <w:t>Comparisons with nursing</w:t>
      </w:r>
    </w:p>
    <w:p w14:paraId="3CAFFE41" w14:textId="48F883F9" w:rsidR="00E82FF0" w:rsidRPr="009F7A75" w:rsidRDefault="006203CD" w:rsidP="004A3588">
      <w:pPr>
        <w:spacing w:line="240" w:lineRule="auto"/>
        <w:rPr>
          <w:rFonts w:eastAsia="Times New Roman"/>
        </w:rPr>
      </w:pPr>
      <w:r w:rsidRPr="009F7A75">
        <w:rPr>
          <w:rFonts w:eastAsia="Times New Roman"/>
        </w:rPr>
        <w:t>This debate about social work and its implications for failing students is not limited to social work. As an example of similar tensions in another profession, c</w:t>
      </w:r>
      <w:r w:rsidR="005D45BF" w:rsidRPr="009F7A75">
        <w:rPr>
          <w:rFonts w:eastAsia="Times New Roman"/>
        </w:rPr>
        <w:t xml:space="preserve">oncerns about failing nursing students have been explored in similar ways. Like social work there is relatively little literature on the </w:t>
      </w:r>
      <w:r w:rsidR="00EF0FC6" w:rsidRPr="009F7A75">
        <w:rPr>
          <w:rFonts w:eastAsia="Times New Roman"/>
        </w:rPr>
        <w:t>topic</w:t>
      </w:r>
      <w:r w:rsidR="005D45BF" w:rsidRPr="009F7A75">
        <w:rPr>
          <w:rFonts w:eastAsia="Times New Roman"/>
        </w:rPr>
        <w:t xml:space="preserve"> (S</w:t>
      </w:r>
      <w:r w:rsidR="005C03BA" w:rsidRPr="009F7A75">
        <w:rPr>
          <w:rFonts w:eastAsia="Times New Roman"/>
        </w:rPr>
        <w:t>canlon et al., 2001</w:t>
      </w:r>
      <w:r w:rsidR="005D45BF" w:rsidRPr="009F7A75">
        <w:rPr>
          <w:rFonts w:eastAsia="Times New Roman"/>
        </w:rPr>
        <w:t>).  Studies have tended to focus on the feelings of mentors (the term for practice educator used in nursing</w:t>
      </w:r>
      <w:r w:rsidR="00520D8F" w:rsidRPr="009F7A75">
        <w:rPr>
          <w:rFonts w:eastAsia="Times New Roman"/>
        </w:rPr>
        <w:t>)</w:t>
      </w:r>
      <w:r w:rsidR="002801DE" w:rsidRPr="009F7A75">
        <w:rPr>
          <w:rFonts w:eastAsia="Times New Roman"/>
        </w:rPr>
        <w:t>.</w:t>
      </w:r>
      <w:r w:rsidR="005D45BF" w:rsidRPr="009F7A75">
        <w:rPr>
          <w:rFonts w:eastAsia="Times New Roman"/>
        </w:rPr>
        <w:t xml:space="preserve"> </w:t>
      </w:r>
      <w:r w:rsidR="009323C9" w:rsidRPr="009F7A75">
        <w:rPr>
          <w:rFonts w:eastAsia="Times New Roman"/>
        </w:rPr>
        <w:t xml:space="preserve"> The danger of ‘failing to fail’</w:t>
      </w:r>
      <w:r w:rsidR="00752642" w:rsidRPr="009F7A75">
        <w:rPr>
          <w:rFonts w:eastAsia="Times New Roman"/>
        </w:rPr>
        <w:t xml:space="preserve"> </w:t>
      </w:r>
      <w:r w:rsidR="009323C9" w:rsidRPr="009F7A75">
        <w:rPr>
          <w:rFonts w:eastAsia="Times New Roman"/>
        </w:rPr>
        <w:t>is</w:t>
      </w:r>
      <w:r w:rsidR="005C03BA" w:rsidRPr="009F7A75">
        <w:rPr>
          <w:rFonts w:eastAsia="Times New Roman"/>
        </w:rPr>
        <w:t xml:space="preserve"> also acknowledged</w:t>
      </w:r>
      <w:r w:rsidR="009323C9" w:rsidRPr="009F7A75">
        <w:rPr>
          <w:rFonts w:eastAsia="Times New Roman"/>
        </w:rPr>
        <w:t xml:space="preserve">. </w:t>
      </w:r>
      <w:r w:rsidR="00752642" w:rsidRPr="009F7A75">
        <w:rPr>
          <w:rFonts w:eastAsia="Times New Roman"/>
        </w:rPr>
        <w:t xml:space="preserve"> Competing and conflicting roles and expectations are discussed in nursing literature but tend to revolve around the lack of time mentors have to devote to their students and the competing demands of the mentors own workloads (</w:t>
      </w:r>
      <w:proofErr w:type="spellStart"/>
      <w:r w:rsidR="00752642" w:rsidRPr="009F7A75">
        <w:rPr>
          <w:rFonts w:eastAsia="Times New Roman"/>
        </w:rPr>
        <w:t>Pulsford</w:t>
      </w:r>
      <w:proofErr w:type="spellEnd"/>
      <w:r w:rsidR="00752642" w:rsidRPr="009F7A75">
        <w:rPr>
          <w:rFonts w:eastAsia="Times New Roman"/>
        </w:rPr>
        <w:t xml:space="preserve"> et al., 200</w:t>
      </w:r>
      <w:r w:rsidR="00EF0FC6" w:rsidRPr="009F7A75">
        <w:rPr>
          <w:rFonts w:eastAsia="Times New Roman"/>
        </w:rPr>
        <w:t>2).</w:t>
      </w:r>
      <w:r w:rsidR="00E82FF0" w:rsidRPr="009F7A75">
        <w:rPr>
          <w:rFonts w:eastAsia="Times New Roman"/>
        </w:rPr>
        <w:t xml:space="preserve"> </w:t>
      </w:r>
    </w:p>
    <w:p w14:paraId="46B9E1CC" w14:textId="77777777" w:rsidR="00C147A6" w:rsidRPr="009F7A75" w:rsidRDefault="00C147A6" w:rsidP="004A3588">
      <w:pPr>
        <w:spacing w:line="240" w:lineRule="auto"/>
        <w:rPr>
          <w:rFonts w:eastAsia="Times New Roman"/>
        </w:rPr>
      </w:pPr>
      <w:r w:rsidRPr="009F7A75">
        <w:rPr>
          <w:rFonts w:eastAsia="Times New Roman"/>
        </w:rPr>
        <w:t>Whether there is a wider context of a loss of trust in professions is beyond the limits of this paper. However, it may be suggested that the tensions in social work and nursing may reflect this mistrust of professional expertise (authors own</w:t>
      </w:r>
      <w:r w:rsidR="00521E71" w:rsidRPr="009F7A75">
        <w:rPr>
          <w:rFonts w:eastAsia="Times New Roman"/>
        </w:rPr>
        <w:t>,</w:t>
      </w:r>
      <w:r w:rsidRPr="009F7A75">
        <w:rPr>
          <w:rFonts w:eastAsia="Times New Roman"/>
        </w:rPr>
        <w:t xml:space="preserve"> in press</w:t>
      </w:r>
      <w:r w:rsidR="00521E71" w:rsidRPr="009F7A75">
        <w:rPr>
          <w:rFonts w:eastAsia="Times New Roman"/>
        </w:rPr>
        <w:t>)</w:t>
      </w:r>
      <w:r w:rsidRPr="009F7A75">
        <w:rPr>
          <w:rFonts w:eastAsia="Times New Roman"/>
        </w:rPr>
        <w:t xml:space="preserve">. Examples of such ‘suspicion’ can perhaps </w:t>
      </w:r>
      <w:proofErr w:type="gramStart"/>
      <w:r w:rsidR="00521E71" w:rsidRPr="009F7A75">
        <w:rPr>
          <w:rFonts w:eastAsia="Times New Roman"/>
        </w:rPr>
        <w:t>be</w:t>
      </w:r>
      <w:proofErr w:type="gramEnd"/>
      <w:r w:rsidR="00521E71" w:rsidRPr="009F7A75">
        <w:rPr>
          <w:rFonts w:eastAsia="Times New Roman"/>
        </w:rPr>
        <w:t xml:space="preserve"> seen i</w:t>
      </w:r>
      <w:r w:rsidRPr="009F7A75">
        <w:rPr>
          <w:rFonts w:eastAsia="Times New Roman"/>
        </w:rPr>
        <w:t xml:space="preserve">n the </w:t>
      </w:r>
      <w:proofErr w:type="spellStart"/>
      <w:r w:rsidRPr="009F7A75">
        <w:rPr>
          <w:rFonts w:eastAsia="Times New Roman"/>
        </w:rPr>
        <w:t>Brexit</w:t>
      </w:r>
      <w:proofErr w:type="spellEnd"/>
      <w:r w:rsidRPr="009F7A75">
        <w:rPr>
          <w:rFonts w:eastAsia="Times New Roman"/>
        </w:rPr>
        <w:t xml:space="preserve"> and Trump results in UK and USA in 2016.</w:t>
      </w:r>
    </w:p>
    <w:p w14:paraId="6418354F" w14:textId="77777777" w:rsidR="0078673A" w:rsidRPr="009F7A75" w:rsidRDefault="0078673A" w:rsidP="004A3588">
      <w:pPr>
        <w:spacing w:line="240" w:lineRule="auto"/>
        <w:rPr>
          <w:rFonts w:eastAsia="Times New Roman"/>
        </w:rPr>
      </w:pPr>
    </w:p>
    <w:p w14:paraId="0FC20E9D" w14:textId="77777777" w:rsidR="0078673A" w:rsidRPr="009F7A75" w:rsidRDefault="0078673A" w:rsidP="004A3588">
      <w:pPr>
        <w:spacing w:line="240" w:lineRule="auto"/>
        <w:rPr>
          <w:rFonts w:eastAsia="Times New Roman"/>
          <w:b/>
        </w:rPr>
      </w:pPr>
      <w:r w:rsidRPr="009F7A75">
        <w:rPr>
          <w:rFonts w:eastAsia="Times New Roman"/>
          <w:b/>
        </w:rPr>
        <w:t>Research questions</w:t>
      </w:r>
    </w:p>
    <w:p w14:paraId="22B75AA1" w14:textId="77777777" w:rsidR="00A37B16" w:rsidRPr="009F7A75" w:rsidRDefault="00A37B16" w:rsidP="004A3588">
      <w:pPr>
        <w:spacing w:line="240" w:lineRule="auto"/>
        <w:rPr>
          <w:bCs/>
        </w:rPr>
      </w:pPr>
      <w:r w:rsidRPr="009F7A75">
        <w:rPr>
          <w:bCs/>
        </w:rPr>
        <w:t>The data utilised in this study address the two questions of this paper:</w:t>
      </w:r>
    </w:p>
    <w:p w14:paraId="6F1C91CD" w14:textId="77777777" w:rsidR="00A37B16" w:rsidRPr="009F7A75" w:rsidRDefault="00A37B16" w:rsidP="004A3588">
      <w:pPr>
        <w:pStyle w:val="ListParagraph"/>
        <w:numPr>
          <w:ilvl w:val="0"/>
          <w:numId w:val="4"/>
        </w:numPr>
        <w:spacing w:line="240" w:lineRule="auto"/>
        <w:rPr>
          <w:bCs/>
        </w:rPr>
      </w:pPr>
      <w:r w:rsidRPr="009F7A75">
        <w:rPr>
          <w:bCs/>
        </w:rPr>
        <w:t xml:space="preserve"> What are the expectations of </w:t>
      </w:r>
      <w:r w:rsidR="0058105F" w:rsidRPr="009F7A75">
        <w:rPr>
          <w:bCs/>
        </w:rPr>
        <w:t>participants</w:t>
      </w:r>
      <w:r w:rsidRPr="009F7A75">
        <w:rPr>
          <w:bCs/>
        </w:rPr>
        <w:t xml:space="preserve"> of students on the social work degree?</w:t>
      </w:r>
    </w:p>
    <w:p w14:paraId="361251F8" w14:textId="77777777" w:rsidR="0078673A" w:rsidRPr="009F7A75" w:rsidRDefault="00A37B16" w:rsidP="0078673A">
      <w:pPr>
        <w:pStyle w:val="ListParagraph"/>
        <w:numPr>
          <w:ilvl w:val="0"/>
          <w:numId w:val="4"/>
        </w:numPr>
        <w:spacing w:line="240" w:lineRule="auto"/>
        <w:rPr>
          <w:rFonts w:eastAsia="Times New Roman"/>
        </w:rPr>
      </w:pPr>
      <w:r w:rsidRPr="009F7A75">
        <w:rPr>
          <w:bCs/>
        </w:rPr>
        <w:t>To what extent can these expectations illumi</w:t>
      </w:r>
      <w:r w:rsidR="0058105F" w:rsidRPr="009F7A75">
        <w:rPr>
          <w:bCs/>
        </w:rPr>
        <w:t>nate an understanding of the conundrum of student failure on placement?</w:t>
      </w:r>
    </w:p>
    <w:p w14:paraId="77DF7187" w14:textId="77777777" w:rsidR="00E82FF0" w:rsidRPr="009F7A75" w:rsidRDefault="00E82FF0" w:rsidP="004A3588">
      <w:pPr>
        <w:spacing w:line="240" w:lineRule="auto"/>
        <w:rPr>
          <w:rFonts w:eastAsia="Times New Roman"/>
        </w:rPr>
      </w:pPr>
    </w:p>
    <w:p w14:paraId="52135176" w14:textId="77777777" w:rsidR="004705CA" w:rsidRPr="009F7A75" w:rsidRDefault="0013655D" w:rsidP="004A3588">
      <w:pPr>
        <w:spacing w:line="240" w:lineRule="auto"/>
        <w:rPr>
          <w:rFonts w:eastAsia="Times New Roman"/>
          <w:b/>
          <w:sz w:val="32"/>
          <w:szCs w:val="32"/>
        </w:rPr>
      </w:pPr>
      <w:r w:rsidRPr="009F7A75">
        <w:rPr>
          <w:rFonts w:eastAsia="Times New Roman"/>
          <w:b/>
          <w:sz w:val="32"/>
          <w:szCs w:val="32"/>
        </w:rPr>
        <w:t>Methodology</w:t>
      </w:r>
    </w:p>
    <w:p w14:paraId="3D03AEF3" w14:textId="37C6069A" w:rsidR="00D2466A" w:rsidRPr="009F7A75" w:rsidRDefault="00D15351" w:rsidP="004A3588">
      <w:pPr>
        <w:spacing w:line="240" w:lineRule="auto"/>
        <w:rPr>
          <w:bCs/>
        </w:rPr>
      </w:pPr>
      <w:r w:rsidRPr="009F7A75">
        <w:rPr>
          <w:bCs/>
        </w:rPr>
        <w:t xml:space="preserve">A qualitative case study of a social work degree programme in England was undertaken after obtaining ethical approval. </w:t>
      </w:r>
      <w:r w:rsidR="00D2466A" w:rsidRPr="009F7A75">
        <w:rPr>
          <w:bCs/>
        </w:rPr>
        <w:t xml:space="preserve">There were two stages (2008; 2011-2012) to the research strategy and data collection. Stage 1 data collection in 2008 was initially gathered to generate findings based on New Labour’s modernisation of qualifying social work education. However, the establishment of the Social Work </w:t>
      </w:r>
      <w:r w:rsidR="00D2466A" w:rsidRPr="009F7A75">
        <w:rPr>
          <w:bCs/>
        </w:rPr>
        <w:lastRenderedPageBreak/>
        <w:t>Reform Board (and the reform agenda in social work education) in 2009 transformed social work education in England. In the light of these changes it was necessary to widen the study to include the proposed reforms to social work education. Semi-structured i</w:t>
      </w:r>
      <w:r w:rsidRPr="009F7A75">
        <w:rPr>
          <w:bCs/>
        </w:rPr>
        <w:t>nterviews were conducted with academics (10), practice educators (8) and academics involved in practice learning (2). Two focus groups were undertaken with service users (11) and three focus groups with students (17). A total of 48 participants were involved in the da</w:t>
      </w:r>
      <w:r w:rsidR="00DD0232" w:rsidRPr="009F7A75">
        <w:rPr>
          <w:bCs/>
        </w:rPr>
        <w:t xml:space="preserve">ta collection. </w:t>
      </w:r>
      <w:r w:rsidR="00DA704A" w:rsidRPr="009F7A75">
        <w:rPr>
          <w:bCs/>
        </w:rPr>
        <w:t xml:space="preserve">The data was analysed by coding and developing themes from the initial coding adopting Braun and Clark’s (2006) six-stage </w:t>
      </w:r>
      <w:r w:rsidR="00572F56" w:rsidRPr="009F7A75">
        <w:rPr>
          <w:bCs/>
        </w:rPr>
        <w:t>approach. This is a six-stage analysis, which begins with familiarisation with the data, leading into generating initial codes and ending with a completed set of themes.</w:t>
      </w:r>
    </w:p>
    <w:p w14:paraId="347E2301" w14:textId="77777777" w:rsidR="00D2466A" w:rsidRPr="009F7A75" w:rsidRDefault="00D2466A" w:rsidP="00D2466A">
      <w:pPr>
        <w:spacing w:line="240" w:lineRule="auto"/>
        <w:rPr>
          <w:bCs/>
        </w:rPr>
      </w:pPr>
      <w:r w:rsidRPr="009F7A75">
        <w:rPr>
          <w:bCs/>
        </w:rPr>
        <w:t xml:space="preserve">The interview was adopted for academics and practice educators because each individual possessed knowledge of the old as well as the new programme and could compare and contrast them. Focus groups were considered preferable for students and service users because they could comment only on the programme in which they were involved. </w:t>
      </w:r>
    </w:p>
    <w:p w14:paraId="77D5C48E" w14:textId="4DFC369A" w:rsidR="00D2466A" w:rsidRPr="009F7A75" w:rsidRDefault="00D2466A" w:rsidP="00D2466A">
      <w:pPr>
        <w:spacing w:line="240" w:lineRule="auto"/>
        <w:rPr>
          <w:bCs/>
        </w:rPr>
      </w:pPr>
      <w:r w:rsidRPr="009F7A75">
        <w:rPr>
          <w:bCs/>
        </w:rPr>
        <w:t>All participants received written information sheets and completed signed consent forms. In terms of recruitment, academics with previous experience of teaching on other social work programmes and on previous awards such as the Diploma in Social Work were contacted. Practice educators with experience of the Diploma in Social Work as well as the social work degree were prioritised where possible. Only students in their final year at the university were contacted because they would have the greatest experience of the programme and would be on their final placements, which tended to be in statutory settings.  There were only two practice learning posts and both of these academics were recruited. All existing service users were contacted but only the 11 participants agreed to join the focus groups. An attempt was made to have a focus group of young service users but the young people were not in a position to participate.  Academics, students and service users were interviewed at the university. Practice educators were visited at their place of employment.</w:t>
      </w:r>
    </w:p>
    <w:p w14:paraId="4A28FACD" w14:textId="515B8581" w:rsidR="006F4434" w:rsidRPr="009F7A75" w:rsidRDefault="00125E2F" w:rsidP="004A3588">
      <w:pPr>
        <w:spacing w:line="240" w:lineRule="auto"/>
        <w:rPr>
          <w:bCs/>
        </w:rPr>
      </w:pPr>
      <w:r w:rsidRPr="009F7A75">
        <w:rPr>
          <w:bCs/>
        </w:rPr>
        <w:t>Two</w:t>
      </w:r>
      <w:r w:rsidR="00427231" w:rsidRPr="009F7A75">
        <w:rPr>
          <w:bCs/>
        </w:rPr>
        <w:t xml:space="preserve"> main themes emerged </w:t>
      </w:r>
      <w:r w:rsidR="00DA704A" w:rsidRPr="009F7A75">
        <w:rPr>
          <w:bCs/>
        </w:rPr>
        <w:t>around expectations</w:t>
      </w:r>
      <w:r w:rsidR="00DB2A6D" w:rsidRPr="009F7A75">
        <w:rPr>
          <w:bCs/>
        </w:rPr>
        <w:t xml:space="preserve"> relevant to failing students on placement</w:t>
      </w:r>
      <w:r w:rsidR="006F4434" w:rsidRPr="009F7A75">
        <w:rPr>
          <w:bCs/>
        </w:rPr>
        <w:t>:  organisational</w:t>
      </w:r>
      <w:r w:rsidRPr="009F7A75">
        <w:rPr>
          <w:bCs/>
        </w:rPr>
        <w:t xml:space="preserve"> </w:t>
      </w:r>
      <w:r w:rsidR="00DA704A" w:rsidRPr="009F7A75">
        <w:rPr>
          <w:bCs/>
        </w:rPr>
        <w:t xml:space="preserve">and </w:t>
      </w:r>
      <w:r w:rsidR="001568F9" w:rsidRPr="009F7A75">
        <w:rPr>
          <w:bCs/>
        </w:rPr>
        <w:t>professional</w:t>
      </w:r>
      <w:r w:rsidR="00427231" w:rsidRPr="009F7A75">
        <w:rPr>
          <w:bCs/>
        </w:rPr>
        <w:t>. The conflic</w:t>
      </w:r>
      <w:r w:rsidR="00EA6D94" w:rsidRPr="009F7A75">
        <w:rPr>
          <w:bCs/>
        </w:rPr>
        <w:t>t</w:t>
      </w:r>
      <w:r w:rsidR="00427231" w:rsidRPr="009F7A75">
        <w:rPr>
          <w:bCs/>
        </w:rPr>
        <w:t xml:space="preserve">s between these themes </w:t>
      </w:r>
      <w:r w:rsidR="000C47ED" w:rsidRPr="009F7A75">
        <w:rPr>
          <w:bCs/>
        </w:rPr>
        <w:t xml:space="preserve">(and sub themes) </w:t>
      </w:r>
      <w:r w:rsidR="00427231" w:rsidRPr="009F7A75">
        <w:rPr>
          <w:bCs/>
        </w:rPr>
        <w:t xml:space="preserve">and their effects on student performance are considered. </w:t>
      </w:r>
    </w:p>
    <w:p w14:paraId="67943545" w14:textId="77777777" w:rsidR="00D2466A" w:rsidRPr="009F7A75" w:rsidRDefault="00D2466A" w:rsidP="004A3588">
      <w:pPr>
        <w:spacing w:line="240" w:lineRule="auto"/>
        <w:rPr>
          <w:bCs/>
        </w:rPr>
      </w:pPr>
    </w:p>
    <w:p w14:paraId="3BCC7D38" w14:textId="77777777" w:rsidR="00D2466A" w:rsidRPr="009F7A75" w:rsidRDefault="00D2466A" w:rsidP="004A3588">
      <w:pPr>
        <w:spacing w:line="240" w:lineRule="auto"/>
        <w:rPr>
          <w:bCs/>
        </w:rPr>
      </w:pPr>
    </w:p>
    <w:p w14:paraId="2EECAF6D" w14:textId="77777777" w:rsidR="00D2466A" w:rsidRPr="009F7A75" w:rsidRDefault="00D2466A" w:rsidP="004A3588">
      <w:pPr>
        <w:spacing w:line="240" w:lineRule="auto"/>
        <w:rPr>
          <w:bCs/>
        </w:rPr>
      </w:pPr>
    </w:p>
    <w:p w14:paraId="4912B985" w14:textId="77777777" w:rsidR="00D2466A" w:rsidRPr="009F7A75" w:rsidRDefault="00D2466A" w:rsidP="004A3588">
      <w:pPr>
        <w:spacing w:line="240" w:lineRule="auto"/>
        <w:rPr>
          <w:bCs/>
        </w:rPr>
      </w:pPr>
    </w:p>
    <w:p w14:paraId="6E6403BF" w14:textId="77777777" w:rsidR="00D2466A" w:rsidRPr="009F7A75" w:rsidRDefault="00D2466A" w:rsidP="004A3588">
      <w:pPr>
        <w:spacing w:line="240" w:lineRule="auto"/>
        <w:rPr>
          <w:rFonts w:eastAsia="Times New Roman"/>
        </w:rPr>
      </w:pPr>
    </w:p>
    <w:p w14:paraId="212A69A2" w14:textId="77777777" w:rsidR="001568F9" w:rsidRPr="009F7A75" w:rsidRDefault="001568F9" w:rsidP="004A3588">
      <w:pPr>
        <w:spacing w:line="240" w:lineRule="auto"/>
        <w:rPr>
          <w:bCs/>
        </w:rPr>
      </w:pPr>
    </w:p>
    <w:p w14:paraId="42F80741" w14:textId="77777777" w:rsidR="00D2466A" w:rsidRPr="009F7A75" w:rsidRDefault="00D2466A" w:rsidP="004A3588">
      <w:pPr>
        <w:spacing w:line="240" w:lineRule="auto"/>
        <w:rPr>
          <w:b/>
          <w:bCs/>
          <w:sz w:val="28"/>
          <w:szCs w:val="28"/>
        </w:rPr>
      </w:pPr>
    </w:p>
    <w:p w14:paraId="403B2321" w14:textId="77777777" w:rsidR="00D2466A" w:rsidRPr="009F7A75" w:rsidRDefault="00D2466A" w:rsidP="004A3588">
      <w:pPr>
        <w:spacing w:line="240" w:lineRule="auto"/>
        <w:rPr>
          <w:b/>
          <w:bCs/>
          <w:sz w:val="28"/>
          <w:szCs w:val="28"/>
        </w:rPr>
      </w:pPr>
    </w:p>
    <w:p w14:paraId="7323398D" w14:textId="77777777" w:rsidR="006F4434" w:rsidRPr="009F7A75" w:rsidRDefault="006F4434" w:rsidP="004A3588">
      <w:pPr>
        <w:spacing w:line="240" w:lineRule="auto"/>
        <w:rPr>
          <w:b/>
          <w:bCs/>
          <w:sz w:val="28"/>
          <w:szCs w:val="28"/>
        </w:rPr>
      </w:pPr>
      <w:r w:rsidRPr="009F7A75">
        <w:rPr>
          <w:b/>
          <w:bCs/>
          <w:sz w:val="28"/>
          <w:szCs w:val="28"/>
        </w:rPr>
        <w:lastRenderedPageBreak/>
        <w:t>Organisational expectations</w:t>
      </w:r>
    </w:p>
    <w:p w14:paraId="2963BDED" w14:textId="77777777" w:rsidR="00E1414C" w:rsidRPr="009F7A75" w:rsidRDefault="00E1414C" w:rsidP="004A3588">
      <w:pPr>
        <w:spacing w:line="240" w:lineRule="auto"/>
        <w:rPr>
          <w:bCs/>
        </w:rPr>
      </w:pPr>
      <w:r w:rsidRPr="009F7A75">
        <w:rPr>
          <w:bCs/>
        </w:rPr>
        <w:t xml:space="preserve">There was an acknowledgement from </w:t>
      </w:r>
      <w:r w:rsidR="000C47ED" w:rsidRPr="009F7A75">
        <w:rPr>
          <w:bCs/>
        </w:rPr>
        <w:t>participants</w:t>
      </w:r>
      <w:r w:rsidRPr="009F7A75">
        <w:rPr>
          <w:bCs/>
        </w:rPr>
        <w:t xml:space="preserve"> that the expectations of the organisation were not always consistent with the expectations of students and the university or academics. </w:t>
      </w:r>
    </w:p>
    <w:p w14:paraId="7279EF8E" w14:textId="77777777" w:rsidR="00E1414C" w:rsidRPr="009F7A75" w:rsidRDefault="00994FC2" w:rsidP="004A3588">
      <w:pPr>
        <w:spacing w:line="240" w:lineRule="auto"/>
        <w:ind w:left="283"/>
        <w:rPr>
          <w:rFonts w:eastAsia="Times New Roman"/>
          <w:lang w:eastAsia="en-GB"/>
        </w:rPr>
      </w:pPr>
      <w:r w:rsidRPr="009F7A75">
        <w:rPr>
          <w:rFonts w:eastAsia="Times New Roman"/>
          <w:i/>
          <w:lang w:eastAsia="en-GB"/>
        </w:rPr>
        <w:t>“</w:t>
      </w:r>
      <w:r w:rsidR="00E1414C" w:rsidRPr="009F7A75">
        <w:rPr>
          <w:rFonts w:eastAsia="Times New Roman"/>
          <w:i/>
          <w:lang w:eastAsia="en-GB"/>
        </w:rPr>
        <w:t>Sometimes we hear them say because we are students that’s why we’re still doing this. They have this organisational structure – when you get there eventually you just fit in</w:t>
      </w:r>
      <w:r w:rsidR="00DD0232" w:rsidRPr="009F7A75">
        <w:rPr>
          <w:rFonts w:eastAsia="Times New Roman"/>
          <w:lang w:eastAsia="en-GB"/>
        </w:rPr>
        <w:t xml:space="preserve"> (student</w:t>
      </w:r>
      <w:r w:rsidRPr="009F7A75">
        <w:rPr>
          <w:rFonts w:eastAsia="Times New Roman"/>
          <w:lang w:eastAsia="en-GB"/>
        </w:rPr>
        <w:t>)”</w:t>
      </w:r>
      <w:r w:rsidR="00E1414C" w:rsidRPr="009F7A75">
        <w:rPr>
          <w:rFonts w:eastAsia="Times New Roman"/>
          <w:lang w:eastAsia="en-GB"/>
        </w:rPr>
        <w:t>.</w:t>
      </w:r>
    </w:p>
    <w:p w14:paraId="4AE81F35" w14:textId="77777777" w:rsidR="0089343D" w:rsidRPr="009F7A75" w:rsidRDefault="0089343D" w:rsidP="004A3588">
      <w:pPr>
        <w:spacing w:line="240" w:lineRule="auto"/>
        <w:rPr>
          <w:rFonts w:eastAsia="Times New Roman"/>
          <w:lang w:eastAsia="en-GB"/>
        </w:rPr>
      </w:pPr>
      <w:r w:rsidRPr="009F7A75">
        <w:t>There is a very clear sense of the separation even oppositional approach between them (the practitioners) and us (the students) wh</w:t>
      </w:r>
      <w:r w:rsidR="000B0D30" w:rsidRPr="009F7A75">
        <w:t xml:space="preserve">en </w:t>
      </w:r>
      <w:r w:rsidR="00DD0232" w:rsidRPr="009F7A75">
        <w:t>a student</w:t>
      </w:r>
      <w:r w:rsidRPr="009F7A75">
        <w:t xml:space="preserve"> reports </w:t>
      </w:r>
      <w:r w:rsidR="00994FC2" w:rsidRPr="009F7A75">
        <w:t>“</w:t>
      </w:r>
      <w:r w:rsidRPr="009F7A75">
        <w:rPr>
          <w:rFonts w:eastAsia="Times New Roman"/>
          <w:i/>
          <w:lang w:eastAsia="en-GB"/>
        </w:rPr>
        <w:t>sometimes we hear them say</w:t>
      </w:r>
      <w:r w:rsidR="00994FC2" w:rsidRPr="009F7A75">
        <w:rPr>
          <w:rFonts w:eastAsia="Times New Roman"/>
          <w:i/>
          <w:lang w:eastAsia="en-GB"/>
        </w:rPr>
        <w:t>”</w:t>
      </w:r>
      <w:r w:rsidRPr="009F7A75">
        <w:rPr>
          <w:rFonts w:eastAsia="Times New Roman"/>
          <w:lang w:eastAsia="en-GB"/>
        </w:rPr>
        <w:t xml:space="preserve">. The phrase suggests the students overhear a conversation, perhaps even are discussed even when the practitioners are aware they can hear the conversation. The proverb about children being seen and not heard may be apposite here: the practitioners do not take seriously the students’ views and actions because they have not matured into practitioners. The conversation both tends to exclude (it is about the students) and includes them (the students hear the conversation). What is particularly interesting </w:t>
      </w:r>
      <w:r w:rsidR="00B25DA9" w:rsidRPr="009F7A75">
        <w:rPr>
          <w:rFonts w:eastAsia="Times New Roman"/>
          <w:lang w:eastAsia="en-GB"/>
        </w:rPr>
        <w:t>i</w:t>
      </w:r>
      <w:r w:rsidR="000B0D30" w:rsidRPr="009F7A75">
        <w:rPr>
          <w:rFonts w:eastAsia="Times New Roman"/>
          <w:lang w:eastAsia="en-GB"/>
        </w:rPr>
        <w:t xml:space="preserve">s </w:t>
      </w:r>
      <w:r w:rsidR="00DD0232" w:rsidRPr="009F7A75">
        <w:rPr>
          <w:rFonts w:eastAsia="Times New Roman"/>
          <w:lang w:eastAsia="en-GB"/>
        </w:rPr>
        <w:t>the student’s</w:t>
      </w:r>
      <w:r w:rsidRPr="009F7A75">
        <w:rPr>
          <w:rFonts w:eastAsia="Times New Roman"/>
          <w:lang w:eastAsia="en-GB"/>
        </w:rPr>
        <w:t xml:space="preserve"> explanation of why the socia</w:t>
      </w:r>
      <w:r w:rsidR="000B0D30" w:rsidRPr="009F7A75">
        <w:rPr>
          <w:rFonts w:eastAsia="Times New Roman"/>
          <w:lang w:eastAsia="en-GB"/>
        </w:rPr>
        <w:t xml:space="preserve">l workers make this comment. </w:t>
      </w:r>
      <w:r w:rsidR="00DD0232" w:rsidRPr="009F7A75">
        <w:rPr>
          <w:rFonts w:eastAsia="Times New Roman"/>
          <w:lang w:eastAsia="en-GB"/>
        </w:rPr>
        <w:t>The student suggests</w:t>
      </w:r>
      <w:r w:rsidRPr="009F7A75">
        <w:rPr>
          <w:rFonts w:eastAsia="Times New Roman"/>
          <w:lang w:eastAsia="en-GB"/>
        </w:rPr>
        <w:t xml:space="preserve"> says that it is the organisational structure that elucidates why the social workers talk about rather than with the students, why they indicate an immaturity or lack of understanding by the students.</w:t>
      </w:r>
    </w:p>
    <w:p w14:paraId="46022193" w14:textId="77777777" w:rsidR="000C47ED" w:rsidRPr="009F7A75" w:rsidRDefault="000C47ED" w:rsidP="004A3588">
      <w:pPr>
        <w:spacing w:line="240" w:lineRule="auto"/>
        <w:rPr>
          <w:rFonts w:eastAsia="Times New Roman"/>
          <w:b/>
          <w:lang w:eastAsia="en-GB"/>
        </w:rPr>
      </w:pPr>
    </w:p>
    <w:p w14:paraId="5ACEDEC4" w14:textId="77777777" w:rsidR="00D45393" w:rsidRPr="009F7A75" w:rsidRDefault="005F76EC" w:rsidP="004A3588">
      <w:pPr>
        <w:spacing w:line="240" w:lineRule="auto"/>
        <w:rPr>
          <w:rFonts w:eastAsia="Times New Roman"/>
          <w:b/>
          <w:lang w:eastAsia="en-GB"/>
        </w:rPr>
      </w:pPr>
      <w:r w:rsidRPr="009F7A75">
        <w:rPr>
          <w:rFonts w:eastAsia="Times New Roman"/>
          <w:b/>
          <w:lang w:eastAsia="en-GB"/>
        </w:rPr>
        <w:t>It’s a job</w:t>
      </w:r>
    </w:p>
    <w:p w14:paraId="4D44E14A" w14:textId="77777777" w:rsidR="0089343D" w:rsidRPr="009F7A75" w:rsidRDefault="00D45393" w:rsidP="004A3588">
      <w:pPr>
        <w:spacing w:line="240" w:lineRule="auto"/>
      </w:pPr>
      <w:r w:rsidRPr="009F7A75">
        <w:t>The main</w:t>
      </w:r>
      <w:r w:rsidR="0073433D" w:rsidRPr="009F7A75">
        <w:t xml:space="preserve"> way in which students are expec</w:t>
      </w:r>
      <w:r w:rsidRPr="009F7A75">
        <w:t xml:space="preserve">ted to act in an organisational context </w:t>
      </w:r>
      <w:r w:rsidR="0073433D" w:rsidRPr="009F7A75">
        <w:t>is by getting</w:t>
      </w:r>
      <w:r w:rsidR="00DD128E" w:rsidRPr="009F7A75">
        <w:t xml:space="preserve"> “</w:t>
      </w:r>
      <w:r w:rsidR="0073433D" w:rsidRPr="009F7A75">
        <w:rPr>
          <w:i/>
        </w:rPr>
        <w:t>on with it</w:t>
      </w:r>
      <w:r w:rsidR="00DD128E" w:rsidRPr="009F7A75">
        <w:t>”</w:t>
      </w:r>
      <w:r w:rsidR="0073433D" w:rsidRPr="009F7A75">
        <w:rPr>
          <w:i/>
        </w:rPr>
        <w:t xml:space="preserve"> </w:t>
      </w:r>
      <w:r w:rsidR="000B0D30" w:rsidRPr="009F7A75">
        <w:t>(</w:t>
      </w:r>
      <w:r w:rsidR="00DD0232" w:rsidRPr="009F7A75">
        <w:t>student</w:t>
      </w:r>
      <w:r w:rsidR="0073433D" w:rsidRPr="009F7A75">
        <w:t xml:space="preserve">).  In one sense learning has to be by </w:t>
      </w:r>
      <w:r w:rsidR="00DD128E" w:rsidRPr="009F7A75">
        <w:t>“</w:t>
      </w:r>
      <w:r w:rsidR="0073433D" w:rsidRPr="009F7A75">
        <w:rPr>
          <w:i/>
        </w:rPr>
        <w:t>doing</w:t>
      </w:r>
      <w:r w:rsidR="00DD128E" w:rsidRPr="009F7A75">
        <w:rPr>
          <w:i/>
        </w:rPr>
        <w:t>”</w:t>
      </w:r>
      <w:r w:rsidR="00994FC2" w:rsidRPr="009F7A75">
        <w:t xml:space="preserve"> (</w:t>
      </w:r>
      <w:r w:rsidR="00DD0232" w:rsidRPr="009F7A75">
        <w:t>practice educator</w:t>
      </w:r>
      <w:r w:rsidR="0073433D" w:rsidRPr="009F7A75">
        <w:t xml:space="preserve">).  However, the expectation is that students </w:t>
      </w:r>
      <w:r w:rsidR="005F76EC" w:rsidRPr="009F7A75">
        <w:t>are able to</w:t>
      </w:r>
      <w:r w:rsidR="0073433D" w:rsidRPr="009F7A75">
        <w:t xml:space="preserve"> perform as if they are in a </w:t>
      </w:r>
      <w:r w:rsidR="002922F8" w:rsidRPr="009F7A75">
        <w:t>“</w:t>
      </w:r>
      <w:r w:rsidR="0073433D" w:rsidRPr="009F7A75">
        <w:rPr>
          <w:i/>
        </w:rPr>
        <w:t>new job</w:t>
      </w:r>
      <w:r w:rsidR="002922F8" w:rsidRPr="009F7A75">
        <w:t>”</w:t>
      </w:r>
      <w:r w:rsidR="00DD0232" w:rsidRPr="009F7A75">
        <w:t xml:space="preserve"> (practice educator</w:t>
      </w:r>
      <w:r w:rsidR="00AB125C" w:rsidRPr="009F7A75">
        <w:t xml:space="preserve">) rather than students learning how to become future practitioners. Students are expected to be </w:t>
      </w:r>
      <w:r w:rsidR="002922F8" w:rsidRPr="009F7A75">
        <w:t>“</w:t>
      </w:r>
      <w:r w:rsidR="00AB125C" w:rsidRPr="009F7A75">
        <w:rPr>
          <w:i/>
        </w:rPr>
        <w:t>equipped, running on their first day</w:t>
      </w:r>
      <w:r w:rsidR="002922F8" w:rsidRPr="009F7A75">
        <w:t>”</w:t>
      </w:r>
      <w:r w:rsidR="00AB125C" w:rsidRPr="009F7A75">
        <w:rPr>
          <w:i/>
        </w:rPr>
        <w:t xml:space="preserve"> </w:t>
      </w:r>
      <w:r w:rsidR="00994FC2" w:rsidRPr="009F7A75">
        <w:t>(</w:t>
      </w:r>
      <w:r w:rsidR="00DD0232" w:rsidRPr="009F7A75">
        <w:t>practice educator</w:t>
      </w:r>
      <w:r w:rsidR="00AB125C" w:rsidRPr="009F7A75">
        <w:t>).</w:t>
      </w:r>
      <w:r w:rsidR="005F76EC" w:rsidRPr="009F7A75">
        <w:t xml:space="preserve">  Students will be </w:t>
      </w:r>
      <w:r w:rsidR="002922F8" w:rsidRPr="009F7A75">
        <w:t>“</w:t>
      </w:r>
      <w:r w:rsidR="005F76EC" w:rsidRPr="009F7A75">
        <w:rPr>
          <w:i/>
        </w:rPr>
        <w:t>dumped</w:t>
      </w:r>
      <w:r w:rsidR="002922F8" w:rsidRPr="009F7A75">
        <w:rPr>
          <w:i/>
        </w:rPr>
        <w:t>”</w:t>
      </w:r>
      <w:r w:rsidR="005F76EC" w:rsidRPr="009F7A75">
        <w:t xml:space="preserve"> (</w:t>
      </w:r>
      <w:r w:rsidR="00DD0232" w:rsidRPr="009F7A75">
        <w:t>student</w:t>
      </w:r>
      <w:r w:rsidR="005F76EC" w:rsidRPr="009F7A75">
        <w:t xml:space="preserve">) with work and will have only limited contact with the practice educator. In a sense students are </w:t>
      </w:r>
      <w:r w:rsidR="002922F8" w:rsidRPr="009F7A75">
        <w:rPr>
          <w:i/>
        </w:rPr>
        <w:t>“</w:t>
      </w:r>
      <w:r w:rsidR="005F76EC" w:rsidRPr="009F7A75">
        <w:rPr>
          <w:i/>
        </w:rPr>
        <w:t>plunged</w:t>
      </w:r>
      <w:r w:rsidR="002922F8" w:rsidRPr="009F7A75">
        <w:rPr>
          <w:i/>
        </w:rPr>
        <w:t>”</w:t>
      </w:r>
      <w:r w:rsidR="005F76EC" w:rsidRPr="009F7A75">
        <w:rPr>
          <w:i/>
        </w:rPr>
        <w:t xml:space="preserve"> </w:t>
      </w:r>
      <w:r w:rsidR="00994FC2" w:rsidRPr="009F7A75">
        <w:t>(</w:t>
      </w:r>
      <w:r w:rsidR="00DD0232" w:rsidRPr="009F7A75">
        <w:t>academic</w:t>
      </w:r>
      <w:r w:rsidR="005F76EC" w:rsidRPr="009F7A75">
        <w:t xml:space="preserve">) into statutory work such as child protection and will </w:t>
      </w:r>
      <w:r w:rsidR="002922F8" w:rsidRPr="009F7A75">
        <w:t>“</w:t>
      </w:r>
      <w:r w:rsidR="005F76EC" w:rsidRPr="009F7A75">
        <w:rPr>
          <w:i/>
        </w:rPr>
        <w:t>struggle</w:t>
      </w:r>
      <w:r w:rsidR="002922F8" w:rsidRPr="009F7A75">
        <w:rPr>
          <w:i/>
        </w:rPr>
        <w:t>”</w:t>
      </w:r>
      <w:r w:rsidR="00994FC2" w:rsidRPr="009F7A75">
        <w:t xml:space="preserve"> to complete the work (</w:t>
      </w:r>
      <w:r w:rsidR="00DD0232" w:rsidRPr="009F7A75">
        <w:t>academic</w:t>
      </w:r>
      <w:r w:rsidR="005F76EC" w:rsidRPr="009F7A75">
        <w:t xml:space="preserve">). </w:t>
      </w:r>
    </w:p>
    <w:p w14:paraId="6683B6C9" w14:textId="77777777" w:rsidR="00587731" w:rsidRPr="009F7A75" w:rsidRDefault="00587731" w:rsidP="004A3588">
      <w:pPr>
        <w:spacing w:line="240" w:lineRule="auto"/>
        <w:rPr>
          <w:rFonts w:eastAsia="Times New Roman"/>
          <w:i/>
          <w:lang w:eastAsia="en-GB"/>
        </w:rPr>
      </w:pPr>
    </w:p>
    <w:p w14:paraId="6608343A" w14:textId="77777777" w:rsidR="005F76EC" w:rsidRPr="009F7A75" w:rsidRDefault="005F76EC" w:rsidP="004A3588">
      <w:pPr>
        <w:spacing w:line="240" w:lineRule="auto"/>
        <w:rPr>
          <w:rFonts w:eastAsia="Times New Roman"/>
          <w:b/>
          <w:lang w:eastAsia="en-GB"/>
        </w:rPr>
      </w:pPr>
      <w:r w:rsidRPr="009F7A75">
        <w:rPr>
          <w:rFonts w:eastAsia="Times New Roman"/>
          <w:b/>
          <w:lang w:eastAsia="en-GB"/>
        </w:rPr>
        <w:t>A robotic process</w:t>
      </w:r>
    </w:p>
    <w:p w14:paraId="63C894E5" w14:textId="77777777" w:rsidR="002922F8" w:rsidRPr="009F7A75" w:rsidRDefault="005F76EC" w:rsidP="004A3588">
      <w:pPr>
        <w:spacing w:line="240" w:lineRule="auto"/>
        <w:rPr>
          <w:rFonts w:eastAsia="Times New Roman"/>
          <w:lang w:eastAsia="en-GB"/>
        </w:rPr>
      </w:pPr>
      <w:r w:rsidRPr="009F7A75">
        <w:rPr>
          <w:rFonts w:eastAsia="Times New Roman"/>
          <w:lang w:eastAsia="en-GB"/>
        </w:rPr>
        <w:t>The job that students are expected to do is carried out in a robotic way</w:t>
      </w:r>
      <w:r w:rsidR="002922F8" w:rsidRPr="009F7A75">
        <w:rPr>
          <w:rFonts w:eastAsia="Times New Roman"/>
          <w:i/>
          <w:lang w:eastAsia="en-GB"/>
        </w:rPr>
        <w:t>:</w:t>
      </w:r>
    </w:p>
    <w:p w14:paraId="210510C0" w14:textId="77777777" w:rsidR="002922F8" w:rsidRPr="009F7A75" w:rsidRDefault="002922F8" w:rsidP="004A3588">
      <w:pPr>
        <w:spacing w:line="240" w:lineRule="auto"/>
        <w:ind w:left="720" w:right="283"/>
        <w:rPr>
          <w:rFonts w:eastAsia="Times New Roman"/>
          <w:lang w:eastAsia="en-GB"/>
        </w:rPr>
      </w:pPr>
      <w:r w:rsidRPr="009F7A75">
        <w:rPr>
          <w:i/>
        </w:rPr>
        <w:t>“It can almost turn into a kind of robotic process and it’s funny because you actually see professionals who have been there for a very long time and it’s all ‘this is how I do it’”</w:t>
      </w:r>
      <w:r w:rsidR="00994FC2" w:rsidRPr="009F7A75">
        <w:t xml:space="preserve"> (</w:t>
      </w:r>
      <w:r w:rsidR="00DD0232" w:rsidRPr="009F7A75">
        <w:t>student</w:t>
      </w:r>
      <w:r w:rsidR="00851A64" w:rsidRPr="009F7A75">
        <w:t>)</w:t>
      </w:r>
    </w:p>
    <w:p w14:paraId="5A605D61" w14:textId="77777777" w:rsidR="005F76EC" w:rsidRPr="009F7A75" w:rsidRDefault="000B0D30" w:rsidP="004A3588">
      <w:pPr>
        <w:spacing w:line="240" w:lineRule="auto"/>
        <w:rPr>
          <w:rFonts w:eastAsia="Times New Roman"/>
          <w:lang w:eastAsia="en-GB"/>
        </w:rPr>
      </w:pPr>
      <w:r w:rsidRPr="009F7A75">
        <w:rPr>
          <w:rFonts w:eastAsia="Times New Roman"/>
          <w:lang w:eastAsia="en-GB"/>
        </w:rPr>
        <w:t xml:space="preserve"> Experienced practitioners explain their practice as a repetitive activity rather than a reflective or theorised practice.  Students are expected to work within a particular </w:t>
      </w:r>
      <w:r w:rsidR="00E944FA" w:rsidRPr="009F7A75">
        <w:rPr>
          <w:rFonts w:eastAsia="Times New Roman"/>
          <w:lang w:eastAsia="en-GB"/>
        </w:rPr>
        <w:t>framework (for example,</w:t>
      </w:r>
      <w:r w:rsidRPr="009F7A75">
        <w:rPr>
          <w:rFonts w:eastAsia="Times New Roman"/>
          <w:lang w:eastAsia="en-GB"/>
        </w:rPr>
        <w:t xml:space="preserve"> </w:t>
      </w:r>
      <w:r w:rsidRPr="009F7A75">
        <w:rPr>
          <w:rFonts w:eastAsia="Times New Roman"/>
          <w:i/>
          <w:lang w:eastAsia="en-GB"/>
        </w:rPr>
        <w:t xml:space="preserve">doing </w:t>
      </w:r>
      <w:r w:rsidR="00DF4C4B" w:rsidRPr="009F7A75">
        <w:rPr>
          <w:rFonts w:eastAsia="Times New Roman"/>
          <w:lang w:eastAsia="en-GB"/>
        </w:rPr>
        <w:t>children</w:t>
      </w:r>
      <w:r w:rsidRPr="009F7A75">
        <w:rPr>
          <w:rFonts w:eastAsia="Times New Roman"/>
          <w:lang w:eastAsia="en-GB"/>
        </w:rPr>
        <w:t xml:space="preserve"> or care management</w:t>
      </w:r>
      <w:r w:rsidR="00994FC2" w:rsidRPr="009F7A75">
        <w:rPr>
          <w:rFonts w:eastAsia="Times New Roman"/>
          <w:lang w:eastAsia="en-GB"/>
        </w:rPr>
        <w:t>)</w:t>
      </w:r>
      <w:r w:rsidRPr="009F7A75">
        <w:rPr>
          <w:rFonts w:eastAsia="Times New Roman"/>
          <w:lang w:eastAsia="en-GB"/>
        </w:rPr>
        <w:t xml:space="preserve">.  </w:t>
      </w:r>
      <w:r w:rsidR="00475E15" w:rsidRPr="009F7A75">
        <w:rPr>
          <w:rFonts w:eastAsia="Times New Roman"/>
          <w:lang w:eastAsia="en-GB"/>
        </w:rPr>
        <w:t xml:space="preserve">At the forefront of a student’s mind </w:t>
      </w:r>
      <w:r w:rsidR="00475E15" w:rsidRPr="009F7A75">
        <w:rPr>
          <w:rFonts w:eastAsia="Times New Roman"/>
          <w:i/>
          <w:lang w:eastAsia="en-GB"/>
        </w:rPr>
        <w:t xml:space="preserve">is </w:t>
      </w:r>
      <w:r w:rsidR="002922F8" w:rsidRPr="009F7A75">
        <w:rPr>
          <w:rFonts w:eastAsia="Times New Roman"/>
          <w:i/>
          <w:lang w:eastAsia="en-GB"/>
        </w:rPr>
        <w:t>“</w:t>
      </w:r>
      <w:r w:rsidR="00475E15" w:rsidRPr="009F7A75">
        <w:rPr>
          <w:rFonts w:eastAsia="Times New Roman"/>
          <w:i/>
          <w:lang w:eastAsia="en-GB"/>
        </w:rPr>
        <w:t>getting my work finished before 5:30</w:t>
      </w:r>
      <w:r w:rsidR="002922F8" w:rsidRPr="009F7A75">
        <w:rPr>
          <w:rFonts w:eastAsia="Times New Roman"/>
          <w:i/>
          <w:lang w:eastAsia="en-GB"/>
        </w:rPr>
        <w:t>”</w:t>
      </w:r>
      <w:r w:rsidR="00994FC2" w:rsidRPr="009F7A75">
        <w:rPr>
          <w:rFonts w:eastAsia="Times New Roman"/>
          <w:i/>
          <w:lang w:eastAsia="en-GB"/>
        </w:rPr>
        <w:t xml:space="preserve"> </w:t>
      </w:r>
      <w:r w:rsidR="00994FC2" w:rsidRPr="009F7A75">
        <w:rPr>
          <w:rFonts w:eastAsia="Times New Roman"/>
          <w:lang w:eastAsia="en-GB"/>
        </w:rPr>
        <w:t>(</w:t>
      </w:r>
      <w:r w:rsidR="00DD0232" w:rsidRPr="009F7A75">
        <w:rPr>
          <w:rFonts w:eastAsia="Times New Roman"/>
          <w:lang w:eastAsia="en-GB"/>
        </w:rPr>
        <w:t>student</w:t>
      </w:r>
      <w:r w:rsidR="00475E15" w:rsidRPr="009F7A75">
        <w:rPr>
          <w:rFonts w:eastAsia="Times New Roman"/>
          <w:lang w:eastAsia="en-GB"/>
        </w:rPr>
        <w:t>).</w:t>
      </w:r>
    </w:p>
    <w:p w14:paraId="3DEB44F4" w14:textId="77777777" w:rsidR="00125E2F" w:rsidRPr="009F7A75" w:rsidRDefault="00125E2F" w:rsidP="004A3588">
      <w:pPr>
        <w:spacing w:line="240" w:lineRule="auto"/>
        <w:rPr>
          <w:rFonts w:eastAsia="Times New Roman"/>
          <w:i/>
          <w:lang w:eastAsia="en-GB"/>
        </w:rPr>
      </w:pPr>
    </w:p>
    <w:p w14:paraId="05C12201" w14:textId="77777777" w:rsidR="000B0D30" w:rsidRPr="009F7A75" w:rsidRDefault="000B0D30" w:rsidP="004A3588">
      <w:pPr>
        <w:spacing w:line="240" w:lineRule="auto"/>
        <w:rPr>
          <w:rFonts w:eastAsia="Times New Roman"/>
          <w:b/>
          <w:lang w:eastAsia="en-GB"/>
        </w:rPr>
      </w:pPr>
      <w:r w:rsidRPr="009F7A75">
        <w:rPr>
          <w:rFonts w:eastAsia="Times New Roman"/>
          <w:b/>
          <w:lang w:eastAsia="en-GB"/>
        </w:rPr>
        <w:lastRenderedPageBreak/>
        <w:t>Endless form filling</w:t>
      </w:r>
    </w:p>
    <w:p w14:paraId="5D424047" w14:textId="77777777" w:rsidR="00FA33D9" w:rsidRPr="009F7A75" w:rsidRDefault="00BC4035" w:rsidP="004A3588">
      <w:pPr>
        <w:spacing w:line="240" w:lineRule="auto"/>
        <w:rPr>
          <w:rFonts w:eastAsia="Times New Roman"/>
          <w:lang w:eastAsia="en-GB"/>
        </w:rPr>
      </w:pPr>
      <w:r w:rsidRPr="009F7A75">
        <w:rPr>
          <w:rFonts w:eastAsia="Times New Roman"/>
          <w:lang w:eastAsia="en-GB"/>
        </w:rPr>
        <w:t xml:space="preserve">The nature of statutory social </w:t>
      </w:r>
      <w:r w:rsidR="008D7EAE" w:rsidRPr="009F7A75">
        <w:rPr>
          <w:rFonts w:eastAsia="Times New Roman"/>
          <w:lang w:eastAsia="en-GB"/>
        </w:rPr>
        <w:t xml:space="preserve">work </w:t>
      </w:r>
      <w:r w:rsidRPr="009F7A75">
        <w:rPr>
          <w:rFonts w:eastAsia="Times New Roman"/>
          <w:lang w:eastAsia="en-GB"/>
        </w:rPr>
        <w:t xml:space="preserve">seems to focus on a bureaucratic approach to social work practice. Students are expected to be able to produce relevant formal documents and be computer literate rather than demonstrate clearly delineated social work skills such as communication and empathy or a wider or broader conception of social work, which can still be found in other types of social work. </w:t>
      </w:r>
    </w:p>
    <w:p w14:paraId="51A8BB4F" w14:textId="77777777" w:rsidR="00DF4C4B" w:rsidRPr="009F7A75" w:rsidRDefault="00DF4C4B" w:rsidP="004A3588">
      <w:pPr>
        <w:spacing w:line="240" w:lineRule="auto"/>
        <w:ind w:left="720"/>
      </w:pPr>
      <w:r w:rsidRPr="009F7A75">
        <w:rPr>
          <w:i/>
        </w:rPr>
        <w:t>“When intervention comes about it’s very much about fitting in a certain bureaucratic guidance about when you intervene</w:t>
      </w:r>
      <w:r w:rsidR="00994FC2" w:rsidRPr="009F7A75">
        <w:rPr>
          <w:i/>
        </w:rPr>
        <w:t xml:space="preserve">.” </w:t>
      </w:r>
      <w:r w:rsidR="00994FC2" w:rsidRPr="009F7A75">
        <w:t>(</w:t>
      </w:r>
      <w:proofErr w:type="gramStart"/>
      <w:r w:rsidR="00DD0232" w:rsidRPr="009F7A75">
        <w:t>academic</w:t>
      </w:r>
      <w:proofErr w:type="gramEnd"/>
      <w:r w:rsidRPr="009F7A75">
        <w:t>)</w:t>
      </w:r>
    </w:p>
    <w:p w14:paraId="5126A588" w14:textId="77777777" w:rsidR="00DF4C4B" w:rsidRPr="009F7A75" w:rsidRDefault="008D7EAE" w:rsidP="004A3588">
      <w:pPr>
        <w:spacing w:line="240" w:lineRule="auto"/>
      </w:pPr>
      <w:r w:rsidRPr="009F7A75">
        <w:t xml:space="preserve">An academic </w:t>
      </w:r>
      <w:r w:rsidR="00176BEF" w:rsidRPr="009F7A75">
        <w:t xml:space="preserve">contrasts present day social work practice with how he originally used to be able </w:t>
      </w:r>
      <w:r w:rsidR="00DF4C4B" w:rsidRPr="009F7A75">
        <w:t>to undertake “</w:t>
      </w:r>
      <w:r w:rsidR="00DF4C4B" w:rsidRPr="009F7A75">
        <w:rPr>
          <w:i/>
        </w:rPr>
        <w:t xml:space="preserve">informal” </w:t>
      </w:r>
      <w:r w:rsidR="00DF4C4B" w:rsidRPr="009F7A75">
        <w:t>activi</w:t>
      </w:r>
      <w:r w:rsidR="00DD0232" w:rsidRPr="009F7A75">
        <w:t>t</w:t>
      </w:r>
      <w:r w:rsidR="000C47ED" w:rsidRPr="009F7A75">
        <w:t>ies with service users</w:t>
      </w:r>
      <w:r w:rsidR="00DF4C4B" w:rsidRPr="009F7A75">
        <w:t>. For example, he could help service users red</w:t>
      </w:r>
      <w:r w:rsidR="00DD0232" w:rsidRPr="009F7A75">
        <w:t xml:space="preserve">ecorate their homes. </w:t>
      </w:r>
      <w:r w:rsidR="00DF4C4B" w:rsidRPr="009F7A75">
        <w:t>These types of activities promoted developing a “</w:t>
      </w:r>
      <w:r w:rsidR="00DF4C4B" w:rsidRPr="009F7A75">
        <w:rPr>
          <w:i/>
        </w:rPr>
        <w:t xml:space="preserve">good relationship” </w:t>
      </w:r>
      <w:r w:rsidR="00DD0232" w:rsidRPr="009F7A75">
        <w:t>with service users (academic</w:t>
      </w:r>
      <w:r w:rsidR="00DF4C4B" w:rsidRPr="009F7A75">
        <w:t xml:space="preserve">).  These opportunities are no longer available and the focus is now </w:t>
      </w:r>
      <w:r w:rsidR="00176BEF" w:rsidRPr="009F7A75">
        <w:t xml:space="preserve">on managing resources </w:t>
      </w:r>
      <w:r w:rsidR="00DF4C4B" w:rsidRPr="009F7A75">
        <w:t xml:space="preserve">  Social work is </w:t>
      </w:r>
      <w:r w:rsidR="00176BEF" w:rsidRPr="009F7A75">
        <w:rPr>
          <w:i/>
        </w:rPr>
        <w:t>“</w:t>
      </w:r>
      <w:r w:rsidR="00DF4C4B" w:rsidRPr="009F7A75">
        <w:rPr>
          <w:i/>
        </w:rPr>
        <w:t>much more bureaucratic with less flexibility</w:t>
      </w:r>
      <w:r w:rsidR="00176BEF" w:rsidRPr="009F7A75">
        <w:rPr>
          <w:i/>
        </w:rPr>
        <w:t>”</w:t>
      </w:r>
      <w:r w:rsidR="00DF4C4B" w:rsidRPr="009F7A75">
        <w:t xml:space="preserve"> about how so</w:t>
      </w:r>
      <w:r w:rsidR="00DD0232" w:rsidRPr="009F7A75">
        <w:t>cial workers practise (academic</w:t>
      </w:r>
      <w:r w:rsidR="00DF4C4B" w:rsidRPr="009F7A75">
        <w:t>).</w:t>
      </w:r>
    </w:p>
    <w:p w14:paraId="52A93875" w14:textId="77777777" w:rsidR="00BC4035" w:rsidRPr="009F7A75" w:rsidRDefault="00BC4035" w:rsidP="004A3588">
      <w:pPr>
        <w:spacing w:line="240" w:lineRule="auto"/>
        <w:rPr>
          <w:rFonts w:eastAsia="Times New Roman"/>
          <w:sz w:val="28"/>
          <w:szCs w:val="28"/>
          <w:lang w:eastAsia="en-GB"/>
        </w:rPr>
      </w:pPr>
    </w:p>
    <w:p w14:paraId="40E7C97B" w14:textId="77777777" w:rsidR="00BC4035" w:rsidRPr="009F7A75" w:rsidRDefault="00BC4035" w:rsidP="004A3588">
      <w:pPr>
        <w:spacing w:line="240" w:lineRule="auto"/>
        <w:rPr>
          <w:rFonts w:eastAsia="Times New Roman"/>
          <w:b/>
          <w:sz w:val="28"/>
          <w:szCs w:val="28"/>
          <w:lang w:eastAsia="en-GB"/>
        </w:rPr>
      </w:pPr>
      <w:r w:rsidRPr="009F7A75">
        <w:rPr>
          <w:rFonts w:eastAsia="Times New Roman"/>
          <w:b/>
          <w:sz w:val="28"/>
          <w:szCs w:val="28"/>
          <w:lang w:eastAsia="en-GB"/>
        </w:rPr>
        <w:t>Professional expectations</w:t>
      </w:r>
    </w:p>
    <w:p w14:paraId="17293985" w14:textId="77777777" w:rsidR="00BC4035" w:rsidRPr="009F7A75" w:rsidRDefault="00BC4035" w:rsidP="004A3588">
      <w:pPr>
        <w:spacing w:line="240" w:lineRule="auto"/>
        <w:rPr>
          <w:rFonts w:eastAsia="Times New Roman"/>
          <w:lang w:eastAsia="en-GB"/>
        </w:rPr>
      </w:pPr>
      <w:r w:rsidRPr="009F7A75">
        <w:rPr>
          <w:rFonts w:eastAsia="Times New Roman"/>
          <w:lang w:eastAsia="en-GB"/>
        </w:rPr>
        <w:t xml:space="preserve">Social work is still understood as being about working with people, helping them to develop and improve their lives. As a profession social work has the </w:t>
      </w:r>
      <w:r w:rsidR="00E944FA" w:rsidRPr="009F7A75">
        <w:rPr>
          <w:rFonts w:eastAsia="Times New Roman"/>
          <w:i/>
          <w:lang w:eastAsia="en-GB"/>
        </w:rPr>
        <w:t>“</w:t>
      </w:r>
      <w:r w:rsidRPr="009F7A75">
        <w:rPr>
          <w:rFonts w:eastAsia="Times New Roman"/>
          <w:i/>
          <w:lang w:eastAsia="en-GB"/>
        </w:rPr>
        <w:t>capacity to affect change in people’s lives</w:t>
      </w:r>
      <w:r w:rsidR="00176BEF" w:rsidRPr="009F7A75">
        <w:rPr>
          <w:rFonts w:eastAsia="Times New Roman"/>
          <w:i/>
          <w:lang w:eastAsia="en-GB"/>
        </w:rPr>
        <w:t xml:space="preserve">” </w:t>
      </w:r>
      <w:r w:rsidR="00851A64" w:rsidRPr="009F7A75">
        <w:rPr>
          <w:rFonts w:eastAsia="Times New Roman"/>
          <w:i/>
          <w:lang w:eastAsia="en-GB"/>
        </w:rPr>
        <w:t xml:space="preserve"> </w:t>
      </w:r>
      <w:r w:rsidR="00176BEF" w:rsidRPr="009F7A75">
        <w:rPr>
          <w:rFonts w:eastAsia="Times New Roman"/>
          <w:i/>
          <w:lang w:eastAsia="en-GB"/>
        </w:rPr>
        <w:t xml:space="preserve"> </w:t>
      </w:r>
      <w:r w:rsidR="00DD0232" w:rsidRPr="009F7A75">
        <w:rPr>
          <w:rFonts w:eastAsia="Times New Roman"/>
          <w:lang w:eastAsia="en-GB"/>
        </w:rPr>
        <w:t>(academic</w:t>
      </w:r>
      <w:r w:rsidRPr="009F7A75">
        <w:rPr>
          <w:rFonts w:eastAsia="Times New Roman"/>
          <w:lang w:eastAsia="en-GB"/>
        </w:rPr>
        <w:t xml:space="preserve">). </w:t>
      </w:r>
      <w:r w:rsidR="00176BEF" w:rsidRPr="009F7A75">
        <w:t>Helping others to transform and improve their lives is what the profession is about.</w:t>
      </w:r>
      <w:r w:rsidR="00176BEF" w:rsidRPr="009F7A75">
        <w:rPr>
          <w:rFonts w:eastAsia="Times New Roman"/>
          <w:lang w:eastAsia="en-GB"/>
        </w:rPr>
        <w:t xml:space="preserve"> </w:t>
      </w:r>
      <w:r w:rsidRPr="009F7A75">
        <w:rPr>
          <w:rFonts w:eastAsia="Times New Roman"/>
          <w:lang w:eastAsia="en-GB"/>
        </w:rPr>
        <w:t>One student in a voluntary setting describes how she is able to work directly with service users</w:t>
      </w:r>
      <w:r w:rsidR="00475E15" w:rsidRPr="009F7A75">
        <w:rPr>
          <w:rFonts w:eastAsia="Times New Roman"/>
          <w:lang w:eastAsia="en-GB"/>
        </w:rPr>
        <w:t xml:space="preserve"> and the team explore theory and practice issues. However, generally the direct interventions with service users </w:t>
      </w:r>
      <w:r w:rsidR="00176BEF" w:rsidRPr="009F7A75">
        <w:rPr>
          <w:rFonts w:eastAsia="Times New Roman"/>
          <w:lang w:eastAsia="en-GB"/>
        </w:rPr>
        <w:t>“</w:t>
      </w:r>
      <w:r w:rsidR="00475E15" w:rsidRPr="009F7A75">
        <w:rPr>
          <w:rFonts w:eastAsia="Times New Roman"/>
          <w:i/>
          <w:lang w:eastAsia="en-GB"/>
        </w:rPr>
        <w:t>comes a poor second</w:t>
      </w:r>
      <w:r w:rsidR="00176BEF" w:rsidRPr="009F7A75">
        <w:rPr>
          <w:rFonts w:eastAsia="Times New Roman"/>
          <w:i/>
          <w:lang w:eastAsia="en-GB"/>
        </w:rPr>
        <w:t xml:space="preserve">” </w:t>
      </w:r>
      <w:r w:rsidR="00475E15" w:rsidRPr="009F7A75">
        <w:rPr>
          <w:rFonts w:eastAsia="Times New Roman"/>
          <w:i/>
          <w:lang w:eastAsia="en-GB"/>
        </w:rPr>
        <w:t xml:space="preserve"> </w:t>
      </w:r>
      <w:r w:rsidR="00DD0232" w:rsidRPr="009F7A75">
        <w:rPr>
          <w:rFonts w:eastAsia="Times New Roman"/>
          <w:lang w:eastAsia="en-GB"/>
        </w:rPr>
        <w:t>(student</w:t>
      </w:r>
      <w:r w:rsidR="00475E15" w:rsidRPr="009F7A75">
        <w:rPr>
          <w:rFonts w:eastAsia="Times New Roman"/>
          <w:lang w:eastAsia="en-GB"/>
        </w:rPr>
        <w:t>) to sitting in front of a computer screen and completing online assessments.</w:t>
      </w:r>
    </w:p>
    <w:p w14:paraId="239061E2" w14:textId="77777777" w:rsidR="00E944FA" w:rsidRPr="009F7A75" w:rsidRDefault="00E944FA" w:rsidP="004A3588">
      <w:pPr>
        <w:spacing w:line="240" w:lineRule="auto"/>
        <w:rPr>
          <w:rFonts w:eastAsia="Times New Roman"/>
          <w:lang w:eastAsia="en-GB"/>
        </w:rPr>
      </w:pPr>
    </w:p>
    <w:p w14:paraId="7507E846" w14:textId="77777777" w:rsidR="00A653FD" w:rsidRPr="009F7A75" w:rsidRDefault="00A653FD" w:rsidP="004A3588">
      <w:pPr>
        <w:spacing w:line="240" w:lineRule="auto"/>
        <w:rPr>
          <w:rFonts w:eastAsia="Times New Roman"/>
          <w:b/>
          <w:lang w:eastAsia="en-GB"/>
        </w:rPr>
      </w:pPr>
      <w:r w:rsidRPr="009F7A75">
        <w:rPr>
          <w:rFonts w:eastAsia="Times New Roman"/>
          <w:b/>
          <w:lang w:eastAsia="en-GB"/>
        </w:rPr>
        <w:t>Bringing about change</w:t>
      </w:r>
    </w:p>
    <w:p w14:paraId="4B66C914" w14:textId="77777777" w:rsidR="00A653FD" w:rsidRPr="009F7A75" w:rsidRDefault="00A653FD" w:rsidP="004A3588">
      <w:pPr>
        <w:spacing w:line="240" w:lineRule="auto"/>
        <w:rPr>
          <w:rFonts w:eastAsia="Times New Roman"/>
          <w:lang w:eastAsia="en-GB"/>
        </w:rPr>
      </w:pPr>
      <w:r w:rsidRPr="009F7A75">
        <w:rPr>
          <w:rFonts w:eastAsia="Times New Roman"/>
          <w:lang w:eastAsia="en-GB"/>
        </w:rPr>
        <w:t>Stu</w:t>
      </w:r>
      <w:r w:rsidR="000C47ED" w:rsidRPr="009F7A75">
        <w:rPr>
          <w:rFonts w:eastAsia="Times New Roman"/>
          <w:lang w:eastAsia="en-GB"/>
        </w:rPr>
        <w:t>dents come into the profession</w:t>
      </w:r>
      <w:r w:rsidRPr="009F7A75">
        <w:rPr>
          <w:rFonts w:eastAsia="Times New Roman"/>
          <w:lang w:eastAsia="en-GB"/>
        </w:rPr>
        <w:t xml:space="preserve">, wanting to improve the lives of service users by bringing about change in their lives and environment. In some sense they want to change the world and resolve social ills. </w:t>
      </w:r>
    </w:p>
    <w:p w14:paraId="413CE3A6" w14:textId="77777777" w:rsidR="00B60F81" w:rsidRPr="009F7A75" w:rsidRDefault="00010E77" w:rsidP="004A3588">
      <w:pPr>
        <w:spacing w:line="240" w:lineRule="auto"/>
        <w:ind w:left="720"/>
      </w:pPr>
      <w:r w:rsidRPr="009F7A75">
        <w:t>“</w:t>
      </w:r>
      <w:r w:rsidRPr="009F7A75">
        <w:rPr>
          <w:i/>
        </w:rPr>
        <w:t xml:space="preserve">What did interest me in practice, and still interests me, is the capacity to affect change in people’s lives. </w:t>
      </w:r>
      <w:r w:rsidR="00B60F81" w:rsidRPr="009F7A75">
        <w:rPr>
          <w:i/>
        </w:rPr>
        <w:t>That’s what would interest me, to be able to work with people, see change happen, recognising that might be a very slow process for some people</w:t>
      </w:r>
      <w:r w:rsidR="00B60F81" w:rsidRPr="009F7A75">
        <w:t>.</w:t>
      </w:r>
      <w:r w:rsidR="00E944FA" w:rsidRPr="009F7A75">
        <w:t>” (</w:t>
      </w:r>
      <w:proofErr w:type="gramStart"/>
      <w:r w:rsidR="00DD0232" w:rsidRPr="009F7A75">
        <w:t>academic</w:t>
      </w:r>
      <w:proofErr w:type="gramEnd"/>
      <w:r w:rsidRPr="009F7A75">
        <w:t>)</w:t>
      </w:r>
    </w:p>
    <w:p w14:paraId="57F639E9" w14:textId="77777777" w:rsidR="00B60F81" w:rsidRPr="009F7A75" w:rsidRDefault="008D7EAE" w:rsidP="004A3588">
      <w:pPr>
        <w:spacing w:line="240" w:lineRule="auto"/>
        <w:rPr>
          <w:rFonts w:eastAsia="Times New Roman"/>
          <w:lang w:eastAsia="en-GB"/>
        </w:rPr>
      </w:pPr>
      <w:r w:rsidRPr="009F7A75">
        <w:rPr>
          <w:rFonts w:eastAsia="Times New Roman"/>
          <w:lang w:eastAsia="en-GB"/>
        </w:rPr>
        <w:t xml:space="preserve">This academic </w:t>
      </w:r>
      <w:r w:rsidR="00B60F81" w:rsidRPr="009F7A75">
        <w:rPr>
          <w:rFonts w:eastAsia="Times New Roman"/>
          <w:lang w:eastAsia="en-GB"/>
        </w:rPr>
        <w:t xml:space="preserve">explains how she chose to opt out of statutory social work because it was not able to provide the kind of work she felt social work was about.  Working directly with service users to improve their lives is what social work is about. </w:t>
      </w:r>
    </w:p>
    <w:p w14:paraId="1C187AFC" w14:textId="77777777" w:rsidR="00475E15" w:rsidRPr="009F7A75" w:rsidRDefault="00475E15" w:rsidP="004A3588">
      <w:pPr>
        <w:spacing w:line="240" w:lineRule="auto"/>
        <w:rPr>
          <w:rFonts w:eastAsia="Times New Roman"/>
          <w:lang w:eastAsia="en-GB"/>
        </w:rPr>
      </w:pPr>
    </w:p>
    <w:p w14:paraId="7232D921" w14:textId="77777777" w:rsidR="00475E15" w:rsidRPr="009F7A75" w:rsidRDefault="00125E2F" w:rsidP="004A3588">
      <w:pPr>
        <w:spacing w:line="240" w:lineRule="auto"/>
        <w:rPr>
          <w:rFonts w:eastAsia="Times New Roman"/>
          <w:b/>
          <w:lang w:eastAsia="en-GB"/>
        </w:rPr>
      </w:pPr>
      <w:r w:rsidRPr="009F7A75">
        <w:rPr>
          <w:rFonts w:eastAsia="Times New Roman"/>
          <w:b/>
          <w:lang w:eastAsia="en-GB"/>
        </w:rPr>
        <w:t>Intellectual practice</w:t>
      </w:r>
    </w:p>
    <w:p w14:paraId="23C0C10C" w14:textId="77777777" w:rsidR="00475E15" w:rsidRPr="009F7A75" w:rsidRDefault="00475E15" w:rsidP="004A3588">
      <w:pPr>
        <w:spacing w:line="240" w:lineRule="auto"/>
        <w:rPr>
          <w:rFonts w:eastAsia="Times New Roman"/>
          <w:lang w:eastAsia="en-GB"/>
        </w:rPr>
      </w:pPr>
      <w:r w:rsidRPr="009F7A75">
        <w:rPr>
          <w:rFonts w:eastAsia="Times New Roman"/>
          <w:lang w:eastAsia="en-GB"/>
        </w:rPr>
        <w:lastRenderedPageBreak/>
        <w:t>The academy expects students to understand what they are undertaking in practice. Using theory students explore how best to intervene and support service users. They are expected to use theories on anti-oppressive practice, for example, to challenge oppression</w:t>
      </w:r>
      <w:r w:rsidR="00310027" w:rsidRPr="009F7A75">
        <w:rPr>
          <w:rFonts w:eastAsia="Times New Roman"/>
          <w:lang w:eastAsia="en-GB"/>
        </w:rPr>
        <w:t xml:space="preserve">.  Students are expected to </w:t>
      </w:r>
      <w:r w:rsidR="00010E77" w:rsidRPr="009F7A75">
        <w:rPr>
          <w:rFonts w:eastAsia="Times New Roman"/>
          <w:lang w:eastAsia="en-GB"/>
        </w:rPr>
        <w:t>adopt</w:t>
      </w:r>
      <w:r w:rsidR="00310027" w:rsidRPr="009F7A75">
        <w:rPr>
          <w:rFonts w:eastAsia="Times New Roman"/>
          <w:lang w:eastAsia="en-GB"/>
        </w:rPr>
        <w:t xml:space="preserve"> a holistic approach, seeing the wider context of a service user’s world rather than focus on a narrow or medical approach.</w:t>
      </w:r>
    </w:p>
    <w:p w14:paraId="34BABF27" w14:textId="77777777" w:rsidR="00B60F81" w:rsidRPr="009F7A75" w:rsidRDefault="00B60F81" w:rsidP="004A3588">
      <w:pPr>
        <w:spacing w:line="240" w:lineRule="auto"/>
        <w:ind w:left="720"/>
      </w:pPr>
      <w:r w:rsidRPr="009F7A75">
        <w:rPr>
          <w:i/>
        </w:rPr>
        <w:t xml:space="preserve"> </w:t>
      </w:r>
      <w:r w:rsidR="00851A64" w:rsidRPr="009F7A75">
        <w:rPr>
          <w:i/>
        </w:rPr>
        <w:t>“</w:t>
      </w:r>
      <w:r w:rsidR="008E7DF1" w:rsidRPr="009F7A75">
        <w:rPr>
          <w:i/>
        </w:rPr>
        <w:t>You actually need to have some theoretical knowledge in order to do the work. You need to know why yo</w:t>
      </w:r>
      <w:r w:rsidR="00851A64" w:rsidRPr="009F7A75">
        <w:rPr>
          <w:i/>
        </w:rPr>
        <w:t xml:space="preserve">u are doing what you are doing </w:t>
      </w:r>
      <w:r w:rsidR="008E7DF1" w:rsidRPr="009F7A75">
        <w:rPr>
          <w:i/>
        </w:rPr>
        <w:t>and not just follow rules and do what you are doing. So that for me, it’s a much better way to work because if you can intellectualise why you do what you do, you are going to be a much better worker because you are actually going to be able to think about what you are doing.”</w:t>
      </w:r>
      <w:r w:rsidR="00851A64" w:rsidRPr="009F7A75">
        <w:t xml:space="preserve"> </w:t>
      </w:r>
      <w:r w:rsidR="00DD0232" w:rsidRPr="009F7A75">
        <w:t xml:space="preserve"> (</w:t>
      </w:r>
      <w:proofErr w:type="gramStart"/>
      <w:r w:rsidR="00DD0232" w:rsidRPr="009F7A75">
        <w:t>academic</w:t>
      </w:r>
      <w:proofErr w:type="gramEnd"/>
      <w:r w:rsidRPr="009F7A75">
        <w:t>)</w:t>
      </w:r>
    </w:p>
    <w:p w14:paraId="7B44142E" w14:textId="77777777" w:rsidR="00851A64" w:rsidRPr="009F7A75" w:rsidRDefault="00851A64" w:rsidP="004A3588">
      <w:pPr>
        <w:spacing w:line="240" w:lineRule="auto"/>
        <w:rPr>
          <w:bCs/>
        </w:rPr>
      </w:pPr>
    </w:p>
    <w:p w14:paraId="7DC720D1" w14:textId="77777777" w:rsidR="00D94CDF" w:rsidRPr="009F7A75" w:rsidRDefault="008E7DF1" w:rsidP="004A3588">
      <w:pPr>
        <w:spacing w:line="240" w:lineRule="auto"/>
        <w:rPr>
          <w:rFonts w:eastAsia="Times New Roman"/>
          <w:lang w:eastAsia="en-GB"/>
        </w:rPr>
      </w:pPr>
      <w:r w:rsidRPr="009F7A75">
        <w:rPr>
          <w:bCs/>
        </w:rPr>
        <w:t>B</w:t>
      </w:r>
      <w:r w:rsidR="00D94CDF" w:rsidRPr="009F7A75">
        <w:rPr>
          <w:bCs/>
        </w:rPr>
        <w:t xml:space="preserve">eing able to </w:t>
      </w:r>
      <w:r w:rsidR="00E944FA" w:rsidRPr="009F7A75">
        <w:rPr>
          <w:bCs/>
        </w:rPr>
        <w:t>“</w:t>
      </w:r>
      <w:r w:rsidR="00D94CDF" w:rsidRPr="009F7A75">
        <w:rPr>
          <w:bCs/>
          <w:i/>
        </w:rPr>
        <w:t>intellectualise</w:t>
      </w:r>
      <w:r w:rsidR="00E944FA" w:rsidRPr="009F7A75">
        <w:rPr>
          <w:bCs/>
          <w:i/>
        </w:rPr>
        <w:t xml:space="preserve">” </w:t>
      </w:r>
      <w:r w:rsidR="00D94CDF" w:rsidRPr="009F7A75">
        <w:rPr>
          <w:bCs/>
        </w:rPr>
        <w:t xml:space="preserve">the reasons for what a social worker does will make the social worker a </w:t>
      </w:r>
      <w:r w:rsidR="00E944FA" w:rsidRPr="009F7A75">
        <w:rPr>
          <w:bCs/>
        </w:rPr>
        <w:t>“</w:t>
      </w:r>
      <w:r w:rsidR="00D94CDF" w:rsidRPr="009F7A75">
        <w:rPr>
          <w:bCs/>
          <w:i/>
        </w:rPr>
        <w:t>better worker</w:t>
      </w:r>
      <w:r w:rsidR="00E944FA" w:rsidRPr="009F7A75">
        <w:rPr>
          <w:bCs/>
          <w:i/>
        </w:rPr>
        <w:t xml:space="preserve">”. </w:t>
      </w:r>
      <w:r w:rsidRPr="009F7A75">
        <w:rPr>
          <w:bCs/>
        </w:rPr>
        <w:t xml:space="preserve"> B</w:t>
      </w:r>
      <w:r w:rsidR="00D94CDF" w:rsidRPr="009F7A75">
        <w:rPr>
          <w:bCs/>
        </w:rPr>
        <w:t xml:space="preserve">eing able to provide a theoretical justification to an intervention will enable the social worker to advocate on behalf of a service user in a </w:t>
      </w:r>
      <w:r w:rsidR="00DD0232" w:rsidRPr="009F7A75">
        <w:rPr>
          <w:bCs/>
        </w:rPr>
        <w:t>more successful way (academic</w:t>
      </w:r>
      <w:r w:rsidR="00D94CDF" w:rsidRPr="009F7A75">
        <w:rPr>
          <w:bCs/>
        </w:rPr>
        <w:t xml:space="preserve">).  </w:t>
      </w:r>
    </w:p>
    <w:p w14:paraId="5B42F8B8" w14:textId="77777777" w:rsidR="008D4983" w:rsidRPr="009F7A75" w:rsidRDefault="008D4983" w:rsidP="004A3588">
      <w:pPr>
        <w:spacing w:line="240" w:lineRule="auto"/>
        <w:rPr>
          <w:rFonts w:eastAsia="Times New Roman"/>
          <w:lang w:eastAsia="en-GB"/>
        </w:rPr>
      </w:pPr>
    </w:p>
    <w:p w14:paraId="334CA25B" w14:textId="77777777" w:rsidR="008D4983" w:rsidRPr="009F7A75" w:rsidRDefault="00736B4F" w:rsidP="004A3588">
      <w:pPr>
        <w:spacing w:line="240" w:lineRule="auto"/>
        <w:rPr>
          <w:rFonts w:eastAsia="Times New Roman"/>
          <w:b/>
          <w:sz w:val="28"/>
          <w:szCs w:val="28"/>
          <w:lang w:eastAsia="en-GB"/>
        </w:rPr>
      </w:pPr>
      <w:r w:rsidRPr="009F7A75">
        <w:rPr>
          <w:rFonts w:eastAsia="Times New Roman"/>
          <w:b/>
          <w:sz w:val="28"/>
          <w:szCs w:val="28"/>
          <w:lang w:eastAsia="en-GB"/>
        </w:rPr>
        <w:t>An example of conflict</w:t>
      </w:r>
      <w:r w:rsidR="008D4983" w:rsidRPr="009F7A75">
        <w:rPr>
          <w:rFonts w:eastAsia="Times New Roman"/>
          <w:b/>
          <w:sz w:val="28"/>
          <w:szCs w:val="28"/>
          <w:lang w:eastAsia="en-GB"/>
        </w:rPr>
        <w:t xml:space="preserve"> of expectations</w:t>
      </w:r>
      <w:r w:rsidR="00E749D4" w:rsidRPr="009F7A75">
        <w:rPr>
          <w:rFonts w:eastAsia="Times New Roman"/>
          <w:b/>
          <w:sz w:val="28"/>
          <w:szCs w:val="28"/>
          <w:lang w:eastAsia="en-GB"/>
        </w:rPr>
        <w:t xml:space="preserve"> and the risks of failing</w:t>
      </w:r>
    </w:p>
    <w:p w14:paraId="1DFD4C09" w14:textId="77777777" w:rsidR="008E7DF1" w:rsidRPr="009F7A75" w:rsidRDefault="00736B4F" w:rsidP="004A3588">
      <w:pPr>
        <w:spacing w:line="240" w:lineRule="auto"/>
        <w:rPr>
          <w:rFonts w:eastAsia="Times New Roman"/>
          <w:lang w:eastAsia="en-GB"/>
        </w:rPr>
      </w:pPr>
      <w:r w:rsidRPr="009F7A75">
        <w:rPr>
          <w:rFonts w:eastAsia="Times New Roman"/>
          <w:lang w:eastAsia="en-GB"/>
        </w:rPr>
        <w:t xml:space="preserve">One of the students recounted a story of a fellow student who had to deal with </w:t>
      </w:r>
      <w:r w:rsidR="001B7846" w:rsidRPr="009F7A75">
        <w:rPr>
          <w:rFonts w:eastAsia="Times New Roman"/>
          <w:lang w:eastAsia="en-GB"/>
        </w:rPr>
        <w:t>a disgruntled</w:t>
      </w:r>
      <w:r w:rsidR="008E7DF1" w:rsidRPr="009F7A75">
        <w:rPr>
          <w:rFonts w:eastAsia="Times New Roman"/>
          <w:lang w:eastAsia="en-GB"/>
        </w:rPr>
        <w:t xml:space="preserve"> service user:</w:t>
      </w:r>
    </w:p>
    <w:p w14:paraId="195AB9FB" w14:textId="77777777" w:rsidR="008E7DF1" w:rsidRPr="009F7A75" w:rsidRDefault="008E7DF1" w:rsidP="004A3588">
      <w:pPr>
        <w:spacing w:line="240" w:lineRule="auto"/>
        <w:ind w:left="720"/>
      </w:pPr>
      <w:r w:rsidRPr="009F7A75">
        <w:rPr>
          <w:i/>
        </w:rPr>
        <w:t>“He was trying to stop them from going back into the office and raising hell. He thought it would stop him from damaging his own prospects and stop a big issue and thirdly he’s going to do things the right way which will empower him in the future. One</w:t>
      </w:r>
      <w:r w:rsidR="00223E61" w:rsidRPr="009F7A75">
        <w:rPr>
          <w:i/>
        </w:rPr>
        <w:t xml:space="preserve"> week later </w:t>
      </w:r>
      <w:r w:rsidRPr="009F7A75">
        <w:rPr>
          <w:i/>
        </w:rPr>
        <w:t>the social worker tapped him on the shoulder and said ‘We don’t encourage making complaints’.”</w:t>
      </w:r>
      <w:r w:rsidRPr="009F7A75">
        <w:t xml:space="preserve"> (</w:t>
      </w:r>
      <w:proofErr w:type="gramStart"/>
      <w:r w:rsidR="00DD0232" w:rsidRPr="009F7A75">
        <w:t>student</w:t>
      </w:r>
      <w:proofErr w:type="gramEnd"/>
      <w:r w:rsidRPr="009F7A75">
        <w:t>)</w:t>
      </w:r>
    </w:p>
    <w:p w14:paraId="489D9B50" w14:textId="77777777" w:rsidR="000D7355" w:rsidRPr="009F7A75" w:rsidRDefault="00EE6F0F" w:rsidP="004A3588">
      <w:pPr>
        <w:spacing w:line="240" w:lineRule="auto"/>
        <w:rPr>
          <w:rFonts w:eastAsia="Times New Roman"/>
          <w:lang w:eastAsia="en-GB"/>
        </w:rPr>
      </w:pPr>
      <w:r w:rsidRPr="009F7A75">
        <w:t>The student acted to empower the service user</w:t>
      </w:r>
      <w:r w:rsidR="000D7355" w:rsidRPr="009F7A75">
        <w:t xml:space="preserve"> as part of the professional expectation of improving people’s lives. By providing the service user with information about the complaints procedures, the student hoped the service use would not cause an incident in the office, which was not in the service user’s interests. Also, the student was making use of theory (empowerment) to decide on an intervention. </w:t>
      </w:r>
    </w:p>
    <w:p w14:paraId="615C30B1" w14:textId="77777777" w:rsidR="000D7355" w:rsidRPr="009F7A75" w:rsidRDefault="001D3282" w:rsidP="004A3588">
      <w:pPr>
        <w:spacing w:line="240" w:lineRule="auto"/>
        <w:rPr>
          <w:rFonts w:eastAsia="Times New Roman"/>
          <w:lang w:eastAsia="en-GB"/>
        </w:rPr>
      </w:pPr>
      <w:r w:rsidRPr="009F7A75">
        <w:rPr>
          <w:rFonts w:eastAsia="Times New Roman"/>
          <w:lang w:eastAsia="en-GB"/>
        </w:rPr>
        <w:t xml:space="preserve">However, the response from the social worker was to warn the student that the organisational expectation was not to encourage complaints.  Challenging bad practice is not necessarily promoted within organisations despite professional expectations on empowerment and service users’ rights. </w:t>
      </w:r>
    </w:p>
    <w:p w14:paraId="28C4CDF8" w14:textId="77777777" w:rsidR="000D7355" w:rsidRPr="009F7A75" w:rsidRDefault="001D3282" w:rsidP="004A3588">
      <w:pPr>
        <w:spacing w:line="240" w:lineRule="auto"/>
        <w:rPr>
          <w:rFonts w:eastAsia="Times New Roman"/>
          <w:lang w:eastAsia="en-GB"/>
        </w:rPr>
      </w:pPr>
      <w:r w:rsidRPr="009F7A75">
        <w:rPr>
          <w:rFonts w:eastAsia="Times New Roman"/>
          <w:lang w:eastAsia="en-GB"/>
        </w:rPr>
        <w:t>I</w:t>
      </w:r>
      <w:r w:rsidR="00287CBF" w:rsidRPr="009F7A75">
        <w:rPr>
          <w:rFonts w:eastAsia="Times New Roman"/>
          <w:lang w:eastAsia="en-GB"/>
        </w:rPr>
        <w:t>f a student dares to raises issu</w:t>
      </w:r>
      <w:r w:rsidRPr="009F7A75">
        <w:rPr>
          <w:rFonts w:eastAsia="Times New Roman"/>
          <w:lang w:eastAsia="en-GB"/>
        </w:rPr>
        <w:t>es, there is a fear among them that there may be a</w:t>
      </w:r>
      <w:r w:rsidR="00287CBF" w:rsidRPr="009F7A75">
        <w:rPr>
          <w:rFonts w:eastAsia="Times New Roman"/>
          <w:lang w:eastAsia="en-GB"/>
        </w:rPr>
        <w:t xml:space="preserve">n </w:t>
      </w:r>
      <w:r w:rsidR="0082224A" w:rsidRPr="009F7A75">
        <w:rPr>
          <w:rFonts w:eastAsia="Times New Roman"/>
          <w:lang w:eastAsia="en-GB"/>
        </w:rPr>
        <w:t>adverse effect</w:t>
      </w:r>
      <w:r w:rsidRPr="009F7A75">
        <w:rPr>
          <w:rFonts w:eastAsia="Times New Roman"/>
          <w:lang w:eastAsia="en-GB"/>
        </w:rPr>
        <w:t xml:space="preserve"> on their passing their placement</w:t>
      </w:r>
      <w:r w:rsidR="000D7355" w:rsidRPr="009F7A75">
        <w:rPr>
          <w:rFonts w:eastAsia="Times New Roman"/>
          <w:lang w:eastAsia="en-GB"/>
        </w:rPr>
        <w:t xml:space="preserve">s or obtaining a good reference: </w:t>
      </w:r>
    </w:p>
    <w:p w14:paraId="211E6A81" w14:textId="77777777" w:rsidR="000D7355" w:rsidRPr="009F7A75" w:rsidRDefault="000D7355" w:rsidP="004A3588">
      <w:pPr>
        <w:spacing w:line="240" w:lineRule="auto"/>
      </w:pPr>
      <w:r w:rsidRPr="009F7A75">
        <w:rPr>
          <w:i/>
        </w:rPr>
        <w:t>“To come in to a place and challenge bad practice</w:t>
      </w:r>
      <w:r w:rsidR="00E944FA" w:rsidRPr="009F7A75">
        <w:rPr>
          <w:i/>
        </w:rPr>
        <w:t xml:space="preserve"> is a bit naïve</w:t>
      </w:r>
      <w:r w:rsidRPr="009F7A75">
        <w:rPr>
          <w:i/>
        </w:rPr>
        <w:t>.”</w:t>
      </w:r>
      <w:r w:rsidR="00DD0232" w:rsidRPr="009F7A75">
        <w:t xml:space="preserve">  (</w:t>
      </w:r>
      <w:proofErr w:type="gramStart"/>
      <w:r w:rsidR="00DD0232" w:rsidRPr="009F7A75">
        <w:t>student</w:t>
      </w:r>
      <w:proofErr w:type="gramEnd"/>
      <w:r w:rsidRPr="009F7A75">
        <w:t>)</w:t>
      </w:r>
    </w:p>
    <w:p w14:paraId="26E88E50" w14:textId="77777777" w:rsidR="000D7355" w:rsidRPr="009F7A75" w:rsidRDefault="000D7355" w:rsidP="004A3588">
      <w:pPr>
        <w:spacing w:line="240" w:lineRule="auto"/>
        <w:rPr>
          <w:rFonts w:eastAsia="Times New Roman"/>
          <w:lang w:eastAsia="en-GB"/>
        </w:rPr>
      </w:pPr>
    </w:p>
    <w:p w14:paraId="42A8566C" w14:textId="77777777" w:rsidR="001D3282" w:rsidRPr="009F7A75" w:rsidRDefault="000D7355" w:rsidP="004A3588">
      <w:pPr>
        <w:spacing w:line="240" w:lineRule="auto"/>
        <w:rPr>
          <w:rFonts w:eastAsia="Times New Roman"/>
          <w:lang w:eastAsia="en-GB"/>
        </w:rPr>
      </w:pPr>
      <w:r w:rsidRPr="009F7A75">
        <w:rPr>
          <w:rFonts w:eastAsia="Times New Roman"/>
          <w:lang w:eastAsia="en-GB"/>
        </w:rPr>
        <w:lastRenderedPageBreak/>
        <w:t>T</w:t>
      </w:r>
      <w:r w:rsidR="00287CBF" w:rsidRPr="009F7A75">
        <w:rPr>
          <w:rFonts w:eastAsia="Times New Roman"/>
          <w:lang w:eastAsia="en-GB"/>
        </w:rPr>
        <w:t xml:space="preserve">he university may promote challenging oppression or bad practice, but, in reality, </w:t>
      </w:r>
      <w:r w:rsidR="001B7846" w:rsidRPr="009F7A75">
        <w:rPr>
          <w:rFonts w:eastAsia="Times New Roman"/>
          <w:lang w:eastAsia="en-GB"/>
        </w:rPr>
        <w:t>students</w:t>
      </w:r>
      <w:r w:rsidR="00287CBF" w:rsidRPr="009F7A75">
        <w:rPr>
          <w:rFonts w:eastAsia="Times New Roman"/>
          <w:lang w:eastAsia="en-GB"/>
        </w:rPr>
        <w:t xml:space="preserve"> may be confronted with being removed from the placement</w:t>
      </w:r>
      <w:r w:rsidR="001B7846" w:rsidRPr="009F7A75">
        <w:rPr>
          <w:rFonts w:eastAsia="Times New Roman"/>
          <w:lang w:eastAsia="en-GB"/>
        </w:rPr>
        <w:t xml:space="preserve"> precisely because they take seriously what they have been taught about their professional roles and values</w:t>
      </w:r>
      <w:r w:rsidR="0099608C" w:rsidRPr="009F7A75">
        <w:rPr>
          <w:rFonts w:eastAsia="Times New Roman"/>
          <w:lang w:eastAsia="en-GB"/>
        </w:rPr>
        <w:t>:</w:t>
      </w:r>
    </w:p>
    <w:p w14:paraId="4F085263" w14:textId="77777777" w:rsidR="0099608C" w:rsidRPr="009F7A75" w:rsidRDefault="0099608C" w:rsidP="004A3588">
      <w:pPr>
        <w:tabs>
          <w:tab w:val="left" w:pos="2694"/>
        </w:tabs>
        <w:spacing w:line="240" w:lineRule="auto"/>
        <w:ind w:left="720"/>
      </w:pPr>
      <w:r w:rsidRPr="009F7A75">
        <w:rPr>
          <w:i/>
        </w:rPr>
        <w:t xml:space="preserve">“What we learn in university we learn to challenge [murmurs of agreement from other students] so we are prepared to challenge that person, challenge oppression. But what are we portraying in reality? Does it help much to challenge and change policies? I know a lot of people have had problems in challenging and then they say </w:t>
      </w:r>
      <w:r w:rsidR="0034298A" w:rsidRPr="009F7A75">
        <w:rPr>
          <w:i/>
        </w:rPr>
        <w:t xml:space="preserve">they </w:t>
      </w:r>
      <w:r w:rsidRPr="009F7A75">
        <w:rPr>
          <w:i/>
        </w:rPr>
        <w:t>don’t what you in placement.</w:t>
      </w:r>
      <w:r w:rsidR="00E944FA" w:rsidRPr="009F7A75">
        <w:rPr>
          <w:i/>
        </w:rPr>
        <w:t>”</w:t>
      </w:r>
      <w:r w:rsidR="00DD0232" w:rsidRPr="009F7A75">
        <w:t xml:space="preserve"> (</w:t>
      </w:r>
      <w:proofErr w:type="gramStart"/>
      <w:r w:rsidR="00DD0232" w:rsidRPr="009F7A75">
        <w:t>student</w:t>
      </w:r>
      <w:proofErr w:type="gramEnd"/>
      <w:r w:rsidRPr="009F7A75">
        <w:t>)</w:t>
      </w:r>
    </w:p>
    <w:p w14:paraId="0D4D820D" w14:textId="77777777" w:rsidR="00E944FA" w:rsidRPr="009F7A75" w:rsidRDefault="00E944FA" w:rsidP="004A3588">
      <w:pPr>
        <w:spacing w:line="240" w:lineRule="auto"/>
        <w:rPr>
          <w:rFonts w:eastAsia="Times New Roman"/>
          <w:lang w:eastAsia="en-GB"/>
        </w:rPr>
      </w:pPr>
    </w:p>
    <w:p w14:paraId="7182D747" w14:textId="77777777" w:rsidR="000C47ED" w:rsidRPr="009F7A75" w:rsidRDefault="000C47ED" w:rsidP="004A3588">
      <w:pPr>
        <w:spacing w:line="240" w:lineRule="auto"/>
        <w:rPr>
          <w:rFonts w:eastAsia="Times New Roman"/>
          <w:b/>
          <w:sz w:val="28"/>
          <w:szCs w:val="28"/>
          <w:lang w:eastAsia="en-GB"/>
        </w:rPr>
      </w:pPr>
    </w:p>
    <w:p w14:paraId="4389C597" w14:textId="77777777" w:rsidR="001D3282" w:rsidRPr="009F7A75" w:rsidRDefault="006B26C5" w:rsidP="004A3588">
      <w:pPr>
        <w:spacing w:line="240" w:lineRule="auto"/>
        <w:rPr>
          <w:rFonts w:eastAsia="Times New Roman"/>
          <w:b/>
          <w:sz w:val="28"/>
          <w:szCs w:val="28"/>
          <w:lang w:eastAsia="en-GB"/>
        </w:rPr>
      </w:pPr>
      <w:r w:rsidRPr="009F7A75">
        <w:rPr>
          <w:rFonts w:eastAsia="Times New Roman"/>
          <w:b/>
          <w:sz w:val="28"/>
          <w:szCs w:val="28"/>
          <w:lang w:eastAsia="en-GB"/>
        </w:rPr>
        <w:t>Discussion of results</w:t>
      </w:r>
    </w:p>
    <w:p w14:paraId="176E0301" w14:textId="77777777" w:rsidR="00547B63" w:rsidRPr="009F7A75" w:rsidRDefault="0058105F" w:rsidP="004A3588">
      <w:pPr>
        <w:spacing w:line="240" w:lineRule="auto"/>
        <w:rPr>
          <w:rFonts w:eastAsia="Times New Roman"/>
          <w:lang w:eastAsia="en-GB"/>
        </w:rPr>
      </w:pPr>
      <w:r w:rsidRPr="009F7A75">
        <w:rPr>
          <w:rFonts w:eastAsia="Times New Roman"/>
          <w:lang w:eastAsia="en-GB"/>
        </w:rPr>
        <w:t>There is nothing new about the claim there is too much expected of social work and social worke</w:t>
      </w:r>
      <w:r w:rsidR="000C47ED" w:rsidRPr="009F7A75">
        <w:rPr>
          <w:rFonts w:eastAsia="Times New Roman"/>
          <w:lang w:eastAsia="en-GB"/>
        </w:rPr>
        <w:t>rs (Barclay Report, 1982</w:t>
      </w:r>
      <w:r w:rsidRPr="009F7A75">
        <w:rPr>
          <w:rFonts w:eastAsia="Times New Roman"/>
          <w:lang w:eastAsia="en-GB"/>
        </w:rPr>
        <w:t>)</w:t>
      </w:r>
      <w:r w:rsidR="00547B63" w:rsidRPr="009F7A75">
        <w:rPr>
          <w:rFonts w:eastAsia="Times New Roman"/>
          <w:lang w:eastAsia="en-GB"/>
        </w:rPr>
        <w:t xml:space="preserve">. </w:t>
      </w:r>
      <w:r w:rsidR="00852EA8" w:rsidRPr="009F7A75">
        <w:rPr>
          <w:rFonts w:eastAsia="Times New Roman"/>
          <w:lang w:eastAsia="en-GB"/>
        </w:rPr>
        <w:t xml:space="preserve">However, </w:t>
      </w:r>
      <w:r w:rsidR="000F3FF6" w:rsidRPr="009F7A75">
        <w:rPr>
          <w:rFonts w:eastAsia="Times New Roman"/>
          <w:lang w:eastAsia="en-GB"/>
        </w:rPr>
        <w:t xml:space="preserve">it </w:t>
      </w:r>
      <w:r w:rsidR="00DD4BB4" w:rsidRPr="009F7A75">
        <w:rPr>
          <w:rFonts w:eastAsia="Times New Roman"/>
          <w:lang w:eastAsia="en-GB"/>
        </w:rPr>
        <w:t>is</w:t>
      </w:r>
      <w:r w:rsidR="000F3FF6" w:rsidRPr="009F7A75">
        <w:rPr>
          <w:rFonts w:eastAsia="Times New Roman"/>
          <w:lang w:eastAsia="en-GB"/>
        </w:rPr>
        <w:t xml:space="preserve"> suggested that the expectations of students as expounded in this study are overly demanding and </w:t>
      </w:r>
      <w:r w:rsidR="00125E2F" w:rsidRPr="009F7A75">
        <w:rPr>
          <w:rFonts w:eastAsia="Times New Roman"/>
          <w:lang w:eastAsia="en-GB"/>
        </w:rPr>
        <w:t>contradictory.</w:t>
      </w:r>
      <w:r w:rsidR="002D6EE2" w:rsidRPr="009F7A75">
        <w:rPr>
          <w:rFonts w:eastAsia="Times New Roman"/>
          <w:lang w:eastAsia="en-GB"/>
        </w:rPr>
        <w:t xml:space="preserve"> </w:t>
      </w:r>
      <w:r w:rsidR="00547B63" w:rsidRPr="009F7A75">
        <w:rPr>
          <w:rFonts w:eastAsia="Times New Roman"/>
          <w:lang w:eastAsia="en-GB"/>
        </w:rPr>
        <w:t>Organisational and professional expectations contrast and conflict with each other. The themes arising from this paper may even contribute to the suggestion that there is a</w:t>
      </w:r>
      <w:r w:rsidR="0090441E" w:rsidRPr="009F7A75">
        <w:rPr>
          <w:rFonts w:eastAsia="Times New Roman"/>
          <w:lang w:eastAsia="en-GB"/>
        </w:rPr>
        <w:t>t present a</w:t>
      </w:r>
      <w:r w:rsidR="00547B63" w:rsidRPr="009F7A75">
        <w:rPr>
          <w:rFonts w:eastAsia="Times New Roman"/>
          <w:lang w:eastAsia="en-GB"/>
        </w:rPr>
        <w:t xml:space="preserve"> </w:t>
      </w:r>
      <w:r w:rsidR="009E5127" w:rsidRPr="009F7A75">
        <w:rPr>
          <w:rFonts w:eastAsia="Times New Roman"/>
          <w:lang w:eastAsia="en-GB"/>
        </w:rPr>
        <w:t xml:space="preserve">debate or struggle about the nature of social </w:t>
      </w:r>
      <w:r w:rsidR="0082224A" w:rsidRPr="009F7A75">
        <w:rPr>
          <w:rFonts w:eastAsia="Times New Roman"/>
          <w:lang w:eastAsia="en-GB"/>
        </w:rPr>
        <w:t>work (</w:t>
      </w:r>
      <w:r w:rsidR="009E5127" w:rsidRPr="009F7A75">
        <w:rPr>
          <w:rFonts w:eastAsia="Times New Roman"/>
          <w:lang w:eastAsia="en-GB"/>
        </w:rPr>
        <w:t xml:space="preserve">Author’s own, 2015). </w:t>
      </w:r>
      <w:r w:rsidR="0090441E" w:rsidRPr="009F7A75">
        <w:rPr>
          <w:rFonts w:eastAsia="Times New Roman"/>
        </w:rPr>
        <w:t>If social work is reduced to a routine type of bureaucracy or r</w:t>
      </w:r>
      <w:r w:rsidR="0090441E" w:rsidRPr="009F7A75">
        <w:rPr>
          <w:rFonts w:eastAsia="Times New Roman"/>
          <w:i/>
        </w:rPr>
        <w:t xml:space="preserve">obotic </w:t>
      </w:r>
      <w:r w:rsidR="009E5127" w:rsidRPr="009F7A75">
        <w:rPr>
          <w:rFonts w:eastAsia="Times New Roman"/>
        </w:rPr>
        <w:t>(student</w:t>
      </w:r>
      <w:r w:rsidR="000F0C41" w:rsidRPr="009F7A75">
        <w:rPr>
          <w:rFonts w:eastAsia="Times New Roman"/>
        </w:rPr>
        <w:t>)</w:t>
      </w:r>
      <w:r w:rsidR="000F0C41" w:rsidRPr="009F7A75">
        <w:rPr>
          <w:rFonts w:eastAsia="Times New Roman"/>
          <w:i/>
        </w:rPr>
        <w:t xml:space="preserve"> </w:t>
      </w:r>
      <w:r w:rsidR="0090441E" w:rsidRPr="009F7A75">
        <w:rPr>
          <w:rFonts w:eastAsia="Times New Roman"/>
        </w:rPr>
        <w:t>activity the knowledge base of social work becomes irrelevant (Singh and Cowden, 2009).</w:t>
      </w:r>
    </w:p>
    <w:p w14:paraId="72760C56" w14:textId="3366BB11" w:rsidR="00370DAA" w:rsidRPr="009F7A75" w:rsidRDefault="0090441E" w:rsidP="00547B63">
      <w:pPr>
        <w:spacing w:line="240" w:lineRule="auto"/>
      </w:pPr>
      <w:r w:rsidRPr="009F7A75">
        <w:rPr>
          <w:rFonts w:eastAsia="Times New Roman"/>
          <w:lang w:eastAsia="en-GB"/>
        </w:rPr>
        <w:t xml:space="preserve"> </w:t>
      </w:r>
      <w:r w:rsidR="00804C87" w:rsidRPr="009F7A75">
        <w:rPr>
          <w:rFonts w:eastAsia="Times New Roman"/>
          <w:lang w:eastAsia="en-GB"/>
        </w:rPr>
        <w:t>Lack of clarity and competing understandings of expectations have been explored in other professions (Phillips et al., 1996a; 1996b; Watson, 1999</w:t>
      </w:r>
      <w:r w:rsidR="009407CB" w:rsidRPr="009F7A75">
        <w:rPr>
          <w:rFonts w:eastAsia="Times New Roman"/>
          <w:lang w:eastAsia="en-GB"/>
        </w:rPr>
        <w:t>; Bray and Nettleton, 2007</w:t>
      </w:r>
      <w:r w:rsidR="00804C87" w:rsidRPr="009F7A75">
        <w:rPr>
          <w:rFonts w:eastAsia="Times New Roman"/>
          <w:lang w:eastAsia="en-GB"/>
        </w:rPr>
        <w:t>).</w:t>
      </w:r>
      <w:r w:rsidR="00547B63" w:rsidRPr="009F7A75">
        <w:rPr>
          <w:rFonts w:eastAsia="Times New Roman"/>
          <w:lang w:eastAsia="en-GB"/>
        </w:rPr>
        <w:t xml:space="preserve"> </w:t>
      </w:r>
      <w:r w:rsidR="00281A07" w:rsidRPr="009F7A75">
        <w:rPr>
          <w:rFonts w:eastAsia="Times New Roman"/>
          <w:lang w:eastAsia="en-GB"/>
        </w:rPr>
        <w:t>The organisation</w:t>
      </w:r>
      <w:r w:rsidR="00543BF4" w:rsidRPr="009F7A75">
        <w:rPr>
          <w:rFonts w:eastAsia="Times New Roman"/>
          <w:lang w:eastAsia="en-GB"/>
        </w:rPr>
        <w:t>al</w:t>
      </w:r>
      <w:r w:rsidR="00281A07" w:rsidRPr="009F7A75">
        <w:rPr>
          <w:rFonts w:eastAsia="Times New Roman"/>
          <w:lang w:eastAsia="en-GB"/>
        </w:rPr>
        <w:t xml:space="preserve"> expectations of students</w:t>
      </w:r>
      <w:r w:rsidR="000F0C41" w:rsidRPr="009F7A75">
        <w:rPr>
          <w:rFonts w:eastAsia="Times New Roman"/>
          <w:lang w:eastAsia="en-GB"/>
        </w:rPr>
        <w:t xml:space="preserve"> in this paper</w:t>
      </w:r>
      <w:r w:rsidR="00281A07" w:rsidRPr="009F7A75">
        <w:rPr>
          <w:rFonts w:eastAsia="Times New Roman"/>
          <w:lang w:eastAsia="en-GB"/>
        </w:rPr>
        <w:t xml:space="preserve"> are centred on the </w:t>
      </w:r>
      <w:r w:rsidR="00543BF4" w:rsidRPr="009F7A75">
        <w:rPr>
          <w:rFonts w:eastAsia="Times New Roman"/>
          <w:lang w:eastAsia="en-GB"/>
        </w:rPr>
        <w:t>performance</w:t>
      </w:r>
      <w:r w:rsidR="00543BF4" w:rsidRPr="009F7A75">
        <w:rPr>
          <w:rFonts w:eastAsia="Times New Roman"/>
          <w:i/>
          <w:lang w:eastAsia="en-GB"/>
        </w:rPr>
        <w:t xml:space="preserve"> </w:t>
      </w:r>
      <w:r w:rsidR="00543BF4" w:rsidRPr="009F7A75">
        <w:rPr>
          <w:rFonts w:eastAsia="Times New Roman"/>
          <w:lang w:eastAsia="en-GB"/>
        </w:rPr>
        <w:t>(Ball, 2004) of tasks determined by agency requirements. These activities are described as repetitive</w:t>
      </w:r>
      <w:r w:rsidR="00370DAA" w:rsidRPr="009F7A75">
        <w:rPr>
          <w:rFonts w:eastAsia="Times New Roman"/>
          <w:lang w:eastAsia="en-GB"/>
        </w:rPr>
        <w:t xml:space="preserve">, bureaucratic and overly demanding.  </w:t>
      </w:r>
      <w:r w:rsidR="00370DAA" w:rsidRPr="009F7A75">
        <w:t xml:space="preserve">Increasingly social work is portrayed as a </w:t>
      </w:r>
      <w:proofErr w:type="spellStart"/>
      <w:r w:rsidR="00370DAA" w:rsidRPr="009F7A75">
        <w:t>routinised</w:t>
      </w:r>
      <w:proofErr w:type="spellEnd"/>
      <w:r w:rsidR="00370DAA" w:rsidRPr="009F7A75">
        <w:t xml:space="preserve"> role (</w:t>
      </w:r>
      <w:proofErr w:type="spellStart"/>
      <w:r w:rsidR="00C36A03" w:rsidRPr="009F7A75">
        <w:t>Broadhurst</w:t>
      </w:r>
      <w:proofErr w:type="spellEnd"/>
      <w:r w:rsidR="00C36A03" w:rsidRPr="009F7A75">
        <w:t xml:space="preserve"> et al, 2010</w:t>
      </w:r>
      <w:r w:rsidR="00370DAA" w:rsidRPr="009F7A75">
        <w:t>).  A number of studies have undertaken research on the</w:t>
      </w:r>
      <w:r w:rsidR="00605F77" w:rsidRPr="009F7A75">
        <w:t xml:space="preserve"> use of standardised assessment</w:t>
      </w:r>
      <w:r w:rsidR="00370DAA" w:rsidRPr="009F7A75">
        <w:t xml:space="preserve"> form</w:t>
      </w:r>
      <w:r w:rsidR="00605F77" w:rsidRPr="009F7A75">
        <w:t>s</w:t>
      </w:r>
      <w:r w:rsidR="00370DAA" w:rsidRPr="009F7A75">
        <w:t xml:space="preserve"> in children and families social work (</w:t>
      </w:r>
      <w:r w:rsidR="00C36A03" w:rsidRPr="009F7A75">
        <w:t xml:space="preserve">White et al, 2009; </w:t>
      </w:r>
      <w:proofErr w:type="spellStart"/>
      <w:r w:rsidR="00370DAA" w:rsidRPr="009F7A75">
        <w:t>Broadhurst</w:t>
      </w:r>
      <w:proofErr w:type="spellEnd"/>
      <w:r w:rsidR="00370DAA" w:rsidRPr="009F7A75">
        <w:t xml:space="preserve"> et al,</w:t>
      </w:r>
      <w:r w:rsidR="00255524" w:rsidRPr="009F7A75">
        <w:t xml:space="preserve"> 2010</w:t>
      </w:r>
      <w:r w:rsidR="00A40746" w:rsidRPr="009F7A75">
        <w:t>;</w:t>
      </w:r>
      <w:r w:rsidR="00370DAA" w:rsidRPr="009F7A75">
        <w:t xml:space="preserve"> Thomas and Holland, 2010). The findings indicate that professional practice is </w:t>
      </w:r>
      <w:r w:rsidR="00E944FA" w:rsidRPr="009F7A75">
        <w:t>“</w:t>
      </w:r>
      <w:r w:rsidR="00370DAA" w:rsidRPr="009F7A75">
        <w:rPr>
          <w:i/>
        </w:rPr>
        <w:t>constrained</w:t>
      </w:r>
      <w:r w:rsidR="00E944FA" w:rsidRPr="009F7A75">
        <w:rPr>
          <w:i/>
        </w:rPr>
        <w:t>”</w:t>
      </w:r>
      <w:r w:rsidR="00370DAA" w:rsidRPr="009F7A75">
        <w:rPr>
          <w:i/>
        </w:rPr>
        <w:t xml:space="preserve"> </w:t>
      </w:r>
      <w:r w:rsidR="00370DAA" w:rsidRPr="009F7A75">
        <w:t>(White et al, 2009, p. 1213) by the standardisation of assessments, which produces formulaic information</w:t>
      </w:r>
      <w:r w:rsidR="00370DAA" w:rsidRPr="009F7A75">
        <w:rPr>
          <w:i/>
        </w:rPr>
        <w:t xml:space="preserve"> </w:t>
      </w:r>
      <w:r w:rsidR="00370DAA" w:rsidRPr="009F7A75">
        <w:t>(Lash, 2002) to support electronic recording. The danger with this sort of material is that it reduces the role of the social worker to a bureaucratic transcriber of data, which is denuded of context and narrative (Lash, 2002; White et al, 2009). The complex stories of human beings, which require professional interpretation and assessment, become lists of mere information (</w:t>
      </w:r>
      <w:proofErr w:type="spellStart"/>
      <w:r w:rsidR="00370DAA" w:rsidRPr="009F7A75">
        <w:t>Aas</w:t>
      </w:r>
      <w:proofErr w:type="spellEnd"/>
      <w:r w:rsidR="00370DAA" w:rsidRPr="009F7A75">
        <w:t xml:space="preserve">, 2004). </w:t>
      </w:r>
    </w:p>
    <w:p w14:paraId="35C42A51" w14:textId="77777777" w:rsidR="00605F77" w:rsidRPr="009F7A75" w:rsidRDefault="00605F77" w:rsidP="00605F77">
      <w:pPr>
        <w:spacing w:line="240" w:lineRule="auto"/>
        <w:jc w:val="both"/>
        <w:rPr>
          <w:rFonts w:eastAsia="Times New Roman"/>
          <w:lang w:eastAsia="en-GB"/>
        </w:rPr>
      </w:pPr>
      <w:r w:rsidRPr="009F7A75">
        <w:t xml:space="preserve">Contrasting expectations are not confined to students. Research on newly qualified social workers tends to indicate that social workers continue to experience contradictory expectations in their first year of practice (Bates et al, 2010; Jack and </w:t>
      </w:r>
      <w:proofErr w:type="spellStart"/>
      <w:r w:rsidRPr="009F7A75">
        <w:t>Donnellan</w:t>
      </w:r>
      <w:proofErr w:type="spellEnd"/>
      <w:r w:rsidRPr="009F7A75">
        <w:t>, 2010).  For example, there was a sense of “</w:t>
      </w:r>
      <w:r w:rsidRPr="009F7A75">
        <w:rPr>
          <w:i/>
        </w:rPr>
        <w:t>reality shock</w:t>
      </w:r>
      <w:r w:rsidRPr="009F7A75">
        <w:t>” (Jack and Donaldson, 2010, p. 309) stemming from the confrontation between the ideals they had of social work and the realities of practice which focused on accountability and control.</w:t>
      </w:r>
      <w:r w:rsidRPr="009F7A75">
        <w:rPr>
          <w:rFonts w:ascii="Arial Narrow" w:hAnsi="Arial Narrow"/>
          <w:sz w:val="22"/>
          <w:szCs w:val="22"/>
        </w:rPr>
        <w:t xml:space="preserve">  </w:t>
      </w:r>
    </w:p>
    <w:p w14:paraId="41982EA2" w14:textId="77777777" w:rsidR="00605F77" w:rsidRPr="009F7A75" w:rsidRDefault="00605F77" w:rsidP="00605F77">
      <w:pPr>
        <w:spacing w:line="240" w:lineRule="auto"/>
        <w:jc w:val="both"/>
        <w:rPr>
          <w:rFonts w:eastAsia="Times New Roman"/>
          <w:lang w:eastAsia="en-GB"/>
        </w:rPr>
      </w:pPr>
      <w:r w:rsidRPr="009F7A75">
        <w:lastRenderedPageBreak/>
        <w:t xml:space="preserve">Assessing students on placement with contrasting expectations will inevitably affect and challenge a transparent and consistent approach to student assessment.  Lack of agreed and consistent roles and expectations are likely to result in uncertainty and anxiety about whether a student is failing (Bray and Nettleton, 2007). It may be contended that </w:t>
      </w:r>
      <w:r w:rsidRPr="009F7A75">
        <w:rPr>
          <w:rFonts w:eastAsia="Times New Roman"/>
          <w:lang w:eastAsia="en-GB"/>
        </w:rPr>
        <w:t>student failure (or non-failure) is as much a question of the roles and expectations of modern social work as a ‘problem’ of student assessment. Bray and Nettleton (2007, p. 854) make a similar point from a nursing perspective and suggest there needs to be greater understanding of expectations “</w:t>
      </w:r>
      <w:r w:rsidRPr="009F7A75">
        <w:rPr>
          <w:rFonts w:eastAsia="Times New Roman"/>
          <w:i/>
          <w:lang w:eastAsia="en-GB"/>
        </w:rPr>
        <w:t xml:space="preserve">from a wider multi-professional context”. </w:t>
      </w:r>
      <w:r w:rsidRPr="009F7A75">
        <w:rPr>
          <w:rFonts w:eastAsia="Times New Roman"/>
          <w:lang w:eastAsia="en-GB"/>
        </w:rPr>
        <w:t>Mismatched expectations are likely to lead to divergent expectations and understandings of whether students are progressing successfully on placement. The assessment process is a context based activity (</w:t>
      </w:r>
      <w:proofErr w:type="spellStart"/>
      <w:r w:rsidRPr="009F7A75">
        <w:rPr>
          <w:rFonts w:eastAsia="Times New Roman"/>
          <w:lang w:eastAsia="en-GB"/>
        </w:rPr>
        <w:t>Cowburn</w:t>
      </w:r>
      <w:proofErr w:type="spellEnd"/>
      <w:r w:rsidRPr="009F7A75">
        <w:rPr>
          <w:rFonts w:eastAsia="Times New Roman"/>
          <w:lang w:eastAsia="en-GB"/>
        </w:rPr>
        <w:t xml:space="preserve"> et al, 2000) going beyond the practice educator and student relationship and experience. Expectations underlie the context of assessment.  Offering for example, a second opinion to failing students (</w:t>
      </w:r>
      <w:proofErr w:type="spellStart"/>
      <w:r w:rsidRPr="009F7A75">
        <w:rPr>
          <w:rFonts w:eastAsia="Times New Roman"/>
          <w:lang w:eastAsia="en-GB"/>
        </w:rPr>
        <w:t>Cowburn</w:t>
      </w:r>
      <w:proofErr w:type="spellEnd"/>
      <w:r w:rsidRPr="009F7A75">
        <w:rPr>
          <w:rFonts w:eastAsia="Times New Roman"/>
          <w:lang w:eastAsia="en-GB"/>
        </w:rPr>
        <w:t xml:space="preserve"> et al, 2000; Parker, 2010) does not provide an independent or “fresh” view because the contrasting expectations in present day practice provide different approaches to the nature and quality of social work practice.  Expectations need to be explicitly articulated. The problem, however, is how practice educators can assess students against contradictory expectations.</w:t>
      </w:r>
    </w:p>
    <w:p w14:paraId="0641C217" w14:textId="77777777" w:rsidR="00B523B0" w:rsidRPr="009F7A75" w:rsidRDefault="00D020E8" w:rsidP="004A3588">
      <w:pPr>
        <w:spacing w:line="240" w:lineRule="auto"/>
        <w:jc w:val="both"/>
      </w:pPr>
      <w:r w:rsidRPr="009F7A75">
        <w:t xml:space="preserve">The Munro Review (2011) of child protection </w:t>
      </w:r>
      <w:r w:rsidR="00BE6EF1" w:rsidRPr="009F7A75">
        <w:t xml:space="preserve">explicitly acknowledges the prescriptive and procedural focus of child protection practice in England. </w:t>
      </w:r>
      <w:r w:rsidR="00B523B0" w:rsidRPr="009F7A75">
        <w:t>The report reviews a number of contradictory expectatio</w:t>
      </w:r>
      <w:r w:rsidR="00D33FD1" w:rsidRPr="009F7A75">
        <w:t>ns (</w:t>
      </w:r>
      <w:r w:rsidR="00DD0232" w:rsidRPr="009F7A75">
        <w:t>Author et al, 2016</w:t>
      </w:r>
      <w:r w:rsidR="00B523B0" w:rsidRPr="009F7A75">
        <w:t>) such as:</w:t>
      </w:r>
    </w:p>
    <w:p w14:paraId="23BF998A" w14:textId="77777777" w:rsidR="00B523B0" w:rsidRPr="009F7A75" w:rsidRDefault="00B523B0" w:rsidP="00B523B0">
      <w:pPr>
        <w:pStyle w:val="ListParagraph"/>
        <w:numPr>
          <w:ilvl w:val="0"/>
          <w:numId w:val="8"/>
        </w:numPr>
        <w:spacing w:line="240" w:lineRule="auto"/>
      </w:pPr>
      <w:r w:rsidRPr="009F7A75">
        <w:t xml:space="preserve">Bureaucracy v professional expertise; </w:t>
      </w:r>
    </w:p>
    <w:p w14:paraId="08720AEB" w14:textId="77777777" w:rsidR="00B523B0" w:rsidRPr="009F7A75" w:rsidRDefault="00B523B0" w:rsidP="00B523B0">
      <w:pPr>
        <w:pStyle w:val="ListParagraph"/>
        <w:numPr>
          <w:ilvl w:val="0"/>
          <w:numId w:val="8"/>
        </w:numPr>
        <w:spacing w:line="240" w:lineRule="auto"/>
      </w:pPr>
      <w:r w:rsidRPr="009F7A75">
        <w:t>Compliance culture v learning culture;</w:t>
      </w:r>
    </w:p>
    <w:p w14:paraId="1A198D4D" w14:textId="77777777" w:rsidR="00B523B0" w:rsidRPr="009F7A75" w:rsidRDefault="00B523B0" w:rsidP="00B523B0">
      <w:pPr>
        <w:pStyle w:val="ListParagraph"/>
        <w:numPr>
          <w:ilvl w:val="0"/>
          <w:numId w:val="8"/>
        </w:numPr>
        <w:spacing w:line="240" w:lineRule="auto"/>
      </w:pPr>
      <w:r w:rsidRPr="009F7A75">
        <w:t>Compliance v relationship-building;</w:t>
      </w:r>
    </w:p>
    <w:p w14:paraId="614E71BA" w14:textId="77777777" w:rsidR="00B523B0" w:rsidRPr="009F7A75" w:rsidRDefault="00B523B0" w:rsidP="00B523B0">
      <w:pPr>
        <w:pStyle w:val="ListParagraph"/>
        <w:numPr>
          <w:ilvl w:val="0"/>
          <w:numId w:val="8"/>
        </w:numPr>
        <w:spacing w:line="240" w:lineRule="auto"/>
      </w:pPr>
      <w:r w:rsidRPr="009F7A75">
        <w:t>Prescription v autonomy;</w:t>
      </w:r>
    </w:p>
    <w:p w14:paraId="196DD399" w14:textId="77777777" w:rsidR="00B523B0" w:rsidRPr="009F7A75" w:rsidRDefault="00B523B0" w:rsidP="00B523B0">
      <w:pPr>
        <w:pStyle w:val="ListParagraph"/>
        <w:numPr>
          <w:ilvl w:val="0"/>
          <w:numId w:val="8"/>
        </w:numPr>
        <w:spacing w:line="240" w:lineRule="auto"/>
      </w:pPr>
      <w:r w:rsidRPr="009F7A75">
        <w:t>Promotion v direct work.</w:t>
      </w:r>
    </w:p>
    <w:p w14:paraId="255B650F" w14:textId="77777777" w:rsidR="00D020E8" w:rsidRPr="009F7A75" w:rsidRDefault="00B523B0" w:rsidP="00FB3B4E">
      <w:pPr>
        <w:spacing w:line="240" w:lineRule="auto"/>
      </w:pPr>
      <w:r w:rsidRPr="009F7A75">
        <w:t>I</w:t>
      </w:r>
      <w:r w:rsidR="00605F77" w:rsidRPr="009F7A75">
        <w:t>t is suggested that the binary</w:t>
      </w:r>
      <w:r w:rsidRPr="009F7A75">
        <w:t xml:space="preserve"> oppositions identified in Munro are similar to the two contradictory expectations identified in the present paper. </w:t>
      </w:r>
      <w:r w:rsidR="00FB3B4E" w:rsidRPr="009F7A75">
        <w:t xml:space="preserve"> </w:t>
      </w:r>
      <w:r w:rsidR="00BE6EF1" w:rsidRPr="009F7A75">
        <w:t xml:space="preserve">Munro argues there should be more focus on relationship skills and direct work with service users. However, as this </w:t>
      </w:r>
      <w:r w:rsidR="007F64DE" w:rsidRPr="009F7A75">
        <w:t>paper</w:t>
      </w:r>
      <w:r w:rsidR="00BE6EF1" w:rsidRPr="009F7A75">
        <w:t xml:space="preserve"> </w:t>
      </w:r>
      <w:r w:rsidR="007F64DE" w:rsidRPr="009F7A75">
        <w:t>indicates</w:t>
      </w:r>
      <w:r w:rsidR="00BE6EF1" w:rsidRPr="009F7A75">
        <w:t xml:space="preserve">, the organisational expectations of social work are deeply engrained and may prove resistant to a move towards what this </w:t>
      </w:r>
      <w:r w:rsidR="007F64DE" w:rsidRPr="009F7A75">
        <w:t>paper</w:t>
      </w:r>
      <w:r w:rsidR="00BE6EF1" w:rsidRPr="009F7A75">
        <w:t xml:space="preserve"> calls professional expectations (Whittaker, 2011). </w:t>
      </w:r>
    </w:p>
    <w:p w14:paraId="3E40A713" w14:textId="1EFCBF6D" w:rsidR="000F0C41" w:rsidRPr="009F7A75" w:rsidRDefault="00FB3B4E" w:rsidP="00D15FD6">
      <w:pPr>
        <w:spacing w:line="240" w:lineRule="auto"/>
        <w:jc w:val="both"/>
      </w:pPr>
      <w:r w:rsidRPr="009F7A75">
        <w:rPr>
          <w:rFonts w:eastAsia="Times New Roman"/>
          <w:lang w:eastAsia="en-GB"/>
        </w:rPr>
        <w:t xml:space="preserve">The Social Work Reform Board has attempted to re-invigorate the professional integrity of social work by reviewing social work from prequalifying </w:t>
      </w:r>
      <w:r w:rsidR="00033D77" w:rsidRPr="009F7A75">
        <w:rPr>
          <w:rFonts w:eastAsia="Times New Roman"/>
          <w:lang w:eastAsia="en-GB"/>
        </w:rPr>
        <w:t xml:space="preserve">to </w:t>
      </w:r>
      <w:r w:rsidRPr="009F7A75">
        <w:rPr>
          <w:rFonts w:eastAsia="Times New Roman"/>
          <w:lang w:eastAsia="en-GB"/>
        </w:rPr>
        <w:t xml:space="preserve">post qualifying training and practice. </w:t>
      </w:r>
      <w:r w:rsidR="00010E77" w:rsidRPr="009F7A75">
        <w:rPr>
          <w:rFonts w:eastAsia="Times New Roman"/>
          <w:lang w:eastAsia="en-GB"/>
        </w:rPr>
        <w:t xml:space="preserve">The descriptors for students on placements and at the point of qualification refer to students gradually obtaining and applying to practice the knowledge, skills and values” </w:t>
      </w:r>
      <w:r w:rsidR="00010E77" w:rsidRPr="009F7A75">
        <w:t>of social work</w:t>
      </w:r>
      <w:r w:rsidR="00A40746" w:rsidRPr="009F7A75">
        <w:t xml:space="preserve">. </w:t>
      </w:r>
      <w:r w:rsidR="00D15FD6" w:rsidRPr="009F7A75">
        <w:t>The findings from this paper sugge</w:t>
      </w:r>
      <w:r w:rsidR="004F6018" w:rsidRPr="009F7A75">
        <w:t>st that applying knowledge</w:t>
      </w:r>
      <w:r w:rsidR="000F0C41" w:rsidRPr="009F7A75">
        <w:t>,</w:t>
      </w:r>
      <w:r w:rsidR="004F6018" w:rsidRPr="009F7A75">
        <w:t xml:space="preserve"> skills and values in practice may prove problematic for as long as there remains contrasting expectations of </w:t>
      </w:r>
      <w:r w:rsidR="00010E77" w:rsidRPr="009F7A75">
        <w:t>students</w:t>
      </w:r>
      <w:r w:rsidR="000F0C41" w:rsidRPr="009F7A75">
        <w:t xml:space="preserve">. </w:t>
      </w:r>
    </w:p>
    <w:p w14:paraId="51564756" w14:textId="0B7C06B6" w:rsidR="006B2B13" w:rsidRPr="009F7A75" w:rsidRDefault="000F0C41" w:rsidP="004A3588">
      <w:pPr>
        <w:spacing w:line="240" w:lineRule="auto"/>
        <w:rPr>
          <w:bCs/>
        </w:rPr>
      </w:pPr>
      <w:r w:rsidRPr="009F7A75">
        <w:rPr>
          <w:bCs/>
        </w:rPr>
        <w:t>Together the Munro Review and the Social Work Reform Board argue for a more professional approach to social work, meaning a greater focus on knowledge, skills and values, including the development of direct relationship based skills.  A contrast may be drawn between the two reports. The Munro Review contains detailed analysis but relatively vague and limited proposals</w:t>
      </w:r>
      <w:r w:rsidR="000036E8" w:rsidRPr="009F7A75">
        <w:rPr>
          <w:bCs/>
        </w:rPr>
        <w:t xml:space="preserve">. The Social Work Reform Board is full of recommendations but short on analysis and explanation of its recommendations. It remains to be seen whether the combination of Munro’s </w:t>
      </w:r>
      <w:r w:rsidR="000036E8" w:rsidRPr="009F7A75">
        <w:rPr>
          <w:bCs/>
        </w:rPr>
        <w:lastRenderedPageBreak/>
        <w:t>analysis and the Social Work Reform Board’s recommendations will transform social work into a</w:t>
      </w:r>
      <w:r w:rsidR="00365F4A" w:rsidRPr="009F7A75">
        <w:rPr>
          <w:bCs/>
        </w:rPr>
        <w:t xml:space="preserve"> more professional occupation. Possible recommendations for a way forward could include (author’s own, 2016): assessments; ethical exercise; and ‘grassroots’ education. A more open’ or developmental approach could be introduced in assessments to</w:t>
      </w:r>
      <w:r w:rsidR="003458BB" w:rsidRPr="009F7A75">
        <w:rPr>
          <w:bCs/>
        </w:rPr>
        <w:t xml:space="preserve"> provide a more narrative concept of assessments (Thomas and Holland, 2010; author et al, 2015). The use of vignettes based on contemporary debates and tension in social work practice can provide opportunities for students to identify and engage with contemporary debates within society about the role of social workers (</w:t>
      </w:r>
      <w:proofErr w:type="spellStart"/>
      <w:r w:rsidR="003458BB" w:rsidRPr="009F7A75">
        <w:rPr>
          <w:bCs/>
        </w:rPr>
        <w:t>Doel</w:t>
      </w:r>
      <w:proofErr w:type="spellEnd"/>
      <w:r w:rsidR="003458BB" w:rsidRPr="009F7A75">
        <w:rPr>
          <w:bCs/>
        </w:rPr>
        <w:t xml:space="preserve"> et al, 2010). Finally, ‘grassroots’ education (</w:t>
      </w:r>
      <w:proofErr w:type="spellStart"/>
      <w:r w:rsidR="003458BB" w:rsidRPr="009F7A75">
        <w:rPr>
          <w:bCs/>
        </w:rPr>
        <w:t>Tobis</w:t>
      </w:r>
      <w:proofErr w:type="spellEnd"/>
      <w:r w:rsidR="003458BB" w:rsidRPr="009F7A75">
        <w:rPr>
          <w:bCs/>
        </w:rPr>
        <w:t>, 213) with students working directly with service users and learning from service user groups and communities can help engage students with the lived experiences of service users</w:t>
      </w:r>
      <w:r w:rsidR="005C03BA" w:rsidRPr="009F7A75">
        <w:rPr>
          <w:bCs/>
        </w:rPr>
        <w:t>. However, a</w:t>
      </w:r>
      <w:r w:rsidR="000036E8" w:rsidRPr="009F7A75">
        <w:rPr>
          <w:bCs/>
        </w:rPr>
        <w:t>ssessing students on placement (or elsewhere on the programme) will itself continue to prove problematic until the struggle for social work’s identity is won</w:t>
      </w:r>
      <w:r w:rsidR="00A40746" w:rsidRPr="009F7A75">
        <w:rPr>
          <w:bCs/>
        </w:rPr>
        <w:t xml:space="preserve"> (author’s own, 2015</w:t>
      </w:r>
      <w:r w:rsidR="009830B7" w:rsidRPr="009F7A75">
        <w:rPr>
          <w:bCs/>
        </w:rPr>
        <w:t>)</w:t>
      </w:r>
      <w:r w:rsidR="000036E8" w:rsidRPr="009F7A75">
        <w:rPr>
          <w:bCs/>
        </w:rPr>
        <w:t xml:space="preserve">. </w:t>
      </w:r>
    </w:p>
    <w:p w14:paraId="0D6EF854" w14:textId="77777777" w:rsidR="005C03BA" w:rsidRPr="009F7A75" w:rsidRDefault="005C03BA" w:rsidP="004A3588">
      <w:pPr>
        <w:spacing w:line="240" w:lineRule="auto"/>
        <w:rPr>
          <w:b/>
        </w:rPr>
      </w:pPr>
    </w:p>
    <w:p w14:paraId="75397073" w14:textId="77777777" w:rsidR="005C03BA" w:rsidRPr="009F7A75" w:rsidRDefault="005C03BA" w:rsidP="004A3588">
      <w:pPr>
        <w:spacing w:line="240" w:lineRule="auto"/>
        <w:rPr>
          <w:b/>
        </w:rPr>
      </w:pPr>
    </w:p>
    <w:p w14:paraId="75FB9A5C" w14:textId="77777777" w:rsidR="0065538D" w:rsidRPr="009F7A75" w:rsidRDefault="0065538D" w:rsidP="004A3588">
      <w:pPr>
        <w:spacing w:line="240" w:lineRule="auto"/>
        <w:rPr>
          <w:b/>
        </w:rPr>
      </w:pPr>
      <w:r w:rsidRPr="009F7A75">
        <w:rPr>
          <w:b/>
        </w:rPr>
        <w:t>References</w:t>
      </w:r>
    </w:p>
    <w:p w14:paraId="505DBFBF" w14:textId="77777777" w:rsidR="00255524" w:rsidRPr="006B2B13" w:rsidRDefault="00255524" w:rsidP="004A3588">
      <w:pPr>
        <w:spacing w:line="240" w:lineRule="auto"/>
        <w:rPr>
          <w:bCs/>
        </w:rPr>
      </w:pPr>
      <w:proofErr w:type="spellStart"/>
      <w:r w:rsidRPr="00255524">
        <w:rPr>
          <w:bCs/>
        </w:rPr>
        <w:t>Aas</w:t>
      </w:r>
      <w:proofErr w:type="spellEnd"/>
      <w:r w:rsidRPr="00255524">
        <w:rPr>
          <w:bCs/>
        </w:rPr>
        <w:t xml:space="preserve">, K. (2004) </w:t>
      </w:r>
      <w:proofErr w:type="gramStart"/>
      <w:r w:rsidRPr="00255524">
        <w:rPr>
          <w:bCs/>
        </w:rPr>
        <w:t>From</w:t>
      </w:r>
      <w:proofErr w:type="gramEnd"/>
      <w:r w:rsidRPr="00255524">
        <w:rPr>
          <w:bCs/>
        </w:rPr>
        <w:t xml:space="preserve"> narrative to database: technological change and penal culture, Punishment and Society, 6 (4), pp. 379-393.</w:t>
      </w:r>
    </w:p>
    <w:p w14:paraId="3791D3D6" w14:textId="07233F11" w:rsidR="009E5127" w:rsidRPr="0024447A" w:rsidRDefault="009E5127" w:rsidP="004A3588">
      <w:pPr>
        <w:spacing w:line="240" w:lineRule="auto"/>
      </w:pPr>
      <w:r>
        <w:t>Author’s own (</w:t>
      </w:r>
      <w:r w:rsidR="002801DE">
        <w:t xml:space="preserve">2009; </w:t>
      </w:r>
      <w:r>
        <w:t>2015;</w:t>
      </w:r>
      <w:r w:rsidR="00A40746">
        <w:t xml:space="preserve"> </w:t>
      </w:r>
      <w:r>
        <w:t>2016)</w:t>
      </w:r>
    </w:p>
    <w:p w14:paraId="70787D39" w14:textId="77777777" w:rsidR="00543BF4" w:rsidRPr="0024447A" w:rsidRDefault="00543BF4" w:rsidP="004A3588">
      <w:pPr>
        <w:spacing w:line="240" w:lineRule="auto"/>
        <w:jc w:val="both"/>
      </w:pPr>
      <w:r w:rsidRPr="0024447A">
        <w:t xml:space="preserve">Ball, S., J. (2004) </w:t>
      </w:r>
      <w:proofErr w:type="spellStart"/>
      <w:r w:rsidRPr="0024447A">
        <w:t>Performativities</w:t>
      </w:r>
      <w:proofErr w:type="spellEnd"/>
      <w:r w:rsidRPr="0024447A">
        <w:t xml:space="preserve"> and fabrications in the education economy in: Ball, S., J. (</w:t>
      </w:r>
      <w:proofErr w:type="spellStart"/>
      <w:proofErr w:type="gramStart"/>
      <w:r w:rsidRPr="0024447A">
        <w:t>ed</w:t>
      </w:r>
      <w:proofErr w:type="spellEnd"/>
      <w:proofErr w:type="gramEnd"/>
      <w:r w:rsidRPr="0024447A">
        <w:t xml:space="preserve">) (2004) </w:t>
      </w:r>
      <w:r w:rsidRPr="0024447A">
        <w:rPr>
          <w:i/>
          <w:iCs/>
        </w:rPr>
        <w:t>Reader in Sociology of Education</w:t>
      </w:r>
      <w:r w:rsidRPr="0024447A">
        <w:t xml:space="preserve">. London: </w:t>
      </w:r>
      <w:proofErr w:type="spellStart"/>
      <w:r w:rsidRPr="0024447A">
        <w:t>RoutledgeFalmer</w:t>
      </w:r>
      <w:proofErr w:type="spellEnd"/>
      <w:r w:rsidRPr="0024447A">
        <w:t>.</w:t>
      </w:r>
    </w:p>
    <w:p w14:paraId="5968F4A8" w14:textId="77777777" w:rsidR="002D6EE2" w:rsidRPr="0024447A" w:rsidRDefault="002D6EE2" w:rsidP="004A3588">
      <w:pPr>
        <w:spacing w:line="240" w:lineRule="auto"/>
      </w:pPr>
      <w:r w:rsidRPr="0024447A">
        <w:rPr>
          <w:bCs/>
        </w:rPr>
        <w:t xml:space="preserve">Barclay Committee (1982) </w:t>
      </w:r>
      <w:r w:rsidRPr="0024447A">
        <w:rPr>
          <w:bCs/>
          <w:i/>
          <w:iCs/>
        </w:rPr>
        <w:t>Social workers: the roles and tasks</w:t>
      </w:r>
      <w:r w:rsidRPr="0024447A">
        <w:rPr>
          <w:bCs/>
        </w:rPr>
        <w:t>. London: National Institute for Social Work: Bedford Square Press</w:t>
      </w:r>
      <w:r w:rsidR="00863955" w:rsidRPr="0024447A">
        <w:t>.</w:t>
      </w:r>
    </w:p>
    <w:p w14:paraId="2A7EC21A" w14:textId="77777777" w:rsidR="00863955" w:rsidRPr="0024447A" w:rsidRDefault="00863955" w:rsidP="004A3588">
      <w:pPr>
        <w:spacing w:line="240" w:lineRule="auto"/>
      </w:pPr>
      <w:proofErr w:type="spellStart"/>
      <w:r w:rsidRPr="0024447A">
        <w:rPr>
          <w:rStyle w:val="personname"/>
          <w:color w:val="000000"/>
        </w:rPr>
        <w:t>Bartoli</w:t>
      </w:r>
      <w:proofErr w:type="spellEnd"/>
      <w:r w:rsidRPr="0024447A">
        <w:rPr>
          <w:rStyle w:val="personname"/>
          <w:color w:val="000000"/>
        </w:rPr>
        <w:t>, A.</w:t>
      </w:r>
      <w:r w:rsidRPr="0024447A">
        <w:rPr>
          <w:color w:val="000000"/>
        </w:rPr>
        <w:t xml:space="preserve">, </w:t>
      </w:r>
      <w:r w:rsidRPr="0024447A">
        <w:rPr>
          <w:rStyle w:val="personname"/>
          <w:color w:val="000000"/>
        </w:rPr>
        <w:t>Kennedy, S.</w:t>
      </w:r>
      <w:r w:rsidRPr="0024447A">
        <w:rPr>
          <w:color w:val="000000"/>
        </w:rPr>
        <w:t xml:space="preserve"> and </w:t>
      </w:r>
      <w:proofErr w:type="spellStart"/>
      <w:r w:rsidRPr="0024447A">
        <w:rPr>
          <w:rStyle w:val="personname"/>
          <w:color w:val="000000"/>
        </w:rPr>
        <w:t>Tedam</w:t>
      </w:r>
      <w:proofErr w:type="spellEnd"/>
      <w:r w:rsidRPr="0024447A">
        <w:rPr>
          <w:rStyle w:val="personname"/>
          <w:color w:val="000000"/>
        </w:rPr>
        <w:t>, P.</w:t>
      </w:r>
      <w:r w:rsidRPr="0024447A">
        <w:rPr>
          <w:color w:val="000000"/>
        </w:rPr>
        <w:t xml:space="preserve"> (2008) Practice learning: who is failing to adjust? </w:t>
      </w:r>
      <w:proofErr w:type="gramStart"/>
      <w:r w:rsidRPr="0024447A">
        <w:rPr>
          <w:color w:val="000000"/>
        </w:rPr>
        <w:t xml:space="preserve">Black African student experience of practice learning in a social work setting, </w:t>
      </w:r>
      <w:r w:rsidRPr="0024447A">
        <w:rPr>
          <w:bCs/>
          <w:i/>
          <w:iCs/>
        </w:rPr>
        <w:t>Journal of Practice Teaching in Health and Social Work</w:t>
      </w:r>
      <w:r w:rsidRPr="0024447A">
        <w:rPr>
          <w:b/>
          <w:bCs/>
          <w:i/>
          <w:iCs/>
          <w:color w:val="8DB000"/>
        </w:rPr>
        <w:t xml:space="preserve">, </w:t>
      </w:r>
      <w:r w:rsidRPr="0024447A">
        <w:rPr>
          <w:rStyle w:val="Strong"/>
          <w:b w:val="0"/>
          <w:color w:val="000000"/>
        </w:rPr>
        <w:t>8</w:t>
      </w:r>
      <w:r w:rsidRPr="0024447A">
        <w:rPr>
          <w:color w:val="000000"/>
        </w:rPr>
        <w:t>(2), pp. 75-90.</w:t>
      </w:r>
      <w:proofErr w:type="gramEnd"/>
    </w:p>
    <w:p w14:paraId="5BE91697" w14:textId="77777777" w:rsidR="00637FE6" w:rsidRPr="0024447A" w:rsidRDefault="00637FE6" w:rsidP="004A3588">
      <w:pPr>
        <w:spacing w:line="240" w:lineRule="auto"/>
      </w:pPr>
      <w:proofErr w:type="spellStart"/>
      <w:r w:rsidRPr="0024447A">
        <w:t>Basnett</w:t>
      </w:r>
      <w:proofErr w:type="spellEnd"/>
      <w:r w:rsidRPr="0024447A">
        <w:t xml:space="preserve">, F. and Sheffield, D. (2010) </w:t>
      </w:r>
      <w:proofErr w:type="gramStart"/>
      <w:r w:rsidRPr="0024447A">
        <w:t>The</w:t>
      </w:r>
      <w:proofErr w:type="gramEnd"/>
      <w:r w:rsidRPr="0024447A">
        <w:t xml:space="preserve"> impact of social work student failure upon practice educators, </w:t>
      </w:r>
      <w:r w:rsidRPr="0024447A">
        <w:rPr>
          <w:i/>
        </w:rPr>
        <w:t>British Journal of Social Work</w:t>
      </w:r>
      <w:r w:rsidRPr="0024447A">
        <w:t>, 40, pp. 2119-2136.</w:t>
      </w:r>
    </w:p>
    <w:p w14:paraId="18149312" w14:textId="77777777" w:rsidR="00255524" w:rsidRDefault="002D6EE2" w:rsidP="00255524">
      <w:pPr>
        <w:spacing w:line="240" w:lineRule="auto"/>
      </w:pPr>
      <w:r w:rsidRPr="0024447A">
        <w:t>Bates, N.</w:t>
      </w:r>
      <w:proofErr w:type="gramStart"/>
      <w:r w:rsidRPr="0024447A">
        <w:t xml:space="preserve">,  </w:t>
      </w:r>
      <w:proofErr w:type="spellStart"/>
      <w:r w:rsidRPr="0024447A">
        <w:t>Immins</w:t>
      </w:r>
      <w:proofErr w:type="spellEnd"/>
      <w:proofErr w:type="gramEnd"/>
      <w:r w:rsidRPr="0024447A">
        <w:t xml:space="preserve">, T., Parker, J., Keen, S., Rutter, L., Brown, K. </w:t>
      </w:r>
      <w:proofErr w:type="gramStart"/>
      <w:r w:rsidRPr="0024447A">
        <w:t xml:space="preserve">And </w:t>
      </w:r>
      <w:proofErr w:type="spellStart"/>
      <w:r w:rsidRPr="0024447A">
        <w:t>Zsigo</w:t>
      </w:r>
      <w:proofErr w:type="spellEnd"/>
      <w:r w:rsidRPr="0024447A">
        <w:t>, Z. (2010) ‘Baptism of Fire’: The First Year in the Life of a Newly Qualified Social Worker.</w:t>
      </w:r>
      <w:proofErr w:type="gramEnd"/>
      <w:r w:rsidRPr="0024447A">
        <w:t xml:space="preserve"> </w:t>
      </w:r>
      <w:proofErr w:type="gramStart"/>
      <w:r w:rsidRPr="0024447A">
        <w:rPr>
          <w:i/>
          <w:iCs/>
        </w:rPr>
        <w:t>Social Work Education.</w:t>
      </w:r>
      <w:proofErr w:type="gramEnd"/>
      <w:r w:rsidRPr="0024447A">
        <w:t xml:space="preserve"> 29 (2) pp. 152-170</w:t>
      </w:r>
      <w:r w:rsidR="00B450F8">
        <w:t>.</w:t>
      </w:r>
    </w:p>
    <w:p w14:paraId="685AE8D0" w14:textId="77777777" w:rsidR="00B450F8" w:rsidRPr="00255524" w:rsidRDefault="00B450F8" w:rsidP="00255524">
      <w:pPr>
        <w:spacing w:line="240" w:lineRule="auto"/>
      </w:pPr>
      <w:proofErr w:type="gramStart"/>
      <w:r w:rsidRPr="00B450F8">
        <w:t>Braun V. and Clarke V., (2006) Using thematic analysis in psychology, Qualitative Research in Psychology, 3, 77-101.</w:t>
      </w:r>
      <w:proofErr w:type="gramEnd"/>
    </w:p>
    <w:p w14:paraId="02A25426" w14:textId="77777777" w:rsidR="00255524" w:rsidRPr="0024447A" w:rsidRDefault="00255524" w:rsidP="004A3588">
      <w:pPr>
        <w:spacing w:after="0" w:line="240" w:lineRule="auto"/>
        <w:rPr>
          <w:rFonts w:eastAsia="Times New Roman"/>
        </w:rPr>
      </w:pPr>
      <w:proofErr w:type="spellStart"/>
      <w:r w:rsidRPr="00255524">
        <w:rPr>
          <w:rFonts w:eastAsia="Times New Roman"/>
        </w:rPr>
        <w:t>Broadhurst</w:t>
      </w:r>
      <w:proofErr w:type="spellEnd"/>
      <w:r w:rsidRPr="00255524">
        <w:rPr>
          <w:rFonts w:eastAsia="Times New Roman"/>
        </w:rPr>
        <w:t xml:space="preserve">, K., Hall, C., </w:t>
      </w:r>
      <w:proofErr w:type="spellStart"/>
      <w:r w:rsidRPr="00255524">
        <w:rPr>
          <w:rFonts w:eastAsia="Times New Roman"/>
        </w:rPr>
        <w:t>Wastell</w:t>
      </w:r>
      <w:proofErr w:type="spellEnd"/>
      <w:r w:rsidRPr="00255524">
        <w:rPr>
          <w:rFonts w:eastAsia="Times New Roman"/>
        </w:rPr>
        <w:t>, D., W</w:t>
      </w:r>
      <w:r>
        <w:rPr>
          <w:rFonts w:eastAsia="Times New Roman"/>
        </w:rPr>
        <w:t xml:space="preserve">hite, S. and </w:t>
      </w:r>
      <w:proofErr w:type="spellStart"/>
      <w:r>
        <w:rPr>
          <w:rFonts w:eastAsia="Times New Roman"/>
        </w:rPr>
        <w:t>Pithouse</w:t>
      </w:r>
      <w:proofErr w:type="spellEnd"/>
      <w:r>
        <w:rPr>
          <w:rFonts w:eastAsia="Times New Roman"/>
        </w:rPr>
        <w:t>, A. (2010</w:t>
      </w:r>
      <w:r w:rsidRPr="00255524">
        <w:rPr>
          <w:rFonts w:eastAsia="Times New Roman"/>
        </w:rPr>
        <w:t>) Risk, instrumentalism and the humane project in social work: identifying the informal logics of risk management in children’s statutory services,  British Journal of Social Work,  40, pp. 1046-1064. DOI: 10.1093/</w:t>
      </w:r>
      <w:proofErr w:type="spellStart"/>
      <w:r w:rsidRPr="00255524">
        <w:rPr>
          <w:rFonts w:eastAsia="Times New Roman"/>
        </w:rPr>
        <w:t>bjsw</w:t>
      </w:r>
      <w:proofErr w:type="spellEnd"/>
      <w:r w:rsidRPr="00255524">
        <w:rPr>
          <w:rFonts w:eastAsia="Times New Roman"/>
        </w:rPr>
        <w:t>/bcq011. Advance Access publication 01/02/10.</w:t>
      </w:r>
    </w:p>
    <w:p w14:paraId="2882EE74" w14:textId="77777777" w:rsidR="009407CB" w:rsidRPr="0024447A" w:rsidRDefault="009407CB" w:rsidP="004A3588">
      <w:pPr>
        <w:spacing w:after="0" w:line="240" w:lineRule="auto"/>
        <w:rPr>
          <w:rFonts w:eastAsia="Times New Roman"/>
        </w:rPr>
      </w:pPr>
    </w:p>
    <w:p w14:paraId="420297E8" w14:textId="77777777" w:rsidR="009407CB" w:rsidRDefault="009407CB" w:rsidP="004A3588">
      <w:pPr>
        <w:spacing w:after="0" w:line="240" w:lineRule="auto"/>
        <w:rPr>
          <w:rFonts w:eastAsia="Times New Roman"/>
        </w:rPr>
      </w:pPr>
      <w:r w:rsidRPr="0024447A">
        <w:rPr>
          <w:rFonts w:eastAsia="Times New Roman"/>
        </w:rPr>
        <w:lastRenderedPageBreak/>
        <w:t>Bray, L. and Nettleton, P. (2007)</w:t>
      </w:r>
      <w:r w:rsidR="00A91735" w:rsidRPr="0024447A">
        <w:rPr>
          <w:rFonts w:eastAsia="Times New Roman"/>
        </w:rPr>
        <w:t xml:space="preserve"> Assessor or mentor? </w:t>
      </w:r>
      <w:proofErr w:type="gramStart"/>
      <w:r w:rsidR="00A91735" w:rsidRPr="0024447A">
        <w:rPr>
          <w:rFonts w:eastAsia="Times New Roman"/>
        </w:rPr>
        <w:t xml:space="preserve">Role confusion in professional education, </w:t>
      </w:r>
      <w:r w:rsidR="00A91735" w:rsidRPr="0024447A">
        <w:rPr>
          <w:rFonts w:eastAsia="Times New Roman"/>
          <w:i/>
        </w:rPr>
        <w:t>Nurse Education Today</w:t>
      </w:r>
      <w:r w:rsidR="00A91735" w:rsidRPr="0024447A">
        <w:rPr>
          <w:rFonts w:eastAsia="Times New Roman"/>
        </w:rPr>
        <w:t>, 27 (8), pp. 848-855.</w:t>
      </w:r>
      <w:proofErr w:type="gramEnd"/>
    </w:p>
    <w:p w14:paraId="788A7FDC" w14:textId="77777777" w:rsidR="00535D7E" w:rsidRDefault="00535D7E" w:rsidP="004A3588">
      <w:pPr>
        <w:spacing w:after="0" w:line="240" w:lineRule="auto"/>
        <w:rPr>
          <w:rFonts w:eastAsia="Times New Roman"/>
        </w:rPr>
      </w:pPr>
    </w:p>
    <w:p w14:paraId="7458204B" w14:textId="77777777" w:rsidR="00535D7E" w:rsidRDefault="00535D7E" w:rsidP="004A3588">
      <w:pPr>
        <w:spacing w:after="0" w:line="240" w:lineRule="auto"/>
        <w:rPr>
          <w:rFonts w:eastAsia="Times New Roman"/>
        </w:rPr>
      </w:pPr>
      <w:proofErr w:type="spellStart"/>
      <w:proofErr w:type="gramStart"/>
      <w:r>
        <w:rPr>
          <w:rFonts w:eastAsia="Times New Roman"/>
        </w:rPr>
        <w:t>Cowburn</w:t>
      </w:r>
      <w:proofErr w:type="spellEnd"/>
      <w:r>
        <w:rPr>
          <w:rFonts w:eastAsia="Times New Roman"/>
        </w:rPr>
        <w:t xml:space="preserve">, M., Nelson, P. and Williams, J. (2000) Assessment of social work students: standpoint and strong objectivity, </w:t>
      </w:r>
      <w:r>
        <w:rPr>
          <w:rFonts w:eastAsia="Times New Roman"/>
          <w:i/>
        </w:rPr>
        <w:t>Social W</w:t>
      </w:r>
      <w:r w:rsidRPr="00535D7E">
        <w:rPr>
          <w:rFonts w:eastAsia="Times New Roman"/>
          <w:i/>
        </w:rPr>
        <w:t>ork Education</w:t>
      </w:r>
      <w:r>
        <w:rPr>
          <w:rFonts w:eastAsia="Times New Roman"/>
        </w:rPr>
        <w:t>, 19 (6), pp.627- 637.</w:t>
      </w:r>
      <w:proofErr w:type="gramEnd"/>
    </w:p>
    <w:p w14:paraId="73DBC35F" w14:textId="77777777" w:rsidR="007536F1" w:rsidRDefault="007536F1" w:rsidP="004A3588">
      <w:pPr>
        <w:spacing w:after="0" w:line="240" w:lineRule="auto"/>
        <w:rPr>
          <w:rFonts w:eastAsia="Times New Roman"/>
        </w:rPr>
      </w:pPr>
    </w:p>
    <w:p w14:paraId="50E30387" w14:textId="64F99AF3" w:rsidR="007536F1" w:rsidRDefault="007536F1" w:rsidP="004A3588">
      <w:pPr>
        <w:spacing w:after="0" w:line="240" w:lineRule="auto"/>
        <w:rPr>
          <w:rFonts w:eastAsia="Times New Roman"/>
        </w:rPr>
      </w:pPr>
      <w:proofErr w:type="spellStart"/>
      <w:proofErr w:type="gramStart"/>
      <w:r w:rsidRPr="007536F1">
        <w:rPr>
          <w:rFonts w:eastAsia="Times New Roman"/>
        </w:rPr>
        <w:t>Croisdale</w:t>
      </w:r>
      <w:proofErr w:type="spellEnd"/>
      <w:r w:rsidRPr="007536F1">
        <w:rPr>
          <w:rFonts w:eastAsia="Times New Roman"/>
        </w:rPr>
        <w:t xml:space="preserve">-Appleby, D. (2014) </w:t>
      </w:r>
      <w:r w:rsidRPr="007536F1">
        <w:rPr>
          <w:rFonts w:eastAsia="Times New Roman"/>
          <w:i/>
        </w:rPr>
        <w:t>Re-visioning social work education.</w:t>
      </w:r>
      <w:proofErr w:type="gramEnd"/>
      <w:r w:rsidRPr="007536F1">
        <w:rPr>
          <w:rFonts w:eastAsia="Times New Roman"/>
          <w:i/>
        </w:rPr>
        <w:t xml:space="preserve"> </w:t>
      </w:r>
      <w:proofErr w:type="gramStart"/>
      <w:r w:rsidRPr="007536F1">
        <w:rPr>
          <w:rFonts w:eastAsia="Times New Roman"/>
          <w:i/>
        </w:rPr>
        <w:t>An independent review</w:t>
      </w:r>
      <w:r w:rsidRPr="007536F1">
        <w:rPr>
          <w:rFonts w:eastAsia="Times New Roman"/>
        </w:rPr>
        <w:t>.</w:t>
      </w:r>
      <w:proofErr w:type="gramEnd"/>
      <w:r w:rsidRPr="007536F1">
        <w:rPr>
          <w:rFonts w:eastAsia="Times New Roman"/>
        </w:rPr>
        <w:t xml:space="preserve"> London: Department of Health</w:t>
      </w:r>
      <w:r w:rsidR="003458BB">
        <w:rPr>
          <w:rFonts w:eastAsia="Times New Roman"/>
        </w:rPr>
        <w:t>.</w:t>
      </w:r>
    </w:p>
    <w:p w14:paraId="794B9E02" w14:textId="77777777" w:rsidR="003458BB" w:rsidRDefault="003458BB" w:rsidP="004A3588">
      <w:pPr>
        <w:spacing w:after="0" w:line="240" w:lineRule="auto"/>
        <w:rPr>
          <w:rFonts w:eastAsia="Times New Roman"/>
        </w:rPr>
      </w:pPr>
    </w:p>
    <w:p w14:paraId="56BA4F97" w14:textId="3D2B6CCD" w:rsidR="003458BB" w:rsidRPr="0024447A" w:rsidRDefault="003458BB" w:rsidP="004A3588">
      <w:pPr>
        <w:spacing w:after="0" w:line="240" w:lineRule="auto"/>
        <w:rPr>
          <w:rFonts w:eastAsia="Times New Roman"/>
        </w:rPr>
      </w:pPr>
      <w:proofErr w:type="spellStart"/>
      <w:r w:rsidRPr="003458BB">
        <w:rPr>
          <w:rFonts w:eastAsia="Times New Roman"/>
        </w:rPr>
        <w:t>Doel</w:t>
      </w:r>
      <w:proofErr w:type="spellEnd"/>
      <w:r w:rsidRPr="003458BB">
        <w:rPr>
          <w:rFonts w:eastAsia="Times New Roman"/>
        </w:rPr>
        <w:t xml:space="preserve">, M., </w:t>
      </w:r>
      <w:proofErr w:type="spellStart"/>
      <w:r w:rsidRPr="003458BB">
        <w:rPr>
          <w:rFonts w:eastAsia="Times New Roman"/>
        </w:rPr>
        <w:t>Allmark</w:t>
      </w:r>
      <w:proofErr w:type="spellEnd"/>
      <w:r w:rsidRPr="003458BB">
        <w:rPr>
          <w:rFonts w:eastAsia="Times New Roman"/>
        </w:rPr>
        <w:t>, P.</w:t>
      </w:r>
      <w:proofErr w:type="gramStart"/>
      <w:r w:rsidRPr="003458BB">
        <w:rPr>
          <w:rFonts w:eastAsia="Times New Roman"/>
        </w:rPr>
        <w:t>,</w:t>
      </w:r>
      <w:proofErr w:type="spellStart"/>
      <w:r w:rsidRPr="003458BB">
        <w:rPr>
          <w:rFonts w:eastAsia="Times New Roman"/>
        </w:rPr>
        <w:t>Conway,C</w:t>
      </w:r>
      <w:proofErr w:type="spellEnd"/>
      <w:proofErr w:type="gramEnd"/>
      <w:r w:rsidRPr="003458BB">
        <w:rPr>
          <w:rFonts w:eastAsia="Times New Roman"/>
        </w:rPr>
        <w:t xml:space="preserve">., </w:t>
      </w:r>
      <w:proofErr w:type="spellStart"/>
      <w:r w:rsidRPr="003458BB">
        <w:rPr>
          <w:rFonts w:eastAsia="Times New Roman"/>
        </w:rPr>
        <w:t>Cowburn</w:t>
      </w:r>
      <w:proofErr w:type="spellEnd"/>
      <w:r w:rsidRPr="003458BB">
        <w:rPr>
          <w:rFonts w:eastAsia="Times New Roman"/>
        </w:rPr>
        <w:t xml:space="preserve">, M.,  Flynn, M., Nelson, P. and Tod, A, (2010) Professional boundaries: crossing a line or entering the shadows? </w:t>
      </w:r>
      <w:r w:rsidRPr="003458BB">
        <w:rPr>
          <w:rFonts w:eastAsia="Times New Roman"/>
          <w:i/>
        </w:rPr>
        <w:t>British Journal of Social Work</w:t>
      </w:r>
      <w:r w:rsidRPr="003458BB">
        <w:rPr>
          <w:rFonts w:eastAsia="Times New Roman"/>
        </w:rPr>
        <w:t>, 40, pp. 1866-1889. Advance Access publication October 14, 2009</w:t>
      </w:r>
      <w:r>
        <w:rPr>
          <w:rFonts w:eastAsia="Times New Roman"/>
        </w:rPr>
        <w:t>.</w:t>
      </w:r>
    </w:p>
    <w:p w14:paraId="582EBA85" w14:textId="77777777" w:rsidR="00A12F59" w:rsidRDefault="00A12F59" w:rsidP="00255524">
      <w:pPr>
        <w:autoSpaceDE w:val="0"/>
        <w:autoSpaceDN w:val="0"/>
        <w:adjustRightInd w:val="0"/>
        <w:spacing w:line="240" w:lineRule="auto"/>
      </w:pPr>
    </w:p>
    <w:p w14:paraId="4BBB5444" w14:textId="46056634" w:rsidR="0010341D" w:rsidRPr="0024447A" w:rsidRDefault="00A12F59" w:rsidP="00255524">
      <w:pPr>
        <w:autoSpaceDE w:val="0"/>
        <w:autoSpaceDN w:val="0"/>
        <w:adjustRightInd w:val="0"/>
        <w:spacing w:line="240" w:lineRule="auto"/>
        <w:rPr>
          <w:rFonts w:eastAsia="Times New Roman"/>
        </w:rPr>
      </w:pPr>
      <w:proofErr w:type="gramStart"/>
      <w:r>
        <w:rPr>
          <w:rFonts w:eastAsia="Times New Roman"/>
        </w:rPr>
        <w:t>Furness, S. (2012</w:t>
      </w:r>
      <w:r w:rsidR="00C921F0" w:rsidRPr="0024447A">
        <w:rPr>
          <w:rFonts w:eastAsia="Times New Roman"/>
        </w:rPr>
        <w:t xml:space="preserve">) Gender at work: characteristics of ‘failing’ social work students, </w:t>
      </w:r>
      <w:r w:rsidR="00C921F0" w:rsidRPr="0024447A">
        <w:rPr>
          <w:rFonts w:eastAsia="Times New Roman"/>
          <w:i/>
        </w:rPr>
        <w:t>British Journal of Social Work</w:t>
      </w:r>
      <w:r>
        <w:rPr>
          <w:rFonts w:eastAsia="Times New Roman"/>
        </w:rPr>
        <w:t xml:space="preserve">, 42 (3), pp. </w:t>
      </w:r>
      <w:r w:rsidRPr="00A12F59">
        <w:rPr>
          <w:rFonts w:eastAsia="Times New Roman"/>
        </w:rPr>
        <w:t>480-499.</w:t>
      </w:r>
      <w:proofErr w:type="gramEnd"/>
    </w:p>
    <w:p w14:paraId="4FC9FD00" w14:textId="6D01EDB2" w:rsidR="006766FE" w:rsidRPr="0024447A" w:rsidRDefault="00C151BE" w:rsidP="005C03BA">
      <w:pPr>
        <w:autoSpaceDE w:val="0"/>
        <w:autoSpaceDN w:val="0"/>
        <w:adjustRightInd w:val="0"/>
        <w:spacing w:after="0" w:line="240" w:lineRule="auto"/>
        <w:rPr>
          <w:bCs/>
        </w:rPr>
      </w:pPr>
      <w:r>
        <w:rPr>
          <w:rFonts w:eastAsia="Times New Roman"/>
        </w:rPr>
        <w:t>Husse</w:t>
      </w:r>
      <w:r w:rsidR="0010341D" w:rsidRPr="0024447A">
        <w:rPr>
          <w:rFonts w:eastAsia="Times New Roman"/>
        </w:rPr>
        <w:t xml:space="preserve">in, S., Moriarty, J. and </w:t>
      </w:r>
      <w:proofErr w:type="spellStart"/>
      <w:r w:rsidR="0010341D" w:rsidRPr="0024447A">
        <w:rPr>
          <w:rFonts w:eastAsia="Times New Roman"/>
        </w:rPr>
        <w:t>Manthorpe</w:t>
      </w:r>
      <w:proofErr w:type="spellEnd"/>
      <w:r w:rsidR="0010341D" w:rsidRPr="0024447A">
        <w:rPr>
          <w:rFonts w:eastAsia="Times New Roman"/>
        </w:rPr>
        <w:t xml:space="preserve">, J. (2009) </w:t>
      </w:r>
      <w:r w:rsidR="0010341D" w:rsidRPr="0024447A">
        <w:rPr>
          <w:bCs/>
          <w:i/>
        </w:rPr>
        <w:t>Variation</w:t>
      </w:r>
      <w:r w:rsidR="006766FE" w:rsidRPr="0024447A">
        <w:rPr>
          <w:bCs/>
          <w:i/>
        </w:rPr>
        <w:t>s in progression of social w</w:t>
      </w:r>
      <w:r w:rsidR="0010341D" w:rsidRPr="0024447A">
        <w:rPr>
          <w:bCs/>
          <w:i/>
        </w:rPr>
        <w:t xml:space="preserve">ork </w:t>
      </w:r>
      <w:r w:rsidR="006766FE" w:rsidRPr="0024447A">
        <w:rPr>
          <w:bCs/>
          <w:i/>
        </w:rPr>
        <w:t>s</w:t>
      </w:r>
      <w:r w:rsidR="0010341D" w:rsidRPr="0024447A">
        <w:rPr>
          <w:bCs/>
          <w:i/>
        </w:rPr>
        <w:t>tudents in Engl</w:t>
      </w:r>
      <w:r w:rsidR="006766FE" w:rsidRPr="0024447A">
        <w:rPr>
          <w:bCs/>
          <w:i/>
        </w:rPr>
        <w:t>and: using student data to help promote achievement: u</w:t>
      </w:r>
      <w:r w:rsidR="0010341D" w:rsidRPr="0024447A">
        <w:rPr>
          <w:bCs/>
          <w:i/>
        </w:rPr>
        <w:t>ndergraduate full-time students’</w:t>
      </w:r>
      <w:r w:rsidR="006766FE" w:rsidRPr="0024447A">
        <w:rPr>
          <w:bCs/>
          <w:i/>
        </w:rPr>
        <w:t xml:space="preserve"> progression on the </w:t>
      </w:r>
      <w:r w:rsidR="0010341D" w:rsidRPr="0024447A">
        <w:rPr>
          <w:bCs/>
          <w:i/>
        </w:rPr>
        <w:t>social work degree</w:t>
      </w:r>
      <w:r w:rsidR="006766FE" w:rsidRPr="0024447A">
        <w:rPr>
          <w:bCs/>
          <w:i/>
        </w:rPr>
        <w:t xml:space="preserve">. </w:t>
      </w:r>
      <w:r w:rsidR="006766FE" w:rsidRPr="0024447A">
        <w:rPr>
          <w:bCs/>
        </w:rPr>
        <w:t>London: Social Care Workforce Research Unit, King’s College</w:t>
      </w:r>
      <w:r>
        <w:rPr>
          <w:bCs/>
        </w:rPr>
        <w:t xml:space="preserve">. </w:t>
      </w:r>
    </w:p>
    <w:p w14:paraId="6003FD0D" w14:textId="77777777" w:rsidR="00916708" w:rsidRDefault="00916708" w:rsidP="004A3588">
      <w:pPr>
        <w:autoSpaceDE w:val="0"/>
        <w:autoSpaceDN w:val="0"/>
        <w:adjustRightInd w:val="0"/>
        <w:spacing w:after="0" w:line="240" w:lineRule="auto"/>
        <w:rPr>
          <w:bCs/>
        </w:rPr>
      </w:pPr>
    </w:p>
    <w:p w14:paraId="140FC500" w14:textId="77777777" w:rsidR="00916708" w:rsidRDefault="00916708" w:rsidP="004A3588">
      <w:pPr>
        <w:autoSpaceDE w:val="0"/>
        <w:autoSpaceDN w:val="0"/>
        <w:adjustRightInd w:val="0"/>
        <w:spacing w:after="0" w:line="240" w:lineRule="auto"/>
        <w:rPr>
          <w:bCs/>
        </w:rPr>
      </w:pPr>
      <w:r w:rsidRPr="00916708">
        <w:rPr>
          <w:bCs/>
        </w:rPr>
        <w:t>International Federation of Social Workers (2014) available at: http://ifsw.org/policies/definition-of-social-work/ Accessed: 08/04/15</w:t>
      </w:r>
    </w:p>
    <w:p w14:paraId="3C054C58" w14:textId="77777777" w:rsidR="00364F03" w:rsidRDefault="00364F03" w:rsidP="004A3588">
      <w:pPr>
        <w:autoSpaceDE w:val="0"/>
        <w:autoSpaceDN w:val="0"/>
        <w:adjustRightInd w:val="0"/>
        <w:spacing w:after="0" w:line="240" w:lineRule="auto"/>
        <w:rPr>
          <w:bCs/>
        </w:rPr>
      </w:pPr>
    </w:p>
    <w:p w14:paraId="324EA06A" w14:textId="77777777" w:rsidR="00364F03" w:rsidRPr="00364F03" w:rsidRDefault="00364F03" w:rsidP="00364F03">
      <w:r w:rsidRPr="00364F03">
        <w:t xml:space="preserve">Jack, G. and </w:t>
      </w:r>
      <w:proofErr w:type="spellStart"/>
      <w:r w:rsidRPr="00364F03">
        <w:t>Donnel</w:t>
      </w:r>
      <w:r>
        <w:t>lan</w:t>
      </w:r>
      <w:proofErr w:type="spellEnd"/>
      <w:r>
        <w:t>, H. (2010) Recognising the person within the d</w:t>
      </w:r>
      <w:r w:rsidRPr="00364F03">
        <w:t>eveloping</w:t>
      </w:r>
      <w:r>
        <w:t xml:space="preserve"> professional: tracking the early c</w:t>
      </w:r>
      <w:r w:rsidRPr="00364F03">
        <w:t>areers of Newly Qualifie</w:t>
      </w:r>
      <w:r>
        <w:t xml:space="preserve">d Child Care Social Workers in three local authorities in </w:t>
      </w:r>
      <w:proofErr w:type="gramStart"/>
      <w:r>
        <w:t>England.,</w:t>
      </w:r>
      <w:proofErr w:type="gramEnd"/>
      <w:r>
        <w:t xml:space="preserve"> </w:t>
      </w:r>
      <w:r w:rsidRPr="00364F03">
        <w:rPr>
          <w:i/>
        </w:rPr>
        <w:t xml:space="preserve">Social Work Education. </w:t>
      </w:r>
      <w:proofErr w:type="gramStart"/>
      <w:r w:rsidRPr="00364F03">
        <w:t>29 (3)</w:t>
      </w:r>
      <w:r>
        <w:t>,</w:t>
      </w:r>
      <w:r w:rsidRPr="00364F03">
        <w:t xml:space="preserve"> pp.</w:t>
      </w:r>
      <w:proofErr w:type="gramEnd"/>
      <w:r w:rsidRPr="00364F03">
        <w:t xml:space="preserve">  </w:t>
      </w:r>
      <w:proofErr w:type="gramStart"/>
      <w:r w:rsidRPr="00364F03">
        <w:t>305-318</w:t>
      </w:r>
      <w:r>
        <w:t>.</w:t>
      </w:r>
      <w:proofErr w:type="gramEnd"/>
    </w:p>
    <w:p w14:paraId="0D6CD130" w14:textId="77777777" w:rsidR="00255524" w:rsidRPr="0024447A" w:rsidRDefault="00255524" w:rsidP="004A3588">
      <w:pPr>
        <w:spacing w:after="0" w:line="240" w:lineRule="auto"/>
        <w:jc w:val="both"/>
        <w:rPr>
          <w:rFonts w:eastAsia="Times New Roman"/>
        </w:rPr>
      </w:pPr>
      <w:r w:rsidRPr="00255524">
        <w:rPr>
          <w:rFonts w:eastAsia="Times New Roman"/>
        </w:rPr>
        <w:t>Lash, S. (2002) Critique of information. London: Sage.</w:t>
      </w:r>
    </w:p>
    <w:p w14:paraId="22A1C747" w14:textId="77777777" w:rsidR="002801DE" w:rsidRDefault="002801DE" w:rsidP="004A3588">
      <w:pPr>
        <w:kinsoku w:val="0"/>
        <w:overflowPunct w:val="0"/>
        <w:spacing w:after="0" w:line="240" w:lineRule="auto"/>
        <w:contextualSpacing/>
        <w:textAlignment w:val="baseline"/>
        <w:rPr>
          <w:rFonts w:eastAsia="MS PGothic"/>
          <w:color w:val="000000" w:themeColor="text1"/>
          <w:lang w:eastAsia="en-GB"/>
        </w:rPr>
      </w:pPr>
    </w:p>
    <w:p w14:paraId="3366A20C" w14:textId="77777777" w:rsidR="00362A6D" w:rsidRPr="0024447A" w:rsidRDefault="00362A6D" w:rsidP="004A3588">
      <w:pPr>
        <w:kinsoku w:val="0"/>
        <w:overflowPunct w:val="0"/>
        <w:spacing w:after="0" w:line="240" w:lineRule="auto"/>
        <w:contextualSpacing/>
        <w:textAlignment w:val="baseline"/>
        <w:rPr>
          <w:rFonts w:eastAsia="MS PGothic"/>
          <w:color w:val="000000" w:themeColor="text1"/>
          <w:lang w:eastAsia="en-GB"/>
        </w:rPr>
      </w:pPr>
      <w:r w:rsidRPr="0024447A">
        <w:rPr>
          <w:rFonts w:eastAsia="MS PGothic"/>
          <w:color w:val="000000" w:themeColor="text1"/>
          <w:lang w:eastAsia="en-GB"/>
        </w:rPr>
        <w:t xml:space="preserve">Munro, E. (2011) </w:t>
      </w:r>
      <w:r w:rsidRPr="0024447A">
        <w:rPr>
          <w:rFonts w:eastAsia="MS PGothic"/>
          <w:i/>
          <w:color w:val="000000" w:themeColor="text1"/>
          <w:lang w:eastAsia="en-GB"/>
        </w:rPr>
        <w:t>Review of Child Protection: Final Report (2011).</w:t>
      </w:r>
      <w:r w:rsidRPr="0024447A">
        <w:rPr>
          <w:rFonts w:eastAsia="MS PGothic"/>
          <w:color w:val="000000" w:themeColor="text1"/>
          <w:lang w:eastAsia="en-GB"/>
        </w:rPr>
        <w:t xml:space="preserve">  </w:t>
      </w:r>
    </w:p>
    <w:p w14:paraId="03636321" w14:textId="77777777" w:rsidR="00362A6D" w:rsidRDefault="00362A6D" w:rsidP="004A3588">
      <w:pPr>
        <w:kinsoku w:val="0"/>
        <w:overflowPunct w:val="0"/>
        <w:spacing w:after="0" w:line="240" w:lineRule="auto"/>
        <w:contextualSpacing/>
        <w:textAlignment w:val="baseline"/>
        <w:rPr>
          <w:rFonts w:eastAsia="MS PGothic"/>
          <w:color w:val="000000" w:themeColor="text1"/>
          <w:lang w:eastAsia="en-GB"/>
        </w:rPr>
      </w:pPr>
      <w:r w:rsidRPr="0024447A">
        <w:rPr>
          <w:rFonts w:eastAsia="MS PGothic"/>
          <w:color w:val="000000" w:themeColor="text1"/>
          <w:lang w:eastAsia="en-GB"/>
        </w:rPr>
        <w:t xml:space="preserve">Available at: </w:t>
      </w:r>
      <w:hyperlink r:id="rId9" w:history="1">
        <w:r w:rsidRPr="0024447A">
          <w:rPr>
            <w:rFonts w:eastAsia="MS PGothic"/>
            <w:color w:val="000000" w:themeColor="text1"/>
            <w:u w:val="single"/>
            <w:lang w:eastAsia="en-GB"/>
          </w:rPr>
          <w:t>http://www.education.gov.uk/munroreview/</w:t>
        </w:r>
      </w:hyperlink>
      <w:r w:rsidRPr="0024447A">
        <w:rPr>
          <w:rFonts w:eastAsia="MS PGothic"/>
          <w:color w:val="000000" w:themeColor="text1"/>
          <w:lang w:eastAsia="en-GB"/>
        </w:rPr>
        <w:t xml:space="preserve"> Accessed 22/07/11</w:t>
      </w:r>
      <w:r w:rsidR="007536F1">
        <w:rPr>
          <w:rFonts w:eastAsia="MS PGothic"/>
          <w:color w:val="000000" w:themeColor="text1"/>
          <w:lang w:eastAsia="en-GB"/>
        </w:rPr>
        <w:t>.</w:t>
      </w:r>
    </w:p>
    <w:p w14:paraId="16DEA861" w14:textId="77777777" w:rsidR="007536F1" w:rsidRDefault="007536F1" w:rsidP="004A3588">
      <w:pPr>
        <w:kinsoku w:val="0"/>
        <w:overflowPunct w:val="0"/>
        <w:spacing w:after="0" w:line="240" w:lineRule="auto"/>
        <w:contextualSpacing/>
        <w:textAlignment w:val="baseline"/>
        <w:rPr>
          <w:rFonts w:eastAsia="MS PGothic"/>
          <w:color w:val="000000" w:themeColor="text1"/>
          <w:lang w:eastAsia="en-GB"/>
        </w:rPr>
      </w:pPr>
    </w:p>
    <w:p w14:paraId="76EE5E56" w14:textId="54BE4B18" w:rsidR="007536F1" w:rsidRPr="0024447A" w:rsidRDefault="007536F1" w:rsidP="004A3588">
      <w:pPr>
        <w:kinsoku w:val="0"/>
        <w:overflowPunct w:val="0"/>
        <w:spacing w:after="0" w:line="240" w:lineRule="auto"/>
        <w:contextualSpacing/>
        <w:textAlignment w:val="baseline"/>
        <w:rPr>
          <w:rFonts w:eastAsia="MS PGothic"/>
          <w:color w:val="000000" w:themeColor="text1"/>
          <w:lang w:eastAsia="en-GB"/>
        </w:rPr>
      </w:pPr>
      <w:proofErr w:type="spellStart"/>
      <w:r w:rsidRPr="007536F1">
        <w:rPr>
          <w:rFonts w:eastAsia="MS PGothic"/>
          <w:color w:val="000000" w:themeColor="text1"/>
          <w:lang w:eastAsia="en-GB"/>
        </w:rPr>
        <w:t>Narey</w:t>
      </w:r>
      <w:proofErr w:type="spellEnd"/>
      <w:r w:rsidRPr="007536F1">
        <w:rPr>
          <w:rFonts w:eastAsia="MS PGothic"/>
          <w:color w:val="000000" w:themeColor="text1"/>
          <w:lang w:eastAsia="en-GB"/>
        </w:rPr>
        <w:t xml:space="preserve">, M. (2014) </w:t>
      </w:r>
      <w:r w:rsidRPr="007536F1">
        <w:rPr>
          <w:rFonts w:eastAsia="MS PGothic"/>
          <w:i/>
          <w:color w:val="000000" w:themeColor="text1"/>
          <w:lang w:eastAsia="en-GB"/>
        </w:rPr>
        <w:t>Making the education of social workers consistently effective</w:t>
      </w:r>
      <w:r w:rsidRPr="007536F1">
        <w:rPr>
          <w:rFonts w:eastAsia="MS PGothic"/>
          <w:color w:val="000000" w:themeColor="text1"/>
          <w:lang w:eastAsia="en-GB"/>
        </w:rPr>
        <w:t xml:space="preserve">. </w:t>
      </w:r>
      <w:r w:rsidR="00813ADA">
        <w:rPr>
          <w:rFonts w:eastAsia="MS PGothic"/>
          <w:color w:val="000000" w:themeColor="text1"/>
          <w:lang w:eastAsia="en-GB"/>
        </w:rPr>
        <w:t>London: HMSO.</w:t>
      </w:r>
      <w:r w:rsidRPr="007536F1">
        <w:rPr>
          <w:rFonts w:eastAsia="MS PGothic"/>
          <w:color w:val="000000" w:themeColor="text1"/>
          <w:lang w:eastAsia="en-GB"/>
        </w:rPr>
        <w:t xml:space="preserve"> </w:t>
      </w:r>
    </w:p>
    <w:p w14:paraId="31A605ED" w14:textId="77777777" w:rsidR="006B2B13" w:rsidRDefault="006B2B13" w:rsidP="004A3588">
      <w:pPr>
        <w:spacing w:after="0" w:line="240" w:lineRule="auto"/>
        <w:jc w:val="both"/>
        <w:rPr>
          <w:rFonts w:eastAsia="Times New Roman"/>
        </w:rPr>
      </w:pPr>
    </w:p>
    <w:p w14:paraId="493E122A" w14:textId="77777777" w:rsidR="00DB2A6D" w:rsidRPr="0024447A" w:rsidRDefault="00D71A23" w:rsidP="004A3588">
      <w:pPr>
        <w:spacing w:after="0" w:line="240" w:lineRule="auto"/>
        <w:jc w:val="both"/>
        <w:rPr>
          <w:rFonts w:eastAsia="Times New Roman"/>
        </w:rPr>
      </w:pPr>
      <w:r>
        <w:rPr>
          <w:rFonts w:eastAsia="Times New Roman"/>
        </w:rPr>
        <w:t xml:space="preserve">Parker, J. (2010) </w:t>
      </w:r>
      <w:proofErr w:type="gramStart"/>
      <w:r w:rsidR="00DB2A6D" w:rsidRPr="0024447A">
        <w:rPr>
          <w:rFonts w:eastAsia="Times New Roman"/>
        </w:rPr>
        <w:t>When</w:t>
      </w:r>
      <w:proofErr w:type="gramEnd"/>
      <w:r w:rsidR="00DB2A6D" w:rsidRPr="0024447A">
        <w:rPr>
          <w:rFonts w:eastAsia="Times New Roman"/>
        </w:rPr>
        <w:t xml:space="preserve"> things go wrong! Placement disruption and termination: power and student perspectives, </w:t>
      </w:r>
      <w:r w:rsidR="00DB2A6D" w:rsidRPr="0024447A">
        <w:rPr>
          <w:rFonts w:eastAsia="Times New Roman"/>
          <w:i/>
        </w:rPr>
        <w:t>British Journal of Social Work</w:t>
      </w:r>
      <w:r w:rsidR="00DB2A6D" w:rsidRPr="0024447A">
        <w:rPr>
          <w:rFonts w:eastAsia="Times New Roman"/>
        </w:rPr>
        <w:t>, 40, pp. 983-999.</w:t>
      </w:r>
    </w:p>
    <w:p w14:paraId="6D4BB085" w14:textId="77777777" w:rsidR="00804C87" w:rsidRPr="0024447A" w:rsidRDefault="00804C87" w:rsidP="004A3588">
      <w:pPr>
        <w:spacing w:after="0" w:line="240" w:lineRule="auto"/>
        <w:jc w:val="both"/>
        <w:rPr>
          <w:rFonts w:eastAsia="Times New Roman"/>
        </w:rPr>
      </w:pPr>
    </w:p>
    <w:p w14:paraId="0BBFC14D" w14:textId="77777777" w:rsidR="00804C87" w:rsidRPr="0024447A" w:rsidRDefault="00804C87" w:rsidP="004A3588">
      <w:pPr>
        <w:spacing w:after="0" w:line="240" w:lineRule="auto"/>
        <w:jc w:val="both"/>
        <w:rPr>
          <w:rFonts w:eastAsia="Times New Roman"/>
        </w:rPr>
      </w:pPr>
      <w:r w:rsidRPr="0024447A">
        <w:rPr>
          <w:rFonts w:eastAsia="Times New Roman"/>
        </w:rPr>
        <w:t xml:space="preserve">Phillips, R., M., Davies W., B. and </w:t>
      </w:r>
      <w:proofErr w:type="spellStart"/>
      <w:r w:rsidRPr="0024447A">
        <w:rPr>
          <w:rFonts w:eastAsia="Times New Roman"/>
        </w:rPr>
        <w:t>Neary</w:t>
      </w:r>
      <w:proofErr w:type="spellEnd"/>
      <w:r w:rsidRPr="0024447A">
        <w:rPr>
          <w:rFonts w:eastAsia="Times New Roman"/>
        </w:rPr>
        <w:t xml:space="preserve">, M. (1996a) </w:t>
      </w:r>
      <w:proofErr w:type="gramStart"/>
      <w:r w:rsidRPr="0024447A">
        <w:rPr>
          <w:rFonts w:eastAsia="Times New Roman"/>
        </w:rPr>
        <w:t>The</w:t>
      </w:r>
      <w:proofErr w:type="gramEnd"/>
      <w:r w:rsidRPr="0024447A">
        <w:rPr>
          <w:rFonts w:eastAsia="Times New Roman"/>
        </w:rPr>
        <w:t xml:space="preserve"> practitioner-teacher: a study in the introduction of mentors in the pre-registration nurse education programme in Wales: part 1 </w:t>
      </w:r>
      <w:r w:rsidRPr="0024447A">
        <w:rPr>
          <w:rFonts w:eastAsia="Times New Roman"/>
          <w:i/>
        </w:rPr>
        <w:t>Journal of Advanced Nursing</w:t>
      </w:r>
      <w:r w:rsidRPr="0024447A">
        <w:rPr>
          <w:rFonts w:eastAsia="Times New Roman"/>
        </w:rPr>
        <w:t>, 23 (5), pp.1037-1044.</w:t>
      </w:r>
    </w:p>
    <w:p w14:paraId="56675880" w14:textId="77777777" w:rsidR="00804C87" w:rsidRPr="0024447A" w:rsidRDefault="00804C87" w:rsidP="004A3588">
      <w:pPr>
        <w:spacing w:after="0" w:line="240" w:lineRule="auto"/>
        <w:jc w:val="both"/>
        <w:rPr>
          <w:rFonts w:eastAsia="Times New Roman"/>
        </w:rPr>
      </w:pPr>
    </w:p>
    <w:p w14:paraId="55BB02D0" w14:textId="77777777" w:rsidR="00804C87" w:rsidRPr="0024447A" w:rsidRDefault="00804C87" w:rsidP="004A3588">
      <w:pPr>
        <w:spacing w:after="0" w:line="240" w:lineRule="auto"/>
        <w:jc w:val="both"/>
        <w:rPr>
          <w:rFonts w:eastAsia="Times New Roman"/>
        </w:rPr>
      </w:pPr>
      <w:r w:rsidRPr="0024447A">
        <w:rPr>
          <w:rFonts w:eastAsia="Times New Roman"/>
        </w:rPr>
        <w:t xml:space="preserve">Phillips, R., M., Davies W., B. and </w:t>
      </w:r>
      <w:proofErr w:type="spellStart"/>
      <w:r w:rsidRPr="0024447A">
        <w:rPr>
          <w:rFonts w:eastAsia="Times New Roman"/>
        </w:rPr>
        <w:t>Neary</w:t>
      </w:r>
      <w:proofErr w:type="spellEnd"/>
      <w:r w:rsidRPr="0024447A">
        <w:rPr>
          <w:rFonts w:eastAsia="Times New Roman"/>
        </w:rPr>
        <w:t xml:space="preserve">, M. (1996b) </w:t>
      </w:r>
      <w:proofErr w:type="gramStart"/>
      <w:r w:rsidRPr="0024447A">
        <w:rPr>
          <w:rFonts w:eastAsia="Times New Roman"/>
        </w:rPr>
        <w:t>The</w:t>
      </w:r>
      <w:proofErr w:type="gramEnd"/>
      <w:r w:rsidRPr="0024447A">
        <w:rPr>
          <w:rFonts w:eastAsia="Times New Roman"/>
        </w:rPr>
        <w:t xml:space="preserve"> practitioner-teacher: a study in the introduction of mentors in the pre-registration nurse education programme in Wales: part 2 </w:t>
      </w:r>
      <w:r w:rsidRPr="0024447A">
        <w:rPr>
          <w:rFonts w:eastAsia="Times New Roman"/>
          <w:i/>
        </w:rPr>
        <w:t>Journal of Advanced Nursing</w:t>
      </w:r>
      <w:r w:rsidRPr="0024447A">
        <w:rPr>
          <w:rFonts w:eastAsia="Times New Roman"/>
        </w:rPr>
        <w:t>, 23 (6), pp. 1080-1088.</w:t>
      </w:r>
    </w:p>
    <w:p w14:paraId="0267B703" w14:textId="77777777" w:rsidR="00752642" w:rsidRPr="0024447A" w:rsidRDefault="00752642" w:rsidP="004A3588">
      <w:pPr>
        <w:spacing w:after="0" w:line="240" w:lineRule="auto"/>
        <w:jc w:val="both"/>
        <w:rPr>
          <w:rFonts w:eastAsia="Times New Roman"/>
        </w:rPr>
      </w:pPr>
    </w:p>
    <w:p w14:paraId="5FE4B293" w14:textId="77777777" w:rsidR="00752642" w:rsidRPr="0024447A" w:rsidRDefault="00752642" w:rsidP="004A3588">
      <w:pPr>
        <w:spacing w:after="0" w:line="240" w:lineRule="auto"/>
        <w:jc w:val="both"/>
        <w:rPr>
          <w:rFonts w:eastAsia="Times New Roman"/>
        </w:rPr>
      </w:pPr>
      <w:proofErr w:type="spellStart"/>
      <w:r w:rsidRPr="0024447A">
        <w:rPr>
          <w:rFonts w:eastAsia="Times New Roman"/>
        </w:rPr>
        <w:lastRenderedPageBreak/>
        <w:t>Pulsford</w:t>
      </w:r>
      <w:proofErr w:type="spellEnd"/>
      <w:r w:rsidRPr="0024447A">
        <w:rPr>
          <w:rFonts w:eastAsia="Times New Roman"/>
        </w:rPr>
        <w:t xml:space="preserve">, D., </w:t>
      </w:r>
      <w:proofErr w:type="spellStart"/>
      <w:r w:rsidRPr="0024447A">
        <w:rPr>
          <w:rFonts w:eastAsia="Times New Roman"/>
        </w:rPr>
        <w:t>Boit</w:t>
      </w:r>
      <w:proofErr w:type="spellEnd"/>
      <w:r w:rsidRPr="0024447A">
        <w:rPr>
          <w:rFonts w:eastAsia="Times New Roman"/>
        </w:rPr>
        <w:t xml:space="preserve">, K. and Owen, S. (2002) Are mentors ready to make a difference? </w:t>
      </w:r>
      <w:proofErr w:type="gramStart"/>
      <w:r w:rsidRPr="0024447A">
        <w:rPr>
          <w:rFonts w:eastAsia="Times New Roman"/>
        </w:rPr>
        <w:t xml:space="preserve">A survey of mentors’ attitudes towards nurse education, </w:t>
      </w:r>
      <w:r w:rsidRPr="0024447A">
        <w:rPr>
          <w:rFonts w:eastAsia="Times New Roman"/>
          <w:i/>
        </w:rPr>
        <w:t>Nurse Education Today</w:t>
      </w:r>
      <w:r w:rsidRPr="0024447A">
        <w:rPr>
          <w:rFonts w:eastAsia="Times New Roman"/>
        </w:rPr>
        <w:t>, 22 (6), pp. 439-446.</w:t>
      </w:r>
      <w:proofErr w:type="gramEnd"/>
    </w:p>
    <w:p w14:paraId="63A38BFE" w14:textId="77777777" w:rsidR="005D45BF" w:rsidRPr="0024447A" w:rsidRDefault="005D45BF" w:rsidP="004A3588">
      <w:pPr>
        <w:spacing w:after="0" w:line="240" w:lineRule="auto"/>
        <w:jc w:val="both"/>
        <w:rPr>
          <w:rFonts w:eastAsia="Times New Roman"/>
        </w:rPr>
      </w:pPr>
    </w:p>
    <w:p w14:paraId="143E70E8" w14:textId="77777777" w:rsidR="005D45BF" w:rsidRPr="0024447A" w:rsidRDefault="005D45BF" w:rsidP="004A3588">
      <w:pPr>
        <w:spacing w:after="0" w:line="240" w:lineRule="auto"/>
        <w:jc w:val="both"/>
        <w:rPr>
          <w:rFonts w:eastAsia="Times New Roman"/>
        </w:rPr>
      </w:pPr>
      <w:r w:rsidRPr="0024447A">
        <w:rPr>
          <w:rFonts w:eastAsia="Times New Roman"/>
        </w:rPr>
        <w:t>Scanlon, J., M.</w:t>
      </w:r>
      <w:r w:rsidR="00481C2F" w:rsidRPr="0024447A">
        <w:rPr>
          <w:rFonts w:eastAsia="Times New Roman"/>
        </w:rPr>
        <w:t xml:space="preserve">, Care, W., D. and </w:t>
      </w:r>
      <w:proofErr w:type="spellStart"/>
      <w:r w:rsidR="00481C2F" w:rsidRPr="0024447A">
        <w:rPr>
          <w:rFonts w:eastAsia="Times New Roman"/>
        </w:rPr>
        <w:t>Glesser</w:t>
      </w:r>
      <w:proofErr w:type="spellEnd"/>
      <w:r w:rsidR="00481C2F" w:rsidRPr="0024447A">
        <w:rPr>
          <w:rFonts w:eastAsia="Times New Roman"/>
        </w:rPr>
        <w:t xml:space="preserve">, S. (2001) Dealing with the unsafe student in clinical practice, </w:t>
      </w:r>
      <w:r w:rsidR="00481C2F" w:rsidRPr="0024447A">
        <w:rPr>
          <w:rFonts w:eastAsia="Times New Roman"/>
          <w:i/>
        </w:rPr>
        <w:t>Nurse Educator</w:t>
      </w:r>
      <w:r w:rsidR="00481C2F" w:rsidRPr="0024447A">
        <w:rPr>
          <w:rFonts w:eastAsia="Times New Roman"/>
        </w:rPr>
        <w:t xml:space="preserve">, 26 (1), pp. 23-27. </w:t>
      </w:r>
    </w:p>
    <w:p w14:paraId="3A7E41C2" w14:textId="77777777" w:rsidR="00B951ED" w:rsidRPr="0024447A" w:rsidRDefault="00B951ED" w:rsidP="004A3588">
      <w:pPr>
        <w:spacing w:after="0" w:line="240" w:lineRule="auto"/>
        <w:jc w:val="both"/>
        <w:rPr>
          <w:rFonts w:eastAsia="Times New Roman"/>
        </w:rPr>
      </w:pPr>
    </w:p>
    <w:p w14:paraId="18AD8246" w14:textId="77777777" w:rsidR="00B951ED" w:rsidRDefault="00B951ED" w:rsidP="004A3588">
      <w:pPr>
        <w:spacing w:after="0" w:line="240" w:lineRule="auto"/>
        <w:jc w:val="both"/>
        <w:rPr>
          <w:rFonts w:eastAsia="Times New Roman"/>
        </w:rPr>
      </w:pPr>
      <w:proofErr w:type="spellStart"/>
      <w:r w:rsidRPr="0024447A">
        <w:rPr>
          <w:rFonts w:eastAsia="Times New Roman"/>
        </w:rPr>
        <w:t>Shapton</w:t>
      </w:r>
      <w:proofErr w:type="spellEnd"/>
      <w:r w:rsidRPr="0024447A">
        <w:rPr>
          <w:rFonts w:eastAsia="Times New Roman"/>
        </w:rPr>
        <w:t xml:space="preserve">, M. (2006) </w:t>
      </w:r>
      <w:proofErr w:type="gramStart"/>
      <w:r w:rsidRPr="0024447A">
        <w:rPr>
          <w:rFonts w:eastAsia="Times New Roman"/>
        </w:rPr>
        <w:t>Failing</w:t>
      </w:r>
      <w:proofErr w:type="gramEnd"/>
      <w:r w:rsidRPr="0024447A">
        <w:rPr>
          <w:rFonts w:eastAsia="Times New Roman"/>
        </w:rPr>
        <w:t xml:space="preserve"> to fail students in the caring professions: is the assessment process failing the professions? </w:t>
      </w:r>
      <w:proofErr w:type="gramStart"/>
      <w:r w:rsidRPr="0024447A">
        <w:rPr>
          <w:rFonts w:eastAsia="Times New Roman"/>
          <w:i/>
        </w:rPr>
        <w:t>Journal of Practice Teaching and Learning</w:t>
      </w:r>
      <w:r w:rsidRPr="0024447A">
        <w:rPr>
          <w:rFonts w:eastAsia="Times New Roman"/>
        </w:rPr>
        <w:t>, 7, pp.50-64.</w:t>
      </w:r>
      <w:proofErr w:type="gramEnd"/>
    </w:p>
    <w:p w14:paraId="536B8641" w14:textId="77777777" w:rsidR="00547B63" w:rsidRDefault="00547B63" w:rsidP="004A3588">
      <w:pPr>
        <w:spacing w:after="0" w:line="240" w:lineRule="auto"/>
        <w:jc w:val="both"/>
        <w:rPr>
          <w:rFonts w:eastAsia="Times New Roman"/>
        </w:rPr>
      </w:pPr>
    </w:p>
    <w:p w14:paraId="5F0A48BF" w14:textId="77777777" w:rsidR="00547B63" w:rsidRDefault="00547B63" w:rsidP="00547B63">
      <w:pPr>
        <w:autoSpaceDE w:val="0"/>
        <w:autoSpaceDN w:val="0"/>
        <w:adjustRightInd w:val="0"/>
        <w:spacing w:after="0" w:line="240" w:lineRule="auto"/>
      </w:pPr>
      <w:r>
        <w:rPr>
          <w:rFonts w:cstheme="minorHAnsi"/>
        </w:rPr>
        <w:t xml:space="preserve">Singh, G. And Cowden, S. (2009) </w:t>
      </w:r>
      <w:proofErr w:type="gramStart"/>
      <w:r w:rsidRPr="00403000">
        <w:rPr>
          <w:rFonts w:cstheme="minorHAnsi"/>
        </w:rPr>
        <w:t>The</w:t>
      </w:r>
      <w:proofErr w:type="gramEnd"/>
      <w:r w:rsidRPr="00403000">
        <w:rPr>
          <w:rFonts w:cstheme="minorHAnsi"/>
        </w:rPr>
        <w:t xml:space="preserve"> social worker as intellectual, </w:t>
      </w:r>
      <w:r w:rsidRPr="00403000">
        <w:rPr>
          <w:rFonts w:cstheme="minorHAnsi"/>
          <w:i/>
          <w:iCs/>
        </w:rPr>
        <w:t>European Journal of Social Work</w:t>
      </w:r>
      <w:r w:rsidRPr="00403000">
        <w:rPr>
          <w:rFonts w:cstheme="minorHAnsi"/>
        </w:rPr>
        <w:t>, pp. 1-15</w:t>
      </w:r>
      <w:r w:rsidRPr="00403000">
        <w:t>.</w:t>
      </w:r>
    </w:p>
    <w:p w14:paraId="45CDB2A3" w14:textId="77777777" w:rsidR="00D15FD6" w:rsidRDefault="00D15FD6" w:rsidP="004A3588">
      <w:pPr>
        <w:spacing w:after="0" w:line="240" w:lineRule="auto"/>
        <w:jc w:val="both"/>
        <w:rPr>
          <w:rFonts w:eastAsia="Times New Roman"/>
        </w:rPr>
      </w:pPr>
    </w:p>
    <w:p w14:paraId="7919F73D" w14:textId="77777777" w:rsidR="00255524" w:rsidRDefault="00255524" w:rsidP="00D15FD6">
      <w:pPr>
        <w:rPr>
          <w:bCs/>
        </w:rPr>
      </w:pPr>
      <w:proofErr w:type="gramStart"/>
      <w:r w:rsidRPr="003458BB">
        <w:rPr>
          <w:bCs/>
        </w:rPr>
        <w:t xml:space="preserve">Thomas, J. and Holland, S. (2010) Representing children’s identities in core assessments, </w:t>
      </w:r>
      <w:r w:rsidRPr="003458BB">
        <w:rPr>
          <w:bCs/>
          <w:i/>
        </w:rPr>
        <w:t>British Journal of Social Work</w:t>
      </w:r>
      <w:r w:rsidRPr="003458BB">
        <w:rPr>
          <w:bCs/>
        </w:rPr>
        <w:t>, 40, pp. 2617–2633.</w:t>
      </w:r>
      <w:proofErr w:type="gramEnd"/>
      <w:r w:rsidRPr="003458BB">
        <w:rPr>
          <w:bCs/>
        </w:rPr>
        <w:t xml:space="preserve"> Advance Access publication December 21, 2009.</w:t>
      </w:r>
    </w:p>
    <w:p w14:paraId="431FE7A5" w14:textId="058E350D" w:rsidR="003458BB" w:rsidRPr="003458BB" w:rsidRDefault="003458BB" w:rsidP="00D15FD6">
      <w:pPr>
        <w:rPr>
          <w:bCs/>
        </w:rPr>
      </w:pPr>
      <w:proofErr w:type="spellStart"/>
      <w:r w:rsidRPr="003458BB">
        <w:rPr>
          <w:bCs/>
        </w:rPr>
        <w:t>Tobis</w:t>
      </w:r>
      <w:proofErr w:type="spellEnd"/>
      <w:r w:rsidRPr="003458BB">
        <w:rPr>
          <w:bCs/>
        </w:rPr>
        <w:t xml:space="preserve">, D. (2013) </w:t>
      </w:r>
      <w:proofErr w:type="gramStart"/>
      <w:r w:rsidRPr="005C03BA">
        <w:rPr>
          <w:bCs/>
          <w:i/>
        </w:rPr>
        <w:t>From</w:t>
      </w:r>
      <w:proofErr w:type="gramEnd"/>
      <w:r w:rsidRPr="005C03BA">
        <w:rPr>
          <w:bCs/>
          <w:i/>
        </w:rPr>
        <w:t xml:space="preserve"> pariahs to partners: how parents and their allies changed New York City’s child welfare system</w:t>
      </w:r>
      <w:r w:rsidRPr="003458BB">
        <w:rPr>
          <w:bCs/>
        </w:rPr>
        <w:t>. Oxford: Oxford University Press</w:t>
      </w:r>
    </w:p>
    <w:p w14:paraId="742ECE93" w14:textId="77777777" w:rsidR="00605F77" w:rsidRDefault="00804C87" w:rsidP="004A3588">
      <w:pPr>
        <w:spacing w:line="240" w:lineRule="auto"/>
      </w:pPr>
      <w:r w:rsidRPr="0024447A">
        <w:t>Watson, N., A. (1999</w:t>
      </w:r>
      <w:proofErr w:type="gramStart"/>
      <w:r w:rsidRPr="0024447A">
        <w:t xml:space="preserve">) </w:t>
      </w:r>
      <w:r w:rsidR="00966B1D" w:rsidRPr="0024447A">
        <w:t xml:space="preserve"> </w:t>
      </w:r>
      <w:r w:rsidRPr="0024447A">
        <w:t>Mentoring</w:t>
      </w:r>
      <w:proofErr w:type="gramEnd"/>
      <w:r w:rsidRPr="0024447A">
        <w:t xml:space="preserve"> today: the students’ views. An investigative case study of pre-registration nursing students’ experiences and perceptions of mentoring</w:t>
      </w:r>
      <w:r w:rsidR="00966B1D" w:rsidRPr="0024447A">
        <w:t xml:space="preserve"> in one theory/practice module of the Common Foundation Programme on a Project 2000 course, </w:t>
      </w:r>
      <w:r w:rsidR="00966B1D" w:rsidRPr="0024447A">
        <w:rPr>
          <w:i/>
        </w:rPr>
        <w:t>Journal of Advanced Nursing</w:t>
      </w:r>
      <w:r w:rsidR="00966B1D" w:rsidRPr="0024447A">
        <w:t xml:space="preserve">, 29 (1),  pp. 254-262. </w:t>
      </w:r>
    </w:p>
    <w:p w14:paraId="42B7E180" w14:textId="77777777" w:rsidR="00255524" w:rsidRDefault="00255524" w:rsidP="004A3588">
      <w:pPr>
        <w:spacing w:line="240" w:lineRule="auto"/>
      </w:pPr>
      <w:r w:rsidRPr="00255524">
        <w:t xml:space="preserve">White, S., </w:t>
      </w:r>
      <w:r>
        <w:t xml:space="preserve">Hall, C. and </w:t>
      </w:r>
      <w:proofErr w:type="spellStart"/>
      <w:r>
        <w:t>Peckover</w:t>
      </w:r>
      <w:proofErr w:type="spellEnd"/>
      <w:r>
        <w:t>, S. (2009</w:t>
      </w:r>
      <w:r w:rsidRPr="00255524">
        <w:t xml:space="preserve">) </w:t>
      </w:r>
      <w:proofErr w:type="gramStart"/>
      <w:r w:rsidRPr="00255524">
        <w:t>The</w:t>
      </w:r>
      <w:proofErr w:type="gramEnd"/>
      <w:r w:rsidRPr="00255524">
        <w:t xml:space="preserve"> descriptive tyranny of the Common Assessment Framework: technologies of categorisation and professional practice in child welfare, British Journal of Social Work, 39 (7), pp.1197-1217.</w:t>
      </w:r>
    </w:p>
    <w:p w14:paraId="2352CE55" w14:textId="77777777" w:rsidR="00D020E8" w:rsidRDefault="00D020E8" w:rsidP="004A3588">
      <w:pPr>
        <w:spacing w:line="240" w:lineRule="auto"/>
      </w:pPr>
      <w:r w:rsidRPr="0024447A">
        <w:t xml:space="preserve">Whittaker, A. (2011) Social defences and organisational culture in a local authority child protection setting: challenges for the Munro Review? </w:t>
      </w:r>
      <w:r w:rsidRPr="0024447A">
        <w:rPr>
          <w:i/>
        </w:rPr>
        <w:t>Journal of Social Work Practice</w:t>
      </w:r>
      <w:r w:rsidRPr="0024447A">
        <w:t>, 25 (4), pp. 481-495.</w:t>
      </w:r>
    </w:p>
    <w:p w14:paraId="3AC25CC2" w14:textId="77777777" w:rsidR="006203CD" w:rsidRPr="0024447A" w:rsidRDefault="006203CD" w:rsidP="004A3588">
      <w:pPr>
        <w:spacing w:line="240" w:lineRule="auto"/>
      </w:pPr>
      <w:r w:rsidRPr="006203CD">
        <w:t xml:space="preserve">Wolff, R., </w:t>
      </w:r>
      <w:proofErr w:type="spellStart"/>
      <w:r w:rsidRPr="006203CD">
        <w:t>Biesel</w:t>
      </w:r>
      <w:proofErr w:type="spellEnd"/>
      <w:r w:rsidRPr="006203CD">
        <w:t xml:space="preserve">, K. and </w:t>
      </w:r>
      <w:proofErr w:type="spellStart"/>
      <w:r w:rsidRPr="006203CD">
        <w:t>Heinitz</w:t>
      </w:r>
      <w:proofErr w:type="spellEnd"/>
      <w:r w:rsidRPr="006203CD">
        <w:t xml:space="preserve">, S. (2011) Child protection in an age of uncertainty: Germany’s response, in: Gilbert, N., Parton, N. and </w:t>
      </w:r>
      <w:proofErr w:type="spellStart"/>
      <w:r w:rsidRPr="006203CD">
        <w:t>Skivens</w:t>
      </w:r>
      <w:proofErr w:type="spellEnd"/>
      <w:r w:rsidRPr="006203CD">
        <w:t>, M. (</w:t>
      </w:r>
      <w:proofErr w:type="spellStart"/>
      <w:proofErr w:type="gramStart"/>
      <w:r w:rsidRPr="006203CD">
        <w:t>eds</w:t>
      </w:r>
      <w:proofErr w:type="spellEnd"/>
      <w:proofErr w:type="gramEnd"/>
      <w:r w:rsidRPr="006203CD">
        <w:t xml:space="preserve">) (2011) </w:t>
      </w:r>
      <w:r w:rsidRPr="006203CD">
        <w:rPr>
          <w:i/>
        </w:rPr>
        <w:t>Child protection systems: international trends and orientations</w:t>
      </w:r>
      <w:r w:rsidRPr="006203CD">
        <w:t>. New York: Oxford University Press.</w:t>
      </w:r>
    </w:p>
    <w:p w14:paraId="4D6D5C10" w14:textId="77777777" w:rsidR="00362A6D" w:rsidRPr="00362A6D" w:rsidRDefault="00362A6D" w:rsidP="00362A6D">
      <w:pPr>
        <w:autoSpaceDE w:val="0"/>
        <w:autoSpaceDN w:val="0"/>
        <w:adjustRightInd w:val="0"/>
        <w:spacing w:line="240" w:lineRule="auto"/>
        <w:rPr>
          <w:color w:val="231F20"/>
        </w:rPr>
      </w:pPr>
    </w:p>
    <w:p w14:paraId="7771A6A1" w14:textId="77777777" w:rsidR="0065538D" w:rsidRPr="00362A6D" w:rsidRDefault="0065538D" w:rsidP="00362A6D">
      <w:pPr>
        <w:spacing w:line="240" w:lineRule="auto"/>
      </w:pPr>
    </w:p>
    <w:p w14:paraId="5E126001" w14:textId="77777777" w:rsidR="007B5F47" w:rsidRPr="00362A6D" w:rsidRDefault="007B5F47" w:rsidP="00362A6D">
      <w:pPr>
        <w:spacing w:line="240" w:lineRule="auto"/>
      </w:pPr>
    </w:p>
    <w:p w14:paraId="01F9E766" w14:textId="77777777" w:rsidR="00B4379A" w:rsidRPr="00362A6D" w:rsidRDefault="00B4379A" w:rsidP="00362A6D">
      <w:pPr>
        <w:spacing w:line="240" w:lineRule="auto"/>
      </w:pPr>
    </w:p>
    <w:p w14:paraId="6B2EF025" w14:textId="77777777" w:rsidR="00B4379A" w:rsidRPr="00362A6D" w:rsidRDefault="00B4379A" w:rsidP="00362A6D">
      <w:pPr>
        <w:spacing w:line="240" w:lineRule="auto"/>
      </w:pPr>
    </w:p>
    <w:p w14:paraId="02BFAF36" w14:textId="77777777" w:rsidR="00B4379A" w:rsidRPr="00362A6D" w:rsidRDefault="00B4379A" w:rsidP="00362A6D">
      <w:pPr>
        <w:spacing w:line="240" w:lineRule="auto"/>
      </w:pPr>
    </w:p>
    <w:p w14:paraId="0EB16716" w14:textId="77777777" w:rsidR="00B4379A" w:rsidRPr="00362A6D" w:rsidRDefault="00B4379A" w:rsidP="00362A6D">
      <w:pPr>
        <w:spacing w:line="240" w:lineRule="auto"/>
      </w:pPr>
    </w:p>
    <w:p w14:paraId="46CC80E0" w14:textId="77777777" w:rsidR="005C007D" w:rsidRPr="00BE4F95" w:rsidRDefault="005C007D" w:rsidP="00362A6D">
      <w:pPr>
        <w:spacing w:line="240" w:lineRule="auto"/>
        <w:rPr>
          <w:sz w:val="28"/>
          <w:szCs w:val="28"/>
        </w:rPr>
      </w:pPr>
    </w:p>
    <w:sectPr w:rsidR="005C007D" w:rsidRPr="00BE4F95" w:rsidSect="00BE4F95">
      <w:footerReference w:type="default" r:id="rId10"/>
      <w:footnotePr>
        <w:pos w:val="beneathText"/>
      </w:foot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7AB91F" w15:done="0"/>
  <w15:commentEx w15:paraId="001CE0B0" w15:done="0"/>
  <w15:commentEx w15:paraId="6EE46E51" w15:done="0"/>
  <w15:commentEx w15:paraId="5FC782F1" w15:done="0"/>
  <w15:commentEx w15:paraId="379BE5FC" w15:done="0"/>
  <w15:commentEx w15:paraId="466DBD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0BD64" w14:textId="77777777" w:rsidR="00C76EDD" w:rsidRDefault="00C76EDD" w:rsidP="005C007D">
      <w:pPr>
        <w:spacing w:after="0" w:line="240" w:lineRule="auto"/>
      </w:pPr>
      <w:r>
        <w:separator/>
      </w:r>
    </w:p>
  </w:endnote>
  <w:endnote w:type="continuationSeparator" w:id="0">
    <w:p w14:paraId="2C4A2530" w14:textId="77777777" w:rsidR="00C76EDD" w:rsidRDefault="00C76EDD" w:rsidP="005C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21613"/>
      <w:docPartObj>
        <w:docPartGallery w:val="Page Numbers (Bottom of Page)"/>
        <w:docPartUnique/>
      </w:docPartObj>
    </w:sdtPr>
    <w:sdtEndPr>
      <w:rPr>
        <w:noProof/>
      </w:rPr>
    </w:sdtEndPr>
    <w:sdtContent>
      <w:p w14:paraId="51986F50" w14:textId="77777777" w:rsidR="00234F40" w:rsidRDefault="00977885">
        <w:pPr>
          <w:pStyle w:val="Footer"/>
          <w:jc w:val="center"/>
        </w:pPr>
        <w:r>
          <w:fldChar w:fldCharType="begin"/>
        </w:r>
        <w:r w:rsidR="005A3C79">
          <w:instrText xml:space="preserve"> PAGE   \* MERGEFORMAT </w:instrText>
        </w:r>
        <w:r>
          <w:fldChar w:fldCharType="separate"/>
        </w:r>
        <w:r w:rsidR="009F7A75">
          <w:rPr>
            <w:noProof/>
          </w:rPr>
          <w:t>9</w:t>
        </w:r>
        <w:r>
          <w:rPr>
            <w:noProof/>
          </w:rPr>
          <w:fldChar w:fldCharType="end"/>
        </w:r>
      </w:p>
    </w:sdtContent>
  </w:sdt>
  <w:p w14:paraId="5FF32135" w14:textId="77777777" w:rsidR="00234F40" w:rsidRDefault="00234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727A3" w14:textId="77777777" w:rsidR="00C76EDD" w:rsidRDefault="00C76EDD" w:rsidP="005C007D">
      <w:pPr>
        <w:spacing w:after="0" w:line="240" w:lineRule="auto"/>
      </w:pPr>
      <w:r>
        <w:separator/>
      </w:r>
    </w:p>
  </w:footnote>
  <w:footnote w:type="continuationSeparator" w:id="0">
    <w:p w14:paraId="59D9C5C1" w14:textId="77777777" w:rsidR="00C76EDD" w:rsidRDefault="00C76EDD" w:rsidP="005C0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59B"/>
    <w:multiLevelType w:val="hybridMultilevel"/>
    <w:tmpl w:val="0C98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664AD2"/>
    <w:multiLevelType w:val="hybridMultilevel"/>
    <w:tmpl w:val="1E7A8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90012F"/>
    <w:multiLevelType w:val="hybridMultilevel"/>
    <w:tmpl w:val="40C8A260"/>
    <w:lvl w:ilvl="0" w:tplc="975AE4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DC7BC1"/>
    <w:multiLevelType w:val="hybridMultilevel"/>
    <w:tmpl w:val="C240B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4D67EE"/>
    <w:multiLevelType w:val="hybridMultilevel"/>
    <w:tmpl w:val="C240B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926F5"/>
    <w:multiLevelType w:val="hybridMultilevel"/>
    <w:tmpl w:val="5DD8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34380D"/>
    <w:multiLevelType w:val="hybridMultilevel"/>
    <w:tmpl w:val="92CE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C34DC0"/>
    <w:multiLevelType w:val="hybridMultilevel"/>
    <w:tmpl w:val="0F2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7D"/>
    <w:rsid w:val="000036E8"/>
    <w:rsid w:val="00010E77"/>
    <w:rsid w:val="0003238F"/>
    <w:rsid w:val="00033D77"/>
    <w:rsid w:val="0003794A"/>
    <w:rsid w:val="0005212E"/>
    <w:rsid w:val="00074338"/>
    <w:rsid w:val="000B0D30"/>
    <w:rsid w:val="000B3506"/>
    <w:rsid w:val="000C47ED"/>
    <w:rsid w:val="000D7355"/>
    <w:rsid w:val="000F0C41"/>
    <w:rsid w:val="000F3FF6"/>
    <w:rsid w:val="001013F0"/>
    <w:rsid w:val="001023BF"/>
    <w:rsid w:val="00102FF1"/>
    <w:rsid w:val="0010341D"/>
    <w:rsid w:val="001037E5"/>
    <w:rsid w:val="00104755"/>
    <w:rsid w:val="00107CF7"/>
    <w:rsid w:val="00113716"/>
    <w:rsid w:val="001173E8"/>
    <w:rsid w:val="00125E2F"/>
    <w:rsid w:val="00135794"/>
    <w:rsid w:val="00136312"/>
    <w:rsid w:val="0013655D"/>
    <w:rsid w:val="00153660"/>
    <w:rsid w:val="001544D4"/>
    <w:rsid w:val="001568F9"/>
    <w:rsid w:val="00163802"/>
    <w:rsid w:val="001640F8"/>
    <w:rsid w:val="00170F70"/>
    <w:rsid w:val="00176BEF"/>
    <w:rsid w:val="001900EE"/>
    <w:rsid w:val="001A0FA9"/>
    <w:rsid w:val="001A567F"/>
    <w:rsid w:val="001B13CB"/>
    <w:rsid w:val="001B398C"/>
    <w:rsid w:val="001B7846"/>
    <w:rsid w:val="001C529D"/>
    <w:rsid w:val="001D3282"/>
    <w:rsid w:val="001E0FD1"/>
    <w:rsid w:val="001E4082"/>
    <w:rsid w:val="001F4077"/>
    <w:rsid w:val="001F41DD"/>
    <w:rsid w:val="001F49BF"/>
    <w:rsid w:val="00201F18"/>
    <w:rsid w:val="002137D6"/>
    <w:rsid w:val="00223E61"/>
    <w:rsid w:val="00234F40"/>
    <w:rsid w:val="00242B3E"/>
    <w:rsid w:val="0024447A"/>
    <w:rsid w:val="002466F3"/>
    <w:rsid w:val="00247DBE"/>
    <w:rsid w:val="00255524"/>
    <w:rsid w:val="00273552"/>
    <w:rsid w:val="00276EF1"/>
    <w:rsid w:val="002801DE"/>
    <w:rsid w:val="00280F20"/>
    <w:rsid w:val="00281A07"/>
    <w:rsid w:val="00282A01"/>
    <w:rsid w:val="00283C78"/>
    <w:rsid w:val="00287CBF"/>
    <w:rsid w:val="002922F8"/>
    <w:rsid w:val="002C17E6"/>
    <w:rsid w:val="002D6EE2"/>
    <w:rsid w:val="002E7885"/>
    <w:rsid w:val="00310027"/>
    <w:rsid w:val="0031619E"/>
    <w:rsid w:val="00317470"/>
    <w:rsid w:val="00324885"/>
    <w:rsid w:val="0034298A"/>
    <w:rsid w:val="00344F7E"/>
    <w:rsid w:val="003458BB"/>
    <w:rsid w:val="00346692"/>
    <w:rsid w:val="00362A6D"/>
    <w:rsid w:val="00363104"/>
    <w:rsid w:val="00364F03"/>
    <w:rsid w:val="00365F4A"/>
    <w:rsid w:val="0036716A"/>
    <w:rsid w:val="003672C1"/>
    <w:rsid w:val="00370DAA"/>
    <w:rsid w:val="00375672"/>
    <w:rsid w:val="00377DD9"/>
    <w:rsid w:val="00385BDB"/>
    <w:rsid w:val="003920D1"/>
    <w:rsid w:val="003B3B24"/>
    <w:rsid w:val="003D13C6"/>
    <w:rsid w:val="004004B4"/>
    <w:rsid w:val="00425C74"/>
    <w:rsid w:val="00426282"/>
    <w:rsid w:val="00427231"/>
    <w:rsid w:val="004437B2"/>
    <w:rsid w:val="00451119"/>
    <w:rsid w:val="00452CBA"/>
    <w:rsid w:val="0046162C"/>
    <w:rsid w:val="004705CA"/>
    <w:rsid w:val="00475E15"/>
    <w:rsid w:val="00481C2F"/>
    <w:rsid w:val="004941CA"/>
    <w:rsid w:val="0049758E"/>
    <w:rsid w:val="004A0411"/>
    <w:rsid w:val="004A3588"/>
    <w:rsid w:val="004B31F8"/>
    <w:rsid w:val="004D5EF1"/>
    <w:rsid w:val="004F6018"/>
    <w:rsid w:val="00520D8F"/>
    <w:rsid w:val="0052149C"/>
    <w:rsid w:val="00521E71"/>
    <w:rsid w:val="00525F20"/>
    <w:rsid w:val="00525F99"/>
    <w:rsid w:val="00535D7E"/>
    <w:rsid w:val="00543BF4"/>
    <w:rsid w:val="0054513B"/>
    <w:rsid w:val="00546FDE"/>
    <w:rsid w:val="005477C9"/>
    <w:rsid w:val="00547B63"/>
    <w:rsid w:val="00561320"/>
    <w:rsid w:val="00566051"/>
    <w:rsid w:val="0057064E"/>
    <w:rsid w:val="00572F56"/>
    <w:rsid w:val="00574FE0"/>
    <w:rsid w:val="005760C7"/>
    <w:rsid w:val="0058105F"/>
    <w:rsid w:val="005828FB"/>
    <w:rsid w:val="00586DFC"/>
    <w:rsid w:val="00587731"/>
    <w:rsid w:val="00597E19"/>
    <w:rsid w:val="005A39AE"/>
    <w:rsid w:val="005A3C79"/>
    <w:rsid w:val="005B479D"/>
    <w:rsid w:val="005C007D"/>
    <w:rsid w:val="005C03BA"/>
    <w:rsid w:val="005C2341"/>
    <w:rsid w:val="005C7C11"/>
    <w:rsid w:val="005D07CC"/>
    <w:rsid w:val="005D45BF"/>
    <w:rsid w:val="005E5A31"/>
    <w:rsid w:val="005E7080"/>
    <w:rsid w:val="005F4A68"/>
    <w:rsid w:val="005F76EC"/>
    <w:rsid w:val="00605F77"/>
    <w:rsid w:val="00610E15"/>
    <w:rsid w:val="00613378"/>
    <w:rsid w:val="0061723A"/>
    <w:rsid w:val="006203CD"/>
    <w:rsid w:val="0062132D"/>
    <w:rsid w:val="00637FE6"/>
    <w:rsid w:val="006446FD"/>
    <w:rsid w:val="00647F96"/>
    <w:rsid w:val="0065181E"/>
    <w:rsid w:val="0065538D"/>
    <w:rsid w:val="0066528E"/>
    <w:rsid w:val="006703AA"/>
    <w:rsid w:val="00672EE4"/>
    <w:rsid w:val="006761C3"/>
    <w:rsid w:val="006766FE"/>
    <w:rsid w:val="006847FA"/>
    <w:rsid w:val="006946C0"/>
    <w:rsid w:val="0069592C"/>
    <w:rsid w:val="00696E2F"/>
    <w:rsid w:val="006A3583"/>
    <w:rsid w:val="006B26C5"/>
    <w:rsid w:val="006B2B13"/>
    <w:rsid w:val="006C781B"/>
    <w:rsid w:val="006D2840"/>
    <w:rsid w:val="006E09C3"/>
    <w:rsid w:val="006E1533"/>
    <w:rsid w:val="006F4434"/>
    <w:rsid w:val="007258AB"/>
    <w:rsid w:val="00732DA8"/>
    <w:rsid w:val="0073433D"/>
    <w:rsid w:val="007361A4"/>
    <w:rsid w:val="00736B4F"/>
    <w:rsid w:val="00737076"/>
    <w:rsid w:val="00752642"/>
    <w:rsid w:val="007536F1"/>
    <w:rsid w:val="00761153"/>
    <w:rsid w:val="0076341B"/>
    <w:rsid w:val="00764DCA"/>
    <w:rsid w:val="0078220B"/>
    <w:rsid w:val="0078673A"/>
    <w:rsid w:val="00797303"/>
    <w:rsid w:val="007B0D86"/>
    <w:rsid w:val="007B5D32"/>
    <w:rsid w:val="007B5F47"/>
    <w:rsid w:val="007B66DA"/>
    <w:rsid w:val="007C502E"/>
    <w:rsid w:val="007D1932"/>
    <w:rsid w:val="007D3AFB"/>
    <w:rsid w:val="007D5064"/>
    <w:rsid w:val="007E37D8"/>
    <w:rsid w:val="007E51BB"/>
    <w:rsid w:val="007F64DE"/>
    <w:rsid w:val="00804C87"/>
    <w:rsid w:val="00813ADA"/>
    <w:rsid w:val="0082224A"/>
    <w:rsid w:val="00850A7F"/>
    <w:rsid w:val="00851A64"/>
    <w:rsid w:val="00852EA8"/>
    <w:rsid w:val="00853343"/>
    <w:rsid w:val="00863955"/>
    <w:rsid w:val="00863DCF"/>
    <w:rsid w:val="00877C59"/>
    <w:rsid w:val="0089343D"/>
    <w:rsid w:val="008B6D98"/>
    <w:rsid w:val="008C0F3D"/>
    <w:rsid w:val="008C4E4E"/>
    <w:rsid w:val="008D4983"/>
    <w:rsid w:val="008D7EAE"/>
    <w:rsid w:val="008E3790"/>
    <w:rsid w:val="008E7DF1"/>
    <w:rsid w:val="0090441E"/>
    <w:rsid w:val="00907E7B"/>
    <w:rsid w:val="0091215D"/>
    <w:rsid w:val="00916708"/>
    <w:rsid w:val="00924FCB"/>
    <w:rsid w:val="009323C9"/>
    <w:rsid w:val="009349A4"/>
    <w:rsid w:val="009407CB"/>
    <w:rsid w:val="00942D45"/>
    <w:rsid w:val="00947A6F"/>
    <w:rsid w:val="0096171C"/>
    <w:rsid w:val="00965BC4"/>
    <w:rsid w:val="00966B1D"/>
    <w:rsid w:val="00971081"/>
    <w:rsid w:val="00971B8E"/>
    <w:rsid w:val="00976A44"/>
    <w:rsid w:val="00977885"/>
    <w:rsid w:val="009830B7"/>
    <w:rsid w:val="00994FC2"/>
    <w:rsid w:val="0099608C"/>
    <w:rsid w:val="009A74E3"/>
    <w:rsid w:val="009B1AFE"/>
    <w:rsid w:val="009B7128"/>
    <w:rsid w:val="009E27DF"/>
    <w:rsid w:val="009E5127"/>
    <w:rsid w:val="009F7A75"/>
    <w:rsid w:val="00A001D2"/>
    <w:rsid w:val="00A04C3B"/>
    <w:rsid w:val="00A12F59"/>
    <w:rsid w:val="00A137A4"/>
    <w:rsid w:val="00A258ED"/>
    <w:rsid w:val="00A30DBB"/>
    <w:rsid w:val="00A35BE9"/>
    <w:rsid w:val="00A3787E"/>
    <w:rsid w:val="00A37B16"/>
    <w:rsid w:val="00A40746"/>
    <w:rsid w:val="00A41E5A"/>
    <w:rsid w:val="00A653FD"/>
    <w:rsid w:val="00A757E1"/>
    <w:rsid w:val="00A910F1"/>
    <w:rsid w:val="00A91735"/>
    <w:rsid w:val="00A97D96"/>
    <w:rsid w:val="00AB125C"/>
    <w:rsid w:val="00AB4D69"/>
    <w:rsid w:val="00AE2CD3"/>
    <w:rsid w:val="00B024C1"/>
    <w:rsid w:val="00B02922"/>
    <w:rsid w:val="00B103BC"/>
    <w:rsid w:val="00B15D90"/>
    <w:rsid w:val="00B249E7"/>
    <w:rsid w:val="00B25DA9"/>
    <w:rsid w:val="00B3216A"/>
    <w:rsid w:val="00B4379A"/>
    <w:rsid w:val="00B450F8"/>
    <w:rsid w:val="00B523B0"/>
    <w:rsid w:val="00B54C4A"/>
    <w:rsid w:val="00B60F81"/>
    <w:rsid w:val="00B611F3"/>
    <w:rsid w:val="00B61D90"/>
    <w:rsid w:val="00B75B55"/>
    <w:rsid w:val="00B856D8"/>
    <w:rsid w:val="00B951ED"/>
    <w:rsid w:val="00BC4035"/>
    <w:rsid w:val="00BC564A"/>
    <w:rsid w:val="00BD0DA1"/>
    <w:rsid w:val="00BE2D39"/>
    <w:rsid w:val="00BE4F95"/>
    <w:rsid w:val="00BE6EF1"/>
    <w:rsid w:val="00BE7838"/>
    <w:rsid w:val="00BF35CB"/>
    <w:rsid w:val="00BF7E9F"/>
    <w:rsid w:val="00C00864"/>
    <w:rsid w:val="00C11F3E"/>
    <w:rsid w:val="00C133DD"/>
    <w:rsid w:val="00C147A6"/>
    <w:rsid w:val="00C151BE"/>
    <w:rsid w:val="00C159FE"/>
    <w:rsid w:val="00C2138D"/>
    <w:rsid w:val="00C214B6"/>
    <w:rsid w:val="00C22C3D"/>
    <w:rsid w:val="00C22D77"/>
    <w:rsid w:val="00C36A03"/>
    <w:rsid w:val="00C372D5"/>
    <w:rsid w:val="00C445B4"/>
    <w:rsid w:val="00C507E4"/>
    <w:rsid w:val="00C6136F"/>
    <w:rsid w:val="00C70385"/>
    <w:rsid w:val="00C71111"/>
    <w:rsid w:val="00C76EDD"/>
    <w:rsid w:val="00C832EE"/>
    <w:rsid w:val="00C921F0"/>
    <w:rsid w:val="00C94A39"/>
    <w:rsid w:val="00CA1D16"/>
    <w:rsid w:val="00CA4983"/>
    <w:rsid w:val="00CE31CC"/>
    <w:rsid w:val="00CF2C70"/>
    <w:rsid w:val="00CF6C31"/>
    <w:rsid w:val="00D020E8"/>
    <w:rsid w:val="00D11CE3"/>
    <w:rsid w:val="00D15351"/>
    <w:rsid w:val="00D15FD6"/>
    <w:rsid w:val="00D17654"/>
    <w:rsid w:val="00D21A0D"/>
    <w:rsid w:val="00D2466A"/>
    <w:rsid w:val="00D309B1"/>
    <w:rsid w:val="00D33FD1"/>
    <w:rsid w:val="00D36F47"/>
    <w:rsid w:val="00D40701"/>
    <w:rsid w:val="00D4177A"/>
    <w:rsid w:val="00D45393"/>
    <w:rsid w:val="00D71A23"/>
    <w:rsid w:val="00D82796"/>
    <w:rsid w:val="00D85D6F"/>
    <w:rsid w:val="00D86013"/>
    <w:rsid w:val="00D868CC"/>
    <w:rsid w:val="00D94CDF"/>
    <w:rsid w:val="00DA4A2A"/>
    <w:rsid w:val="00DA704A"/>
    <w:rsid w:val="00DA79AE"/>
    <w:rsid w:val="00DB2713"/>
    <w:rsid w:val="00DB2A6D"/>
    <w:rsid w:val="00DD0232"/>
    <w:rsid w:val="00DD128E"/>
    <w:rsid w:val="00DD4BB4"/>
    <w:rsid w:val="00DF4C4B"/>
    <w:rsid w:val="00E131BD"/>
    <w:rsid w:val="00E1414C"/>
    <w:rsid w:val="00E21055"/>
    <w:rsid w:val="00E463C2"/>
    <w:rsid w:val="00E57A94"/>
    <w:rsid w:val="00E62336"/>
    <w:rsid w:val="00E749D4"/>
    <w:rsid w:val="00E82FF0"/>
    <w:rsid w:val="00E944FA"/>
    <w:rsid w:val="00E95AD7"/>
    <w:rsid w:val="00EA4A3B"/>
    <w:rsid w:val="00EA6D94"/>
    <w:rsid w:val="00ED6622"/>
    <w:rsid w:val="00ED6FFC"/>
    <w:rsid w:val="00EE6F0F"/>
    <w:rsid w:val="00EF0FC6"/>
    <w:rsid w:val="00EF63F6"/>
    <w:rsid w:val="00F16448"/>
    <w:rsid w:val="00F21A83"/>
    <w:rsid w:val="00F37B67"/>
    <w:rsid w:val="00F44604"/>
    <w:rsid w:val="00F44C43"/>
    <w:rsid w:val="00F47308"/>
    <w:rsid w:val="00F73586"/>
    <w:rsid w:val="00F73587"/>
    <w:rsid w:val="00F744A8"/>
    <w:rsid w:val="00F750D8"/>
    <w:rsid w:val="00F758AB"/>
    <w:rsid w:val="00F8036E"/>
    <w:rsid w:val="00F91D19"/>
    <w:rsid w:val="00FA33D9"/>
    <w:rsid w:val="00FA482E"/>
    <w:rsid w:val="00FA7C02"/>
    <w:rsid w:val="00FB0701"/>
    <w:rsid w:val="00FB30F4"/>
    <w:rsid w:val="00FB3B4E"/>
    <w:rsid w:val="00FC4448"/>
    <w:rsid w:val="00FE035A"/>
    <w:rsid w:val="00FE258E"/>
    <w:rsid w:val="00FE5A85"/>
    <w:rsid w:val="00FF05C1"/>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7D"/>
  </w:style>
  <w:style w:type="paragraph" w:styleId="Footer">
    <w:name w:val="footer"/>
    <w:basedOn w:val="Normal"/>
    <w:link w:val="FooterChar"/>
    <w:uiPriority w:val="99"/>
    <w:unhideWhenUsed/>
    <w:rsid w:val="005C0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7D"/>
  </w:style>
  <w:style w:type="character" w:styleId="Hyperlink">
    <w:name w:val="Hyperlink"/>
    <w:basedOn w:val="DefaultParagraphFont"/>
    <w:uiPriority w:val="99"/>
    <w:unhideWhenUsed/>
    <w:rsid w:val="00362A6D"/>
    <w:rPr>
      <w:color w:val="0000FF" w:themeColor="hyperlink"/>
      <w:u w:val="single"/>
    </w:rPr>
  </w:style>
  <w:style w:type="paragraph" w:styleId="ListParagraph">
    <w:name w:val="List Paragraph"/>
    <w:basedOn w:val="Normal"/>
    <w:uiPriority w:val="34"/>
    <w:qFormat/>
    <w:rsid w:val="00FE258E"/>
    <w:pPr>
      <w:ind w:left="720"/>
      <w:contextualSpacing/>
    </w:pPr>
  </w:style>
  <w:style w:type="paragraph" w:styleId="Revision">
    <w:name w:val="Revision"/>
    <w:hidden/>
    <w:uiPriority w:val="99"/>
    <w:semiHidden/>
    <w:rsid w:val="009B1AFE"/>
    <w:pPr>
      <w:spacing w:after="0" w:line="240" w:lineRule="auto"/>
    </w:pPr>
  </w:style>
  <w:style w:type="paragraph" w:styleId="BalloonText">
    <w:name w:val="Balloon Text"/>
    <w:basedOn w:val="Normal"/>
    <w:link w:val="BalloonTextChar"/>
    <w:uiPriority w:val="99"/>
    <w:semiHidden/>
    <w:unhideWhenUsed/>
    <w:rsid w:val="009B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FE"/>
    <w:rPr>
      <w:rFonts w:ascii="Tahoma" w:hAnsi="Tahoma" w:cs="Tahoma"/>
      <w:sz w:val="16"/>
      <w:szCs w:val="16"/>
    </w:rPr>
  </w:style>
  <w:style w:type="paragraph" w:styleId="BodyText">
    <w:name w:val="Body Text"/>
    <w:basedOn w:val="Normal"/>
    <w:link w:val="BodyTextChar"/>
    <w:unhideWhenUsed/>
    <w:rsid w:val="00201F18"/>
    <w:pPr>
      <w:spacing w:after="0" w:line="240" w:lineRule="auto"/>
      <w:jc w:val="both"/>
    </w:pPr>
    <w:rPr>
      <w:rFonts w:eastAsia="Times New Roman"/>
      <w:sz w:val="22"/>
    </w:rPr>
  </w:style>
  <w:style w:type="character" w:customStyle="1" w:styleId="BodyTextChar">
    <w:name w:val="Body Text Char"/>
    <w:basedOn w:val="DefaultParagraphFont"/>
    <w:link w:val="BodyText"/>
    <w:rsid w:val="00201F18"/>
    <w:rPr>
      <w:rFonts w:eastAsia="Times New Roman"/>
      <w:sz w:val="22"/>
    </w:rPr>
  </w:style>
  <w:style w:type="table" w:styleId="TableGrid">
    <w:name w:val="Table Grid"/>
    <w:basedOn w:val="TableNormal"/>
    <w:uiPriority w:val="59"/>
    <w:rsid w:val="008934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3955"/>
    <w:rPr>
      <w:b/>
      <w:bCs/>
    </w:rPr>
  </w:style>
  <w:style w:type="character" w:customStyle="1" w:styleId="personname">
    <w:name w:val="person_name"/>
    <w:basedOn w:val="DefaultParagraphFont"/>
    <w:rsid w:val="00863955"/>
  </w:style>
  <w:style w:type="paragraph" w:styleId="FootnoteText">
    <w:name w:val="footnote text"/>
    <w:basedOn w:val="Normal"/>
    <w:link w:val="FootnoteTextChar"/>
    <w:uiPriority w:val="99"/>
    <w:semiHidden/>
    <w:unhideWhenUsed/>
    <w:rsid w:val="00545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13B"/>
    <w:rPr>
      <w:sz w:val="20"/>
      <w:szCs w:val="20"/>
    </w:rPr>
  </w:style>
  <w:style w:type="character" w:styleId="FootnoteReference">
    <w:name w:val="footnote reference"/>
    <w:basedOn w:val="DefaultParagraphFont"/>
    <w:uiPriority w:val="99"/>
    <w:semiHidden/>
    <w:unhideWhenUsed/>
    <w:rsid w:val="0054513B"/>
    <w:rPr>
      <w:vertAlign w:val="superscript"/>
    </w:rPr>
  </w:style>
  <w:style w:type="character" w:styleId="CommentReference">
    <w:name w:val="annotation reference"/>
    <w:basedOn w:val="DefaultParagraphFont"/>
    <w:uiPriority w:val="99"/>
    <w:semiHidden/>
    <w:unhideWhenUsed/>
    <w:rsid w:val="006203CD"/>
    <w:rPr>
      <w:sz w:val="16"/>
      <w:szCs w:val="16"/>
    </w:rPr>
  </w:style>
  <w:style w:type="paragraph" w:styleId="CommentText">
    <w:name w:val="annotation text"/>
    <w:basedOn w:val="Normal"/>
    <w:link w:val="CommentTextChar"/>
    <w:uiPriority w:val="99"/>
    <w:semiHidden/>
    <w:unhideWhenUsed/>
    <w:rsid w:val="006203CD"/>
    <w:pPr>
      <w:spacing w:line="240" w:lineRule="auto"/>
    </w:pPr>
    <w:rPr>
      <w:sz w:val="20"/>
      <w:szCs w:val="20"/>
    </w:rPr>
  </w:style>
  <w:style w:type="character" w:customStyle="1" w:styleId="CommentTextChar">
    <w:name w:val="Comment Text Char"/>
    <w:basedOn w:val="DefaultParagraphFont"/>
    <w:link w:val="CommentText"/>
    <w:uiPriority w:val="99"/>
    <w:semiHidden/>
    <w:rsid w:val="006203CD"/>
    <w:rPr>
      <w:sz w:val="20"/>
      <w:szCs w:val="20"/>
    </w:rPr>
  </w:style>
  <w:style w:type="paragraph" w:styleId="CommentSubject">
    <w:name w:val="annotation subject"/>
    <w:basedOn w:val="CommentText"/>
    <w:next w:val="CommentText"/>
    <w:link w:val="CommentSubjectChar"/>
    <w:uiPriority w:val="99"/>
    <w:semiHidden/>
    <w:unhideWhenUsed/>
    <w:rsid w:val="006203CD"/>
    <w:rPr>
      <w:b/>
      <w:bCs/>
    </w:rPr>
  </w:style>
  <w:style w:type="character" w:customStyle="1" w:styleId="CommentSubjectChar">
    <w:name w:val="Comment Subject Char"/>
    <w:basedOn w:val="CommentTextChar"/>
    <w:link w:val="CommentSubject"/>
    <w:uiPriority w:val="99"/>
    <w:semiHidden/>
    <w:rsid w:val="006203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7D"/>
  </w:style>
  <w:style w:type="paragraph" w:styleId="Footer">
    <w:name w:val="footer"/>
    <w:basedOn w:val="Normal"/>
    <w:link w:val="FooterChar"/>
    <w:uiPriority w:val="99"/>
    <w:unhideWhenUsed/>
    <w:rsid w:val="005C0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7D"/>
  </w:style>
  <w:style w:type="character" w:styleId="Hyperlink">
    <w:name w:val="Hyperlink"/>
    <w:basedOn w:val="DefaultParagraphFont"/>
    <w:uiPriority w:val="99"/>
    <w:unhideWhenUsed/>
    <w:rsid w:val="00362A6D"/>
    <w:rPr>
      <w:color w:val="0000FF" w:themeColor="hyperlink"/>
      <w:u w:val="single"/>
    </w:rPr>
  </w:style>
  <w:style w:type="paragraph" w:styleId="ListParagraph">
    <w:name w:val="List Paragraph"/>
    <w:basedOn w:val="Normal"/>
    <w:uiPriority w:val="34"/>
    <w:qFormat/>
    <w:rsid w:val="00FE258E"/>
    <w:pPr>
      <w:ind w:left="720"/>
      <w:contextualSpacing/>
    </w:pPr>
  </w:style>
  <w:style w:type="paragraph" w:styleId="Revision">
    <w:name w:val="Revision"/>
    <w:hidden/>
    <w:uiPriority w:val="99"/>
    <w:semiHidden/>
    <w:rsid w:val="009B1AFE"/>
    <w:pPr>
      <w:spacing w:after="0" w:line="240" w:lineRule="auto"/>
    </w:pPr>
  </w:style>
  <w:style w:type="paragraph" w:styleId="BalloonText">
    <w:name w:val="Balloon Text"/>
    <w:basedOn w:val="Normal"/>
    <w:link w:val="BalloonTextChar"/>
    <w:uiPriority w:val="99"/>
    <w:semiHidden/>
    <w:unhideWhenUsed/>
    <w:rsid w:val="009B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FE"/>
    <w:rPr>
      <w:rFonts w:ascii="Tahoma" w:hAnsi="Tahoma" w:cs="Tahoma"/>
      <w:sz w:val="16"/>
      <w:szCs w:val="16"/>
    </w:rPr>
  </w:style>
  <w:style w:type="paragraph" w:styleId="BodyText">
    <w:name w:val="Body Text"/>
    <w:basedOn w:val="Normal"/>
    <w:link w:val="BodyTextChar"/>
    <w:unhideWhenUsed/>
    <w:rsid w:val="00201F18"/>
    <w:pPr>
      <w:spacing w:after="0" w:line="240" w:lineRule="auto"/>
      <w:jc w:val="both"/>
    </w:pPr>
    <w:rPr>
      <w:rFonts w:eastAsia="Times New Roman"/>
      <w:sz w:val="22"/>
    </w:rPr>
  </w:style>
  <w:style w:type="character" w:customStyle="1" w:styleId="BodyTextChar">
    <w:name w:val="Body Text Char"/>
    <w:basedOn w:val="DefaultParagraphFont"/>
    <w:link w:val="BodyText"/>
    <w:rsid w:val="00201F18"/>
    <w:rPr>
      <w:rFonts w:eastAsia="Times New Roman"/>
      <w:sz w:val="22"/>
    </w:rPr>
  </w:style>
  <w:style w:type="table" w:styleId="TableGrid">
    <w:name w:val="Table Grid"/>
    <w:basedOn w:val="TableNormal"/>
    <w:uiPriority w:val="59"/>
    <w:rsid w:val="008934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3955"/>
    <w:rPr>
      <w:b/>
      <w:bCs/>
    </w:rPr>
  </w:style>
  <w:style w:type="character" w:customStyle="1" w:styleId="personname">
    <w:name w:val="person_name"/>
    <w:basedOn w:val="DefaultParagraphFont"/>
    <w:rsid w:val="00863955"/>
  </w:style>
  <w:style w:type="paragraph" w:styleId="FootnoteText">
    <w:name w:val="footnote text"/>
    <w:basedOn w:val="Normal"/>
    <w:link w:val="FootnoteTextChar"/>
    <w:uiPriority w:val="99"/>
    <w:semiHidden/>
    <w:unhideWhenUsed/>
    <w:rsid w:val="00545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13B"/>
    <w:rPr>
      <w:sz w:val="20"/>
      <w:szCs w:val="20"/>
    </w:rPr>
  </w:style>
  <w:style w:type="character" w:styleId="FootnoteReference">
    <w:name w:val="footnote reference"/>
    <w:basedOn w:val="DefaultParagraphFont"/>
    <w:uiPriority w:val="99"/>
    <w:semiHidden/>
    <w:unhideWhenUsed/>
    <w:rsid w:val="0054513B"/>
    <w:rPr>
      <w:vertAlign w:val="superscript"/>
    </w:rPr>
  </w:style>
  <w:style w:type="character" w:styleId="CommentReference">
    <w:name w:val="annotation reference"/>
    <w:basedOn w:val="DefaultParagraphFont"/>
    <w:uiPriority w:val="99"/>
    <w:semiHidden/>
    <w:unhideWhenUsed/>
    <w:rsid w:val="006203CD"/>
    <w:rPr>
      <w:sz w:val="16"/>
      <w:szCs w:val="16"/>
    </w:rPr>
  </w:style>
  <w:style w:type="paragraph" w:styleId="CommentText">
    <w:name w:val="annotation text"/>
    <w:basedOn w:val="Normal"/>
    <w:link w:val="CommentTextChar"/>
    <w:uiPriority w:val="99"/>
    <w:semiHidden/>
    <w:unhideWhenUsed/>
    <w:rsid w:val="006203CD"/>
    <w:pPr>
      <w:spacing w:line="240" w:lineRule="auto"/>
    </w:pPr>
    <w:rPr>
      <w:sz w:val="20"/>
      <w:szCs w:val="20"/>
    </w:rPr>
  </w:style>
  <w:style w:type="character" w:customStyle="1" w:styleId="CommentTextChar">
    <w:name w:val="Comment Text Char"/>
    <w:basedOn w:val="DefaultParagraphFont"/>
    <w:link w:val="CommentText"/>
    <w:uiPriority w:val="99"/>
    <w:semiHidden/>
    <w:rsid w:val="006203CD"/>
    <w:rPr>
      <w:sz w:val="20"/>
      <w:szCs w:val="20"/>
    </w:rPr>
  </w:style>
  <w:style w:type="paragraph" w:styleId="CommentSubject">
    <w:name w:val="annotation subject"/>
    <w:basedOn w:val="CommentText"/>
    <w:next w:val="CommentText"/>
    <w:link w:val="CommentSubjectChar"/>
    <w:uiPriority w:val="99"/>
    <w:semiHidden/>
    <w:unhideWhenUsed/>
    <w:rsid w:val="006203CD"/>
    <w:rPr>
      <w:b/>
      <w:bCs/>
    </w:rPr>
  </w:style>
  <w:style w:type="character" w:customStyle="1" w:styleId="CommentSubjectChar">
    <w:name w:val="Comment Subject Char"/>
    <w:basedOn w:val="CommentTextChar"/>
    <w:link w:val="CommentSubject"/>
    <w:uiPriority w:val="99"/>
    <w:semiHidden/>
    <w:rsid w:val="00620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cation.gov.uk/munro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605B-850A-4EA5-A054-F1CF2E19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higginm2</dc:creator>
  <cp:lastModifiedBy>Higgins, Martyn 2</cp:lastModifiedBy>
  <cp:revision>3</cp:revision>
  <cp:lastPrinted>2016-09-02T11:51:00Z</cp:lastPrinted>
  <dcterms:created xsi:type="dcterms:W3CDTF">2016-11-23T10:12:00Z</dcterms:created>
  <dcterms:modified xsi:type="dcterms:W3CDTF">2016-11-23T10:15:00Z</dcterms:modified>
</cp:coreProperties>
</file>