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2BD" w:rsidRPr="000A6F05" w:rsidRDefault="00B40454" w:rsidP="008152BD">
      <w:pPr>
        <w:tabs>
          <w:tab w:val="left" w:pos="0"/>
        </w:tabs>
        <w:spacing w:line="360" w:lineRule="auto"/>
        <w:rPr>
          <w:lang w:val="en-US"/>
        </w:rPr>
      </w:pPr>
      <w:r>
        <w:rPr>
          <w:lang w:val="en-US"/>
        </w:rPr>
        <w:t xml:space="preserve"> </w:t>
      </w:r>
      <w:r w:rsidR="008152BD" w:rsidRPr="000A6F05">
        <w:rPr>
          <w:lang w:val="en-US"/>
        </w:rPr>
        <w:t xml:space="preserve">Amount of words: </w:t>
      </w:r>
      <w:r w:rsidR="008D52AD" w:rsidRPr="000A6F05">
        <w:rPr>
          <w:lang w:val="en-US"/>
        </w:rPr>
        <w:t>5717</w:t>
      </w:r>
    </w:p>
    <w:p w:rsidR="008152BD" w:rsidRPr="000A6F05" w:rsidRDefault="008152BD" w:rsidP="00DC1D7D">
      <w:pPr>
        <w:tabs>
          <w:tab w:val="left" w:pos="0"/>
        </w:tabs>
        <w:spacing w:line="360" w:lineRule="auto"/>
        <w:jc w:val="center"/>
        <w:rPr>
          <w:lang w:val="en-US"/>
        </w:rPr>
      </w:pPr>
    </w:p>
    <w:p w:rsidR="00332AED" w:rsidRPr="000A6F05" w:rsidRDefault="00332AED" w:rsidP="00DC1D7D">
      <w:pPr>
        <w:tabs>
          <w:tab w:val="left" w:pos="0"/>
        </w:tabs>
        <w:spacing w:line="360" w:lineRule="auto"/>
        <w:jc w:val="center"/>
        <w:rPr>
          <w:lang w:val="en-US"/>
        </w:rPr>
      </w:pPr>
      <w:r w:rsidRPr="000A6F05">
        <w:rPr>
          <w:lang w:val="en-US"/>
        </w:rPr>
        <w:t xml:space="preserve">Life cycle assessment of salmon cold chains: </w:t>
      </w:r>
    </w:p>
    <w:p w:rsidR="000377DA" w:rsidRPr="000A6F05" w:rsidRDefault="00332AED" w:rsidP="00DC1D7D">
      <w:pPr>
        <w:tabs>
          <w:tab w:val="left" w:pos="0"/>
        </w:tabs>
        <w:spacing w:line="360" w:lineRule="auto"/>
        <w:jc w:val="center"/>
        <w:rPr>
          <w:lang w:val="en-US"/>
        </w:rPr>
      </w:pPr>
      <w:r w:rsidRPr="000A6F05">
        <w:rPr>
          <w:lang w:val="en-US"/>
        </w:rPr>
        <w:t xml:space="preserve">Comparison between chilling and superchilling technologies  </w:t>
      </w:r>
    </w:p>
    <w:p w:rsidR="000377DA" w:rsidRPr="000A6F05" w:rsidRDefault="000377DA" w:rsidP="00DC1D7D">
      <w:pPr>
        <w:tabs>
          <w:tab w:val="left" w:pos="0"/>
        </w:tabs>
        <w:spacing w:line="360" w:lineRule="auto"/>
        <w:jc w:val="center"/>
        <w:rPr>
          <w:lang w:val="en-US"/>
        </w:rPr>
      </w:pPr>
    </w:p>
    <w:p w:rsidR="000377DA" w:rsidRPr="000A6F05" w:rsidRDefault="00D86CA6" w:rsidP="00DC1D7D">
      <w:pPr>
        <w:tabs>
          <w:tab w:val="left" w:pos="0"/>
        </w:tabs>
        <w:spacing w:line="360" w:lineRule="auto"/>
        <w:jc w:val="center"/>
        <w:rPr>
          <w:vertAlign w:val="superscript"/>
          <w:lang w:val="en-US"/>
        </w:rPr>
      </w:pPr>
      <w:r w:rsidRPr="000A6F05">
        <w:rPr>
          <w:lang w:val="en-US"/>
        </w:rPr>
        <w:t>H</w:t>
      </w:r>
      <w:r w:rsidR="00B401DA" w:rsidRPr="000A6F05">
        <w:rPr>
          <w:lang w:val="en-US"/>
        </w:rPr>
        <w:t>.</w:t>
      </w:r>
      <w:r w:rsidRPr="000A6F05">
        <w:rPr>
          <w:lang w:val="en-US"/>
        </w:rPr>
        <w:t>M. Hoang</w:t>
      </w:r>
      <w:r w:rsidRPr="000A6F05">
        <w:rPr>
          <w:vertAlign w:val="superscript"/>
          <w:lang w:val="en-US"/>
        </w:rPr>
        <w:t xml:space="preserve"> a</w:t>
      </w:r>
      <w:r w:rsidRPr="000A6F05">
        <w:rPr>
          <w:rStyle w:val="FootnoteReference"/>
          <w:lang w:val="en-US"/>
        </w:rPr>
        <w:footnoteReference w:customMarkFollows="1" w:id="1"/>
        <w:t>*</w:t>
      </w:r>
      <w:r w:rsidRPr="000A6F05">
        <w:rPr>
          <w:lang w:val="en-US"/>
        </w:rPr>
        <w:t xml:space="preserve">, </w:t>
      </w:r>
      <w:r w:rsidR="00EB460A" w:rsidRPr="000A6F05">
        <w:rPr>
          <w:lang w:val="en-US"/>
        </w:rPr>
        <w:t xml:space="preserve">T. Brown </w:t>
      </w:r>
      <w:r w:rsidR="00EB460A" w:rsidRPr="000A6F05">
        <w:rPr>
          <w:vertAlign w:val="superscript"/>
          <w:lang w:val="en-US"/>
        </w:rPr>
        <w:t>b</w:t>
      </w:r>
      <w:r w:rsidR="00EB460A" w:rsidRPr="000A6F05">
        <w:rPr>
          <w:lang w:val="en-US"/>
        </w:rPr>
        <w:t xml:space="preserve">, </w:t>
      </w:r>
      <w:r w:rsidR="00332AED" w:rsidRPr="000A6F05">
        <w:rPr>
          <w:lang w:val="en-US"/>
        </w:rPr>
        <w:t>E</w:t>
      </w:r>
      <w:r w:rsidR="00E601E9" w:rsidRPr="000A6F05">
        <w:rPr>
          <w:lang w:val="en-US"/>
        </w:rPr>
        <w:t xml:space="preserve">. </w:t>
      </w:r>
      <w:r w:rsidR="00332AED" w:rsidRPr="000A6F05">
        <w:rPr>
          <w:lang w:val="en-US"/>
        </w:rPr>
        <w:t xml:space="preserve">Indergard </w:t>
      </w:r>
      <w:r w:rsidR="00332AED" w:rsidRPr="000A6F05">
        <w:rPr>
          <w:vertAlign w:val="superscript"/>
          <w:lang w:val="en-US"/>
        </w:rPr>
        <w:t>c</w:t>
      </w:r>
      <w:r w:rsidR="00332AED" w:rsidRPr="000A6F05">
        <w:rPr>
          <w:lang w:val="en-US"/>
        </w:rPr>
        <w:t xml:space="preserve">, </w:t>
      </w:r>
      <w:r w:rsidR="00EB460A" w:rsidRPr="000A6F05">
        <w:rPr>
          <w:lang w:val="en-US"/>
        </w:rPr>
        <w:t xml:space="preserve">D. Leducq </w:t>
      </w:r>
      <w:r w:rsidR="00EB460A" w:rsidRPr="000A6F05">
        <w:rPr>
          <w:vertAlign w:val="superscript"/>
          <w:lang w:val="en-US"/>
        </w:rPr>
        <w:t>a</w:t>
      </w:r>
      <w:r w:rsidR="00EB460A" w:rsidRPr="000A6F05">
        <w:rPr>
          <w:lang w:val="en-US"/>
        </w:rPr>
        <w:t xml:space="preserve">, </w:t>
      </w:r>
      <w:r w:rsidR="00332AED" w:rsidRPr="000A6F05">
        <w:rPr>
          <w:lang w:val="en-US"/>
        </w:rPr>
        <w:t xml:space="preserve">G. Alvarez </w:t>
      </w:r>
      <w:r w:rsidR="00332AED" w:rsidRPr="000A6F05">
        <w:rPr>
          <w:vertAlign w:val="superscript"/>
          <w:lang w:val="en-US"/>
        </w:rPr>
        <w:t>a</w:t>
      </w:r>
    </w:p>
    <w:p w:rsidR="000377DA" w:rsidRPr="000A6F05" w:rsidRDefault="000377DA" w:rsidP="00DC1D7D">
      <w:pPr>
        <w:tabs>
          <w:tab w:val="left" w:pos="0"/>
        </w:tabs>
        <w:spacing w:line="360" w:lineRule="auto"/>
        <w:jc w:val="center"/>
      </w:pPr>
      <w:r w:rsidRPr="000A6F05">
        <w:rPr>
          <w:vertAlign w:val="superscript"/>
        </w:rPr>
        <w:t>a</w:t>
      </w:r>
      <w:r w:rsidRPr="000A6F05">
        <w:t xml:space="preserve"> Irstea, UR GPAN, 1 rue Pierre-Gilles de Gennes, 92761 Antony, France</w:t>
      </w:r>
    </w:p>
    <w:p w:rsidR="000377DA" w:rsidRPr="000A6F05" w:rsidRDefault="000377DA" w:rsidP="00DC1D7D">
      <w:pPr>
        <w:tabs>
          <w:tab w:val="left" w:pos="0"/>
        </w:tabs>
        <w:spacing w:line="360" w:lineRule="auto"/>
        <w:jc w:val="center"/>
        <w:rPr>
          <w:lang w:val="en-US"/>
        </w:rPr>
      </w:pPr>
      <w:r w:rsidRPr="000A6F05">
        <w:rPr>
          <w:vertAlign w:val="superscript"/>
          <w:lang w:val="de-DE"/>
        </w:rPr>
        <w:t>b</w:t>
      </w:r>
      <w:r w:rsidRPr="000A6F05">
        <w:rPr>
          <w:lang w:val="de-DE"/>
        </w:rPr>
        <w:t xml:space="preserve">, </w:t>
      </w:r>
      <w:r w:rsidR="003C1007" w:rsidRPr="000A6F05">
        <w:rPr>
          <w:lang w:val="en-US"/>
        </w:rPr>
        <w:t>School of the Built Environment and Architecture, London South Bank University, Churchill Building, Langford, North Somerset, BS40 5DU, UK</w:t>
      </w:r>
    </w:p>
    <w:p w:rsidR="000377DA" w:rsidRPr="000A6F05" w:rsidRDefault="000377DA" w:rsidP="00DC1D7D">
      <w:pPr>
        <w:tabs>
          <w:tab w:val="left" w:pos="0"/>
        </w:tabs>
        <w:spacing w:line="360" w:lineRule="auto"/>
        <w:jc w:val="center"/>
        <w:rPr>
          <w:lang w:val="en-US"/>
        </w:rPr>
      </w:pPr>
      <w:r w:rsidRPr="000A6F05">
        <w:rPr>
          <w:vertAlign w:val="superscript"/>
          <w:lang w:val="en-US"/>
        </w:rPr>
        <w:t>c</w:t>
      </w:r>
      <w:r w:rsidRPr="000A6F05">
        <w:rPr>
          <w:lang w:val="en-US"/>
        </w:rPr>
        <w:t xml:space="preserve"> </w:t>
      </w:r>
      <w:r w:rsidR="00230B97" w:rsidRPr="000A6F05">
        <w:rPr>
          <w:lang w:val="en-US"/>
        </w:rPr>
        <w:t>SINTEF Energy Research, Kolbjørn Hejes vei 1D, NO-7465 Trondheim, Norway</w:t>
      </w:r>
    </w:p>
    <w:p w:rsidR="000377DA" w:rsidRPr="000A6F05" w:rsidRDefault="000377DA" w:rsidP="00DC1D7D">
      <w:pPr>
        <w:tabs>
          <w:tab w:val="left" w:pos="0"/>
        </w:tabs>
        <w:spacing w:line="360" w:lineRule="auto"/>
        <w:jc w:val="center"/>
        <w:rPr>
          <w:lang w:val="en-GB"/>
        </w:rPr>
      </w:pPr>
    </w:p>
    <w:p w:rsidR="004D1042" w:rsidRPr="000A6F05" w:rsidRDefault="000377DA" w:rsidP="00DC1D7D">
      <w:pPr>
        <w:tabs>
          <w:tab w:val="left" w:pos="0"/>
        </w:tabs>
        <w:spacing w:line="360" w:lineRule="auto"/>
        <w:rPr>
          <w:lang w:val="en-GB"/>
        </w:rPr>
      </w:pPr>
      <w:r w:rsidRPr="000A6F05">
        <w:rPr>
          <w:lang w:val="en-GB"/>
        </w:rPr>
        <w:t>Abstract</w:t>
      </w:r>
    </w:p>
    <w:p w:rsidR="00A63937" w:rsidRPr="000A6F05" w:rsidRDefault="003C1007" w:rsidP="00DC1D7D">
      <w:pPr>
        <w:pStyle w:val="BodyText"/>
        <w:tabs>
          <w:tab w:val="left" w:pos="0"/>
        </w:tabs>
        <w:spacing w:line="360" w:lineRule="auto"/>
        <w:jc w:val="both"/>
        <w:rPr>
          <w:color w:val="000000"/>
          <w:szCs w:val="24"/>
        </w:rPr>
      </w:pPr>
      <w:r w:rsidRPr="000A6F05">
        <w:rPr>
          <w:color w:val="000000"/>
          <w:lang w:val="en-US"/>
        </w:rPr>
        <w:t>The cold chain is defined as a set of refrigeration steps that maintain the quality and safety of food product. Refrigerant leakage and the use of fossil fuels to produce electrical power for refrigeration equipment contribute greatly to ozone depletion and global warming.</w:t>
      </w:r>
      <w:r w:rsidRPr="000A6F05">
        <w:rPr>
          <w:lang w:val="en-US"/>
        </w:rPr>
        <w:t xml:space="preserve"> Thus, n</w:t>
      </w:r>
      <w:r w:rsidRPr="000A6F05">
        <w:rPr>
          <w:color w:val="000000"/>
          <w:lang w:val="en-US"/>
        </w:rPr>
        <w:t xml:space="preserve">ew and emerging refrigeration technologies are developed to provide better energy efficient and environmentally friendly alternatives to current technologies. Superchilling is a concept where the temperature is reduced 1-2 °C below the initial freezing point of the product. The small amount of ice formed within the product (10-15%) serves as a heat sink, eliminating the need for ice during storage and transport. In this work, </w:t>
      </w:r>
      <w:r w:rsidRPr="000A6F05">
        <w:rPr>
          <w:lang w:val="en-US"/>
        </w:rPr>
        <w:t>Life Cycle Assessment (LCA) is applied to the chilling and superchilling salmon cold chains. The superchilling cold chain presents an important improvement compared to the chilled one</w:t>
      </w:r>
      <w:r w:rsidR="00C06195" w:rsidRPr="000A6F05">
        <w:rPr>
          <w:lang w:val="en-US"/>
        </w:rPr>
        <w:t>: diminution of about 20% of the environmental impacts. This improvement is mainly due to</w:t>
      </w:r>
      <w:r w:rsidRPr="000A6F05">
        <w:rPr>
          <w:lang w:val="en-US"/>
        </w:rPr>
        <w:t xml:space="preserve"> the augmentation of available volume for transportation.</w:t>
      </w:r>
      <w:r w:rsidR="0057520E" w:rsidRPr="000A6F05">
        <w:rPr>
          <w:lang w:val="en-US"/>
        </w:rPr>
        <w:t xml:space="preserve"> Other solutions to increase the environmental performance (replacement/reduction of packaging material, reduction of transport distance and diminution of electricity consumption in the display cabinet) are also studied. </w:t>
      </w:r>
    </w:p>
    <w:p w:rsidR="002E6031" w:rsidRPr="000A6F05" w:rsidRDefault="002E6031" w:rsidP="00DC1D7D">
      <w:pPr>
        <w:pStyle w:val="BodyText"/>
        <w:tabs>
          <w:tab w:val="left" w:pos="0"/>
        </w:tabs>
        <w:spacing w:line="360" w:lineRule="auto"/>
        <w:jc w:val="both"/>
        <w:rPr>
          <w:color w:val="000000"/>
          <w:szCs w:val="24"/>
        </w:rPr>
      </w:pPr>
    </w:p>
    <w:p w:rsidR="00E302D4" w:rsidRPr="000A6F05" w:rsidRDefault="00405CC8" w:rsidP="00DC1D7D">
      <w:pPr>
        <w:tabs>
          <w:tab w:val="left" w:pos="0"/>
        </w:tabs>
        <w:spacing w:line="360" w:lineRule="auto"/>
        <w:rPr>
          <w:lang w:val="en-GB"/>
        </w:rPr>
      </w:pPr>
      <w:r w:rsidRPr="000A6F05">
        <w:rPr>
          <w:i/>
          <w:lang w:val="en-GB"/>
        </w:rPr>
        <w:t>Keywords</w:t>
      </w:r>
      <w:r w:rsidRPr="000A6F05">
        <w:rPr>
          <w:lang w:val="en-GB"/>
        </w:rPr>
        <w:t xml:space="preserve">: </w:t>
      </w:r>
      <w:r w:rsidR="00200BDB" w:rsidRPr="000A6F05">
        <w:rPr>
          <w:lang w:val="en-GB"/>
        </w:rPr>
        <w:t>LCA, e</w:t>
      </w:r>
      <w:r w:rsidR="007F0D49" w:rsidRPr="000A6F05">
        <w:rPr>
          <w:lang w:val="en-GB"/>
        </w:rPr>
        <w:t>nvironmental impact, cold chain, superchilled</w:t>
      </w:r>
    </w:p>
    <w:p w:rsidR="0069266C" w:rsidRPr="000A6F05" w:rsidRDefault="0069266C" w:rsidP="00DC1D7D">
      <w:pPr>
        <w:tabs>
          <w:tab w:val="left" w:pos="0"/>
        </w:tabs>
        <w:spacing w:line="360" w:lineRule="auto"/>
        <w:rPr>
          <w:lang w:val="en-GB"/>
        </w:rPr>
      </w:pPr>
    </w:p>
    <w:p w:rsidR="00845BA3" w:rsidRPr="000A6F05" w:rsidRDefault="00845BA3" w:rsidP="00DC1D7D">
      <w:pPr>
        <w:tabs>
          <w:tab w:val="left" w:pos="0"/>
        </w:tabs>
        <w:rPr>
          <w:lang w:val="en-GB"/>
        </w:rPr>
      </w:pPr>
      <w:r w:rsidRPr="000A6F05">
        <w:rPr>
          <w:lang w:val="en-GB"/>
        </w:rPr>
        <w:br w:type="page"/>
      </w:r>
    </w:p>
    <w:p w:rsidR="00CD7593" w:rsidRPr="000A6F05" w:rsidRDefault="00CD7593" w:rsidP="00CD7593">
      <w:pPr>
        <w:spacing w:line="480" w:lineRule="auto"/>
        <w:jc w:val="both"/>
        <w:outlineLvl w:val="0"/>
        <w:rPr>
          <w:lang w:val="en-GB"/>
        </w:rPr>
      </w:pPr>
      <w:r w:rsidRPr="000A6F05">
        <w:rPr>
          <w:b/>
          <w:lang w:val="en-GB"/>
        </w:rPr>
        <w:lastRenderedPageBreak/>
        <w:t>Nomenclature</w:t>
      </w:r>
    </w:p>
    <w:tbl>
      <w:tblPr>
        <w:tblW w:w="0" w:type="auto"/>
        <w:tblLook w:val="01E0" w:firstRow="1" w:lastRow="1" w:firstColumn="1" w:lastColumn="1" w:noHBand="0" w:noVBand="0"/>
      </w:tblPr>
      <w:tblGrid>
        <w:gridCol w:w="1412"/>
        <w:gridCol w:w="6457"/>
      </w:tblGrid>
      <w:tr w:rsidR="000562E1" w:rsidRPr="000A6F05" w:rsidTr="00384377">
        <w:tc>
          <w:tcPr>
            <w:tcW w:w="1412" w:type="dxa"/>
          </w:tcPr>
          <w:p w:rsidR="000562E1" w:rsidRPr="000A6F05" w:rsidRDefault="000562E1" w:rsidP="00384377">
            <w:pPr>
              <w:spacing w:before="120" w:after="120" w:line="480" w:lineRule="auto"/>
              <w:jc w:val="right"/>
            </w:pPr>
            <w:r w:rsidRPr="000A6F05">
              <w:t>COP</w:t>
            </w:r>
          </w:p>
        </w:tc>
        <w:tc>
          <w:tcPr>
            <w:tcW w:w="6457" w:type="dxa"/>
          </w:tcPr>
          <w:p w:rsidR="000562E1" w:rsidRPr="000A6F05" w:rsidRDefault="000562E1" w:rsidP="00384377">
            <w:pPr>
              <w:spacing w:before="120" w:after="120" w:line="480" w:lineRule="auto"/>
            </w:pPr>
            <w:r w:rsidRPr="000A6F05">
              <w:t>Coefficient of performance</w:t>
            </w:r>
          </w:p>
        </w:tc>
      </w:tr>
      <w:tr w:rsidR="00D23F1B" w:rsidRPr="000A6F05" w:rsidTr="00384377">
        <w:tc>
          <w:tcPr>
            <w:tcW w:w="1412" w:type="dxa"/>
          </w:tcPr>
          <w:p w:rsidR="00D23F1B" w:rsidRPr="000A6F05" w:rsidRDefault="00D23F1B" w:rsidP="00384377">
            <w:pPr>
              <w:spacing w:before="120" w:after="120" w:line="480" w:lineRule="auto"/>
              <w:jc w:val="right"/>
            </w:pPr>
            <w:r w:rsidRPr="000A6F05">
              <w:t>CP</w:t>
            </w:r>
          </w:p>
        </w:tc>
        <w:tc>
          <w:tcPr>
            <w:tcW w:w="6457" w:type="dxa"/>
          </w:tcPr>
          <w:p w:rsidR="00D23F1B" w:rsidRPr="000A6F05" w:rsidRDefault="00D23F1B" w:rsidP="00384377">
            <w:pPr>
              <w:spacing w:before="120" w:after="120" w:line="480" w:lineRule="auto"/>
            </w:pPr>
            <w:r w:rsidRPr="000A6F05">
              <w:rPr>
                <w:lang w:val="en-GB"/>
              </w:rPr>
              <w:t xml:space="preserve">Corrugated plastic </w:t>
            </w:r>
          </w:p>
        </w:tc>
      </w:tr>
      <w:tr w:rsidR="00CD7593" w:rsidRPr="000A6F05" w:rsidTr="00384377">
        <w:tc>
          <w:tcPr>
            <w:tcW w:w="1412" w:type="dxa"/>
          </w:tcPr>
          <w:p w:rsidR="00CD7593" w:rsidRPr="000A6F05" w:rsidRDefault="00933651" w:rsidP="00384377">
            <w:pPr>
              <w:spacing w:before="120" w:after="120" w:line="480" w:lineRule="auto"/>
              <w:jc w:val="right"/>
              <w:rPr>
                <w:i/>
              </w:rPr>
            </w:pPr>
            <w:r w:rsidRPr="000A6F05">
              <w:t>EPS</w:t>
            </w:r>
          </w:p>
        </w:tc>
        <w:tc>
          <w:tcPr>
            <w:tcW w:w="6457" w:type="dxa"/>
          </w:tcPr>
          <w:p w:rsidR="00CD7593" w:rsidRPr="000A6F05" w:rsidRDefault="000562E1" w:rsidP="00384377">
            <w:pPr>
              <w:spacing w:before="120" w:after="120" w:line="480" w:lineRule="auto"/>
              <w:rPr>
                <w:lang w:val="en-GB"/>
              </w:rPr>
            </w:pPr>
            <w:r w:rsidRPr="000A6F05">
              <w:t>E</w:t>
            </w:r>
            <w:r w:rsidR="00933651" w:rsidRPr="000A6F05">
              <w:t>xpanded polystyrene</w:t>
            </w:r>
          </w:p>
        </w:tc>
      </w:tr>
      <w:tr w:rsidR="00CD7593" w:rsidRPr="000A6F05" w:rsidTr="00384377">
        <w:tc>
          <w:tcPr>
            <w:tcW w:w="1412" w:type="dxa"/>
          </w:tcPr>
          <w:p w:rsidR="00CD7593" w:rsidRPr="000A6F05" w:rsidRDefault="00933651" w:rsidP="00384377">
            <w:pPr>
              <w:spacing w:before="120" w:after="120" w:line="480" w:lineRule="auto"/>
              <w:jc w:val="right"/>
              <w:rPr>
                <w:i/>
              </w:rPr>
            </w:pPr>
            <w:r w:rsidRPr="000A6F05">
              <w:rPr>
                <w:lang w:val="en-US"/>
              </w:rPr>
              <w:t>LCA</w:t>
            </w:r>
          </w:p>
        </w:tc>
        <w:tc>
          <w:tcPr>
            <w:tcW w:w="6457" w:type="dxa"/>
          </w:tcPr>
          <w:p w:rsidR="00CD7593" w:rsidRPr="000A6F05" w:rsidRDefault="00120D61" w:rsidP="00384377">
            <w:pPr>
              <w:spacing w:before="120" w:after="120" w:line="480" w:lineRule="auto"/>
            </w:pPr>
            <w:r w:rsidRPr="000A6F05">
              <w:t xml:space="preserve"> </w:t>
            </w:r>
            <w:r w:rsidR="00933651" w:rsidRPr="000A6F05">
              <w:rPr>
                <w:lang w:val="en-US"/>
              </w:rPr>
              <w:t>Life cycle assessment</w:t>
            </w:r>
          </w:p>
        </w:tc>
      </w:tr>
      <w:tr w:rsidR="00933651" w:rsidRPr="000A6F05" w:rsidTr="00384377">
        <w:tc>
          <w:tcPr>
            <w:tcW w:w="1412" w:type="dxa"/>
          </w:tcPr>
          <w:p w:rsidR="00933651" w:rsidRPr="000A6F05" w:rsidRDefault="00933651" w:rsidP="00384377">
            <w:pPr>
              <w:spacing w:before="120" w:after="120" w:line="480" w:lineRule="auto"/>
              <w:jc w:val="right"/>
              <w:rPr>
                <w:lang w:val="en-US"/>
              </w:rPr>
            </w:pPr>
            <w:r w:rsidRPr="000A6F05">
              <w:t>LCI</w:t>
            </w:r>
          </w:p>
        </w:tc>
        <w:tc>
          <w:tcPr>
            <w:tcW w:w="6457" w:type="dxa"/>
          </w:tcPr>
          <w:p w:rsidR="00933651" w:rsidRPr="000A6F05" w:rsidRDefault="00933651" w:rsidP="00384377">
            <w:pPr>
              <w:spacing w:before="120" w:after="120" w:line="480" w:lineRule="auto"/>
            </w:pPr>
            <w:r w:rsidRPr="000A6F05">
              <w:t>Life cycle inventory</w:t>
            </w:r>
          </w:p>
        </w:tc>
      </w:tr>
      <w:tr w:rsidR="00933651" w:rsidRPr="000A6F05" w:rsidTr="00384377">
        <w:tc>
          <w:tcPr>
            <w:tcW w:w="1412" w:type="dxa"/>
          </w:tcPr>
          <w:p w:rsidR="00933651" w:rsidRPr="000A6F05" w:rsidRDefault="00933651" w:rsidP="00384377">
            <w:pPr>
              <w:spacing w:before="120" w:after="120" w:line="480" w:lineRule="auto"/>
              <w:jc w:val="right"/>
            </w:pPr>
            <w:r w:rsidRPr="000A6F05">
              <w:t>LCIA</w:t>
            </w:r>
          </w:p>
        </w:tc>
        <w:tc>
          <w:tcPr>
            <w:tcW w:w="6457" w:type="dxa"/>
          </w:tcPr>
          <w:p w:rsidR="00933651" w:rsidRPr="000A6F05" w:rsidRDefault="00933651" w:rsidP="00384377">
            <w:pPr>
              <w:spacing w:before="120" w:after="120" w:line="480" w:lineRule="auto"/>
            </w:pPr>
            <w:r w:rsidRPr="000A6F05">
              <w:t>Life cycle impact assessment</w:t>
            </w:r>
          </w:p>
        </w:tc>
      </w:tr>
      <w:tr w:rsidR="000562E1" w:rsidRPr="000A6F05" w:rsidTr="00384377">
        <w:tc>
          <w:tcPr>
            <w:tcW w:w="1412" w:type="dxa"/>
          </w:tcPr>
          <w:p w:rsidR="000562E1" w:rsidRPr="000A6F05" w:rsidRDefault="000562E1" w:rsidP="00384377">
            <w:pPr>
              <w:spacing w:before="120" w:after="120" w:line="480" w:lineRule="auto"/>
              <w:jc w:val="right"/>
            </w:pPr>
            <w:r w:rsidRPr="000A6F05">
              <w:t>SEC</w:t>
            </w:r>
          </w:p>
        </w:tc>
        <w:tc>
          <w:tcPr>
            <w:tcW w:w="6457" w:type="dxa"/>
          </w:tcPr>
          <w:p w:rsidR="000562E1" w:rsidRPr="000A6F05" w:rsidRDefault="00317E5A" w:rsidP="0043327B">
            <w:pPr>
              <w:spacing w:before="120" w:after="120" w:line="480" w:lineRule="auto"/>
            </w:pPr>
            <w:r w:rsidRPr="000A6F05">
              <w:t>Specific energy c</w:t>
            </w:r>
            <w:r w:rsidR="000562E1" w:rsidRPr="000A6F05">
              <w:t>onsumption</w:t>
            </w:r>
          </w:p>
        </w:tc>
      </w:tr>
    </w:tbl>
    <w:p w:rsidR="00E302D4" w:rsidRPr="000A6F05" w:rsidRDefault="00E302D4" w:rsidP="00DC1D7D">
      <w:pPr>
        <w:numPr>
          <w:ilvl w:val="0"/>
          <w:numId w:val="9"/>
        </w:numPr>
        <w:tabs>
          <w:tab w:val="left" w:pos="0"/>
        </w:tabs>
        <w:spacing w:line="360" w:lineRule="auto"/>
        <w:rPr>
          <w:b/>
          <w:lang w:val="en-GB"/>
        </w:rPr>
      </w:pPr>
      <w:r w:rsidRPr="000A6F05">
        <w:rPr>
          <w:b/>
          <w:lang w:val="en-GB"/>
        </w:rPr>
        <w:t>Introduction</w:t>
      </w:r>
    </w:p>
    <w:p w:rsidR="00195F56" w:rsidRPr="000A6F05" w:rsidRDefault="00195F56" w:rsidP="00195F56">
      <w:pPr>
        <w:spacing w:line="360" w:lineRule="auto"/>
        <w:jc w:val="both"/>
        <w:rPr>
          <w:lang w:val="en-US"/>
        </w:rPr>
      </w:pPr>
      <w:r w:rsidRPr="000A6F05">
        <w:rPr>
          <w:lang w:val="en-US"/>
        </w:rPr>
        <w:t xml:space="preserve">Worldwide it is estimated that 15% of the electricity consumed is used for refrigeration </w:t>
      </w:r>
      <w:r w:rsidRPr="000A6F05">
        <w:rPr>
          <w:lang w:val="en-US"/>
        </w:rPr>
        <w:fldChar w:fldCharType="begin"/>
      </w:r>
      <w:r w:rsidR="00403F6A" w:rsidRPr="000A6F05">
        <w:rPr>
          <w:lang w:val="en-US"/>
        </w:rPr>
        <w:instrText xml:space="preserve"> ADDIN EN.CITE &lt;EndNote&gt;&lt;Cite&gt;&lt;Author&gt;Coulomb&lt;/Author&gt;&lt;Year&gt;2008&lt;/Year&gt;&lt;RecNum&gt;21&lt;/RecNum&gt;&lt;DisplayText&gt;(Coulomb 2008)&lt;/DisplayText&gt;&lt;record&gt;&lt;rec-number&gt;21&lt;/rec-number&gt;&lt;foreign-keys&gt;&lt;key app="EN" db-id="0wzzzxr91fdteke2p0tp59ejvve00s0edp09"&gt;21&lt;/key&gt;&lt;/foreign-keys&gt;&lt;ref-type name="Journal Article"&gt;17&lt;/ref-type&gt;&lt;contributors&gt;&lt;authors&gt;&lt;author&gt;Coulomb, D.&lt;/author&gt;&lt;/authors&gt;&lt;/contributors&gt;&lt;titles&gt;&lt;title&gt;Refrigeration and cold chain serving the global food industry and creating a better future: two key IIR challenges for improved health and environment&lt;/title&gt;&lt;secondary-title&gt;Trends in Food Science &amp;amp; Technology&lt;/secondary-title&gt;&lt;/titles&gt;&lt;periodical&gt;&lt;full-title&gt;Trends in Food Science &amp;amp; Technology&lt;/full-title&gt;&lt;/periodical&gt;&lt;pages&gt;413-417&lt;/pages&gt;&lt;volume&gt;19&lt;/volume&gt;&lt;number&gt;8&lt;/number&gt;&lt;dates&gt;&lt;year&gt;2008&lt;/year&gt;&lt;pub-dates&gt;&lt;date&gt;8//&lt;/date&gt;&lt;/pub-dates&gt;&lt;/dates&gt;&lt;isbn&gt;0924-2244&lt;/isbn&gt;&lt;urls&gt;&lt;related-urls&gt;&lt;url&gt;http://www.sciencedirect.com/science/article/pii/S0924224408001076&lt;/url&gt;&lt;/related-urls&gt;&lt;/urls&gt;&lt;electronic-resource-num&gt;http://dx.doi.org/10.1016/j.tifs.2008.03.006&lt;/electronic-resource-num&gt;&lt;/record&gt;&lt;/Cite&gt;&lt;/EndNote&gt;</w:instrText>
      </w:r>
      <w:r w:rsidRPr="000A6F05">
        <w:rPr>
          <w:lang w:val="en-US"/>
        </w:rPr>
        <w:fldChar w:fldCharType="separate"/>
      </w:r>
      <w:r w:rsidR="00403F6A" w:rsidRPr="000A6F05">
        <w:rPr>
          <w:noProof/>
          <w:lang w:val="en-US"/>
        </w:rPr>
        <w:t>(</w:t>
      </w:r>
      <w:hyperlink w:anchor="_ENREF_6" w:tooltip="Coulomb, 2008 #21" w:history="1">
        <w:r w:rsidR="008F77AB" w:rsidRPr="000A6F05">
          <w:rPr>
            <w:noProof/>
            <w:lang w:val="en-US"/>
          </w:rPr>
          <w:t>Coulomb 2008</w:t>
        </w:r>
      </w:hyperlink>
      <w:r w:rsidR="00403F6A" w:rsidRPr="000A6F05">
        <w:rPr>
          <w:noProof/>
          <w:lang w:val="en-US"/>
        </w:rPr>
        <w:t>)</w:t>
      </w:r>
      <w:r w:rsidRPr="000A6F05">
        <w:rPr>
          <w:lang w:val="en-US"/>
        </w:rPr>
        <w:fldChar w:fldCharType="end"/>
      </w:r>
      <w:r w:rsidRPr="000A6F05">
        <w:rPr>
          <w:lang w:val="en-US"/>
        </w:rPr>
        <w:t>. Direct emissions from refrigerant leakage and indirect CO</w:t>
      </w:r>
      <w:r w:rsidRPr="000A6F05">
        <w:rPr>
          <w:vertAlign w:val="subscript"/>
          <w:lang w:val="en-US"/>
        </w:rPr>
        <w:t>2</w:t>
      </w:r>
      <w:r w:rsidRPr="000A6F05">
        <w:rPr>
          <w:lang w:val="en-US"/>
        </w:rPr>
        <w:t xml:space="preserve"> emissions from combustion of fossil fuels to generate power for refrigeration equipment contribute greatly to ozone depletion and global warming. </w:t>
      </w:r>
      <w:r w:rsidRPr="000A6F05">
        <w:rPr>
          <w:lang w:val="en-US"/>
        </w:rPr>
        <w:fldChar w:fldCharType="begin"/>
      </w:r>
      <w:r w:rsidR="00403F6A" w:rsidRPr="000A6F05">
        <w:rPr>
          <w:lang w:val="en-US"/>
        </w:rPr>
        <w:instrText xml:space="preserve"> ADDIN EN.CITE &lt;EndNote&gt;&lt;Cite AuthorYear="1"&gt;&lt;Author&gt;Maykot&lt;/Author&gt;&lt;Year&gt;2004&lt;/Year&gt;&lt;RecNum&gt;22&lt;/RecNum&gt;&lt;DisplayText&gt;Maykot et al. (2004)&lt;/DisplayText&gt;&lt;record&gt;&lt;rec-number&gt;22&lt;/rec-number&gt;&lt;foreign-keys&gt;&lt;key app="EN" db-id="0wzzzxr91fdteke2p0tp59ejvve00s0edp09"&gt;22&lt;/key&gt;&lt;/foreign-keys&gt;&lt;ref-type name="Conference Paper"&gt;47&lt;/ref-type&gt;&lt;contributors&gt;&lt;authors&gt;&lt;author&gt;Maykot, R.&lt;/author&gt;&lt;author&gt;Weber, G.C.&lt;/author&gt;&lt;author&gt;Maciel, R.A.&lt;/author&gt;&lt;/authors&gt;&lt;/contributors&gt;&lt;titles&gt;&lt;title&gt;Using the TEWI methodology to evaluate alternative refrigeration technologies&lt;/title&gt;&lt;secondary-title&gt;International Refrigeration and Air Conditioning Conference&lt;/secondary-title&gt;&lt;/titles&gt;&lt;dates&gt;&lt;year&gt;2004&lt;/year&gt;&lt;/dates&gt;&lt;pub-location&gt;Purdue, USA&lt;/pub-location&gt;&lt;urls&gt;&lt;/urls&gt;&lt;/record&gt;&lt;/Cite&gt;&lt;/EndNote&gt;</w:instrText>
      </w:r>
      <w:r w:rsidRPr="000A6F05">
        <w:rPr>
          <w:lang w:val="en-US"/>
        </w:rPr>
        <w:fldChar w:fldCharType="separate"/>
      </w:r>
      <w:hyperlink w:anchor="_ENREF_16" w:tooltip="Maykot, 2004 #22" w:history="1">
        <w:r w:rsidR="008F77AB" w:rsidRPr="000A6F05">
          <w:rPr>
            <w:noProof/>
            <w:lang w:val="en-US"/>
          </w:rPr>
          <w:t>Maykot et al. (2004</w:t>
        </w:r>
      </w:hyperlink>
      <w:r w:rsidR="00403F6A" w:rsidRPr="000A6F05">
        <w:rPr>
          <w:noProof/>
          <w:lang w:val="en-US"/>
        </w:rPr>
        <w:t>)</w:t>
      </w:r>
      <w:r w:rsidRPr="000A6F05">
        <w:rPr>
          <w:lang w:val="en-US"/>
        </w:rPr>
        <w:fldChar w:fldCharType="end"/>
      </w:r>
      <w:r w:rsidRPr="000A6F05">
        <w:rPr>
          <w:lang w:val="en-US"/>
        </w:rPr>
        <w:t xml:space="preserve"> estimated that indirect emissions contribute up to 95-98% of the Total Equivalent Warming Impact (TEWI) in both light commercial</w:t>
      </w:r>
      <w:r w:rsidR="00200BDB" w:rsidRPr="000A6F05">
        <w:rPr>
          <w:lang w:val="en-US"/>
        </w:rPr>
        <w:t xml:space="preserve"> (</w:t>
      </w:r>
      <w:r w:rsidRPr="000A6F05">
        <w:rPr>
          <w:lang w:val="en-US"/>
        </w:rPr>
        <w:t xml:space="preserve">i.e. integrals and vending machines) and household applications (refrigerator and freezer). New and emerging refrigeration technologies providing energy efficient and sustainable alternatives to current technologies have recently been developed for cold chain application. </w:t>
      </w:r>
      <w:r w:rsidR="00490D10" w:rsidRPr="000A6F05">
        <w:rPr>
          <w:lang w:val="en-US"/>
        </w:rPr>
        <w:t>However, it’s important</w:t>
      </w:r>
      <w:r w:rsidR="00C01E24" w:rsidRPr="000A6F05">
        <w:rPr>
          <w:lang w:val="en-US"/>
        </w:rPr>
        <w:t xml:space="preserve"> to evaluate the environmental performances of these </w:t>
      </w:r>
      <w:r w:rsidR="00C01E24" w:rsidRPr="000A6F05">
        <w:rPr>
          <w:szCs w:val="22"/>
          <w:lang w:val="en-US" w:eastAsia="en-US"/>
        </w:rPr>
        <w:t>new</w:t>
      </w:r>
      <w:r w:rsidR="00C01E24" w:rsidRPr="000A6F05">
        <w:rPr>
          <w:lang w:val="en-US"/>
        </w:rPr>
        <w:t xml:space="preserve"> </w:t>
      </w:r>
      <w:r w:rsidR="00C01E24" w:rsidRPr="000A6F05">
        <w:rPr>
          <w:szCs w:val="22"/>
          <w:lang w:val="en-US" w:eastAsia="en-US"/>
        </w:rPr>
        <w:t>technologies</w:t>
      </w:r>
      <w:r w:rsidR="00490D10" w:rsidRPr="000A6F05">
        <w:rPr>
          <w:szCs w:val="22"/>
          <w:lang w:val="en-US" w:eastAsia="en-US"/>
        </w:rPr>
        <w:t xml:space="preserve"> and their</w:t>
      </w:r>
      <w:r w:rsidR="00C01E24" w:rsidRPr="000A6F05">
        <w:rPr>
          <w:szCs w:val="22"/>
          <w:lang w:val="en-US" w:eastAsia="en-US"/>
        </w:rPr>
        <w:t xml:space="preserve"> </w:t>
      </w:r>
      <w:r w:rsidR="00490D10" w:rsidRPr="000A6F05">
        <w:rPr>
          <w:szCs w:val="22"/>
          <w:lang w:val="en-US" w:eastAsia="en-US"/>
        </w:rPr>
        <w:t xml:space="preserve">gain of </w:t>
      </w:r>
      <w:r w:rsidR="00C01E24" w:rsidRPr="000A6F05">
        <w:rPr>
          <w:szCs w:val="22"/>
          <w:lang w:val="en-US" w:eastAsia="en-US"/>
        </w:rPr>
        <w:t>performance</w:t>
      </w:r>
      <w:r w:rsidR="00490D10" w:rsidRPr="000A6F05">
        <w:rPr>
          <w:szCs w:val="22"/>
          <w:lang w:val="en-US" w:eastAsia="en-US"/>
        </w:rPr>
        <w:t>s compared to</w:t>
      </w:r>
      <w:r w:rsidR="00C01E24" w:rsidRPr="000A6F05">
        <w:rPr>
          <w:szCs w:val="22"/>
          <w:lang w:val="en-US" w:eastAsia="en-US"/>
        </w:rPr>
        <w:t xml:space="preserve"> </w:t>
      </w:r>
      <w:r w:rsidR="00693E9A" w:rsidRPr="000A6F05">
        <w:rPr>
          <w:szCs w:val="22"/>
          <w:lang w:val="en-US" w:eastAsia="en-US"/>
        </w:rPr>
        <w:t xml:space="preserve">conventional technologies. </w:t>
      </w:r>
    </w:p>
    <w:p w:rsidR="00195F56" w:rsidRPr="000A6F05" w:rsidRDefault="00195F56" w:rsidP="00195F56">
      <w:pPr>
        <w:spacing w:line="360" w:lineRule="auto"/>
        <w:jc w:val="both"/>
        <w:rPr>
          <w:lang w:val="en-US"/>
        </w:rPr>
      </w:pPr>
      <w:r w:rsidRPr="000A6F05">
        <w:rPr>
          <w:lang w:val="en-US"/>
        </w:rPr>
        <w:t xml:space="preserve">Superchilling is a concept where the temperature is reduced 1-2°C below the initial freezing point of the product </w:t>
      </w:r>
      <w:r w:rsidRPr="000A6F05">
        <w:fldChar w:fldCharType="begin"/>
      </w:r>
      <w:r w:rsidR="00403F6A" w:rsidRPr="000A6F05">
        <w:rPr>
          <w:lang w:val="en-US"/>
        </w:rPr>
        <w:instrText xml:space="preserve"> ADDIN EN.CITE &lt;EndNote&gt;&lt;Cite&gt;&lt;Author&gt;Claussen&lt;/Author&gt;&lt;Year&gt;2011&lt;/Year&gt;&lt;RecNum&gt;8&lt;/RecNum&gt;&lt;DisplayText&gt;(Claussen 2011)&lt;/DisplayText&gt;&lt;record&gt;&lt;rec-number&gt;8&lt;/rec-number&gt;&lt;foreign-keys&gt;&lt;key app="EN" db-id="0wzzzxr91fdteke2p0tp59ejvve00s0edp09"&gt;8&lt;/key&gt;&lt;/foreign-keys&gt;&lt;ref-type name="Journal Article"&gt;17&lt;/ref-type&gt;&lt;contributors&gt;&lt;authors&gt;&lt;author&gt;Claussen, Ingrid C.&lt;/author&gt;&lt;/authors&gt;&lt;/contributors&gt;&lt;titles&gt;&lt;title&gt;Superchilling Concepts Enabling Safe, High Quality and Long Term Storage of Foods&lt;/title&gt;&lt;secondary-title&gt;Procedia Food Science&lt;/secondary-title&gt;&lt;/titles&gt;&lt;periodical&gt;&lt;full-title&gt;Procedia Food Science&lt;/full-title&gt;&lt;/periodical&gt;&lt;pages&gt;1907-1909&lt;/pages&gt;&lt;volume&gt;1&lt;/volume&gt;&lt;number&gt;0&lt;/number&gt;&lt;keywords&gt;&lt;keyword&gt;Superchilling&lt;/keyword&gt;&lt;keyword&gt;Quality&lt;/keyword&gt;&lt;keyword&gt;Shelf-life&lt;/keyword&gt;&lt;keyword&gt;Foods&lt;/keyword&gt;&lt;/keywords&gt;&lt;dates&gt;&lt;year&gt;2011&lt;/year&gt;&lt;pub-dates&gt;&lt;date&gt;//&lt;/date&gt;&lt;/pub-dates&gt;&lt;/dates&gt;&lt;isbn&gt;2211-601X&lt;/isbn&gt;&lt;urls&gt;&lt;related-urls&gt;&lt;url&gt;http://www.sciencedirect.com/science/article/pii/S2211601X11002811&lt;/url&gt;&lt;/related-urls&gt;&lt;/urls&gt;&lt;electronic-resource-num&gt;http://dx.doi.org/10.1016/j.profoo.2011.09.280&lt;/electronic-resource-num&gt;&lt;/record&gt;&lt;/Cite&gt;&lt;/EndNote&gt;</w:instrText>
      </w:r>
      <w:r w:rsidRPr="000A6F05">
        <w:fldChar w:fldCharType="separate"/>
      </w:r>
      <w:r w:rsidR="00403F6A" w:rsidRPr="000A6F05">
        <w:rPr>
          <w:noProof/>
          <w:lang w:val="en-US"/>
        </w:rPr>
        <w:t>(</w:t>
      </w:r>
      <w:hyperlink w:anchor="_ENREF_4" w:tooltip="Claussen, 2011 #8" w:history="1">
        <w:r w:rsidR="008F77AB" w:rsidRPr="000A6F05">
          <w:rPr>
            <w:noProof/>
            <w:lang w:val="en-US"/>
          </w:rPr>
          <w:t>Claussen 2011</w:t>
        </w:r>
      </w:hyperlink>
      <w:r w:rsidR="00403F6A" w:rsidRPr="000A6F05">
        <w:rPr>
          <w:noProof/>
          <w:lang w:val="en-US"/>
        </w:rPr>
        <w:t>)</w:t>
      </w:r>
      <w:r w:rsidRPr="000A6F05">
        <w:fldChar w:fldCharType="end"/>
      </w:r>
      <w:r w:rsidRPr="000A6F05">
        <w:rPr>
          <w:lang w:val="en-US"/>
        </w:rPr>
        <w:t>. The salmon is crust frozen in a blast freezer</w:t>
      </w:r>
      <w:r w:rsidR="00261997" w:rsidRPr="000A6F05">
        <w:rPr>
          <w:lang w:val="en-US"/>
        </w:rPr>
        <w:t xml:space="preserve"> </w:t>
      </w:r>
      <w:r w:rsidR="00261997" w:rsidRPr="000A6F05">
        <w:rPr>
          <w:lang w:val="en-US"/>
        </w:rPr>
        <w:fldChar w:fldCharType="begin"/>
      </w:r>
      <w:r w:rsidR="00261997" w:rsidRPr="000A6F05">
        <w:rPr>
          <w:lang w:val="en-US"/>
        </w:rPr>
        <w:instrText xml:space="preserve"> ADDIN EN.CITE &lt;EndNote&gt;&lt;Cite&gt;&lt;Author&gt;Kaale&lt;/Author&gt;&lt;Year&gt;2013&lt;/Year&gt;&lt;RecNum&gt;31&lt;/RecNum&gt;&lt;DisplayText&gt;(Kaale et al. 2013)&lt;/DisplayText&gt;&lt;record&gt;&lt;rec-number&gt;31&lt;/rec-number&gt;&lt;foreign-keys&gt;&lt;key app="EN" db-id="0wzzzxr91fdteke2p0tp59ejvve00s0edp09"&gt;31&lt;/key&gt;&lt;/foreign-keys&gt;&lt;ref-type name="Journal Article"&gt;17&lt;/ref-type&gt;&lt;contributors&gt;&lt;authors&gt;&lt;author&gt;Kaale, Lilian Daniel&lt;/author&gt;&lt;author&gt;Eikevik, Trygve Magne&lt;/author&gt;&lt;author&gt;Rustad, Turid&lt;/author&gt;&lt;author&gt;Nordtvedt, Tom Ståle&lt;/author&gt;&lt;author&gt;Bardal, Tora&lt;/author&gt;&lt;author&gt;Kjørsvik, Elin&lt;/author&gt;&lt;/authors&gt;&lt;/contributors&gt;&lt;titles&gt;&lt;title&gt;Ice crystal development in pre-rigor Atlantic salmon fillets during superchilling process and following storage&lt;/title&gt;&lt;secondary-title&gt;Food Control&lt;/secondary-title&gt;&lt;/titles&gt;&lt;periodical&gt;&lt;full-title&gt;Food Control&lt;/full-title&gt;&lt;/periodical&gt;&lt;pages&gt;491-498&lt;/pages&gt;&lt;volume&gt;31&lt;/volume&gt;&lt;number&gt;2&lt;/number&gt;&lt;keywords&gt;&lt;keyword&gt;Pre-rigor&lt;/keyword&gt;&lt;keyword&gt;Atlantic salmon fillets&lt;/keyword&gt;&lt;keyword&gt;Superchilling&lt;/keyword&gt;&lt;keyword&gt;Ice crystals&lt;/keyword&gt;&lt;/keywords&gt;&lt;dates&gt;&lt;year&gt;2013&lt;/year&gt;&lt;pub-dates&gt;&lt;date&gt;6//&lt;/date&gt;&lt;/pub-dates&gt;&lt;/dates&gt;&lt;isbn&gt;0956-7135&lt;/isbn&gt;&lt;urls&gt;&lt;related-urls&gt;&lt;url&gt;http://www.sciencedirect.com/science/article/pii/S0956713512006494&lt;/url&gt;&lt;/related-urls&gt;&lt;/urls&gt;&lt;electronic-resource-num&gt;http://dx.doi.org/10.1016/j.foodcont.2012.11.047&lt;/electronic-resource-num&gt;&lt;/record&gt;&lt;/Cite&gt;&lt;/EndNote&gt;</w:instrText>
      </w:r>
      <w:r w:rsidR="00261997" w:rsidRPr="000A6F05">
        <w:rPr>
          <w:lang w:val="en-US"/>
        </w:rPr>
        <w:fldChar w:fldCharType="separate"/>
      </w:r>
      <w:r w:rsidR="00261997" w:rsidRPr="000A6F05">
        <w:rPr>
          <w:noProof/>
          <w:lang w:val="en-US"/>
        </w:rPr>
        <w:t>(</w:t>
      </w:r>
      <w:hyperlink w:anchor="_ENREF_14" w:tooltip="Kaale, 2013 #31" w:history="1">
        <w:r w:rsidR="008F77AB" w:rsidRPr="000A6F05">
          <w:rPr>
            <w:noProof/>
            <w:lang w:val="en-US"/>
          </w:rPr>
          <w:t>Kaale et al. 2013</w:t>
        </w:r>
      </w:hyperlink>
      <w:r w:rsidR="00261997" w:rsidRPr="000A6F05">
        <w:rPr>
          <w:noProof/>
          <w:lang w:val="en-US"/>
        </w:rPr>
        <w:t>)</w:t>
      </w:r>
      <w:r w:rsidR="00261997" w:rsidRPr="000A6F05">
        <w:rPr>
          <w:lang w:val="en-US"/>
        </w:rPr>
        <w:fldChar w:fldCharType="end"/>
      </w:r>
      <w:r w:rsidRPr="000A6F05">
        <w:rPr>
          <w:lang w:val="en-US"/>
        </w:rPr>
        <w:t xml:space="preserve">. This crust will then </w:t>
      </w:r>
      <w:r w:rsidR="00B5401F" w:rsidRPr="000A6F05">
        <w:rPr>
          <w:lang w:val="en-US"/>
        </w:rPr>
        <w:t>equalize</w:t>
      </w:r>
      <w:r w:rsidRPr="000A6F05">
        <w:rPr>
          <w:lang w:val="en-US"/>
        </w:rPr>
        <w:t xml:space="preserve"> to give 10-15% ice throughout the product which serves as a heat sink so that the additional ice normally added to chilled salmon is not required during storage and transport. Superchilled product presents improved quality such as extended shelf life, higher yield and reduced microbiological risk </w:t>
      </w:r>
      <w:r w:rsidRPr="000A6F05">
        <w:fldChar w:fldCharType="begin"/>
      </w:r>
      <w:r w:rsidR="00403F6A" w:rsidRPr="000A6F05">
        <w:rPr>
          <w:lang w:val="en-US"/>
        </w:rPr>
        <w:instrText xml:space="preserve"> ADDIN EN.CITE &lt;EndNote&gt;&lt;Cite&gt;&lt;Author&gt;Duun&lt;/Author&gt;&lt;Year&gt;2007&lt;/Year&gt;&lt;RecNum&gt;23&lt;/RecNum&gt;&lt;DisplayText&gt;(Duun and Rustad 2007)&lt;/DisplayText&gt;&lt;record&gt;&lt;rec-number&gt;23&lt;/rec-number&gt;&lt;foreign-keys&gt;&lt;key app="EN" db-id="0wzzzxr91fdteke2p0tp59ejvve00s0edp09"&gt;23&lt;/key&gt;&lt;/foreign-keys&gt;&lt;ref-type name="Journal Article"&gt;17&lt;/ref-type&gt;&lt;contributors&gt;&lt;authors&gt;&lt;author&gt;Duun, A. S.&lt;/author&gt;&lt;author&gt;Rustad, T.&lt;/author&gt;&lt;/authors&gt;&lt;/contributors&gt;&lt;titles&gt;&lt;title&gt;Quality changes during superchilled storage of cod (Gadus morhua) fillets&lt;/title&gt;&lt;secondary-title&gt;Food Chemistry&lt;/secondary-title&gt;&lt;/titles&gt;&lt;periodical&gt;&lt;full-title&gt;Food Chemistry&lt;/full-title&gt;&lt;/periodical&gt;&lt;pages&gt;1067-1075&lt;/pages&gt;&lt;volume&gt;105&lt;/volume&gt;&lt;number&gt;3&lt;/number&gt;&lt;keywords&gt;&lt;keyword&gt;Superchilling&lt;/keyword&gt;&lt;keyword&gt;Cod&lt;/keyword&gt;&lt;keyword&gt;Gadus morhua&lt;/keyword&gt;&lt;keyword&gt;Bacterial count&lt;/keyword&gt;&lt;keyword&gt;SPB&lt;/keyword&gt;&lt;keyword&gt;Drip loss&lt;/keyword&gt;&lt;keyword&gt;Liquid loss&lt;/keyword&gt;&lt;keyword&gt;Protein extractability&lt;/keyword&gt;&lt;keyword&gt;pH&lt;/keyword&gt;&lt;keyword&gt;Free amino acid&lt;/keyword&gt;&lt;/keywords&gt;&lt;dates&gt;&lt;year&gt;2007&lt;/year&gt;&lt;pub-dates&gt;&lt;date&gt;//&lt;/date&gt;&lt;/pub-dates&gt;&lt;/dates&gt;&lt;isbn&gt;0308-8146&lt;/isbn&gt;&lt;urls&gt;&lt;related-urls&gt;&lt;url&gt;http://www.sciencedirect.com/science/article/pii/S0308814607004645&lt;/url&gt;&lt;/related-urls&gt;&lt;/urls&gt;&lt;electronic-resource-num&gt;http://dx.doi.org/10.1016/j.foodchem.2007.05.020&lt;/electronic-resource-num&gt;&lt;/record&gt;&lt;/Cite&gt;&lt;/EndNote&gt;</w:instrText>
      </w:r>
      <w:r w:rsidRPr="000A6F05">
        <w:fldChar w:fldCharType="separate"/>
      </w:r>
      <w:r w:rsidR="00403F6A" w:rsidRPr="000A6F05">
        <w:rPr>
          <w:noProof/>
          <w:lang w:val="en-US"/>
        </w:rPr>
        <w:t>(</w:t>
      </w:r>
      <w:hyperlink w:anchor="_ENREF_9" w:tooltip="Duun, 2007 #23" w:history="1">
        <w:r w:rsidR="008F77AB" w:rsidRPr="000A6F05">
          <w:rPr>
            <w:noProof/>
            <w:lang w:val="en-US"/>
          </w:rPr>
          <w:t>Duun and Rustad 2007</w:t>
        </w:r>
      </w:hyperlink>
      <w:r w:rsidR="00403F6A" w:rsidRPr="000A6F05">
        <w:rPr>
          <w:noProof/>
          <w:lang w:val="en-US"/>
        </w:rPr>
        <w:t>)</w:t>
      </w:r>
      <w:r w:rsidRPr="000A6F05">
        <w:fldChar w:fldCharType="end"/>
      </w:r>
      <w:r w:rsidRPr="000A6F05">
        <w:rPr>
          <w:lang w:val="en-US"/>
        </w:rPr>
        <w:t xml:space="preserve">. </w:t>
      </w:r>
      <w:r w:rsidR="00261997" w:rsidRPr="000A6F05">
        <w:rPr>
          <w:lang w:val="en-US"/>
        </w:rPr>
        <w:t xml:space="preserve">Drip loss was significant lower in superchilled samples of Atlantic salmon compared to chilled and frozen samples </w:t>
      </w:r>
      <w:r w:rsidR="00261997" w:rsidRPr="000A6F05">
        <w:rPr>
          <w:lang w:val="en-US"/>
        </w:rPr>
        <w:fldChar w:fldCharType="begin"/>
      </w:r>
      <w:r w:rsidR="00261997" w:rsidRPr="000A6F05">
        <w:rPr>
          <w:lang w:val="en-US"/>
        </w:rPr>
        <w:instrText xml:space="preserve"> ADDIN EN.CITE &lt;EndNote&gt;&lt;Cite&gt;&lt;Author&gt;Kaale&lt;/Author&gt;&lt;Year&gt;2014&lt;/Year&gt;&lt;RecNum&gt;30&lt;/RecNum&gt;&lt;DisplayText&gt;(Kaale et al. 2014)&lt;/DisplayText&gt;&lt;record&gt;&lt;rec-number&gt;30&lt;/rec-number&gt;&lt;foreign-keys&gt;&lt;key app="EN" db-id="0wzzzxr91fdteke2p0tp59ejvve00s0edp09"&gt;30&lt;/key&gt;&lt;/foreign-keys&gt;&lt;ref-type name="Journal Article"&gt;17&lt;/ref-type&gt;&lt;contributors&gt;&lt;authors&gt;&lt;author&gt;Kaale, Lilian Daniel&lt;/author&gt;&lt;author&gt;Eikevik, Trygve Magne&lt;/author&gt;&lt;author&gt;Rustad, Turid&lt;/author&gt;&lt;author&gt;Nordtvedt, Tom Ståle&lt;/author&gt;&lt;/authors&gt;&lt;/contributors&gt;&lt;titles&gt;&lt;title&gt;Changes in water holding capacity and drip loss of Atlantic salmon (Salmo salar) muscle during superchilled storage&lt;/title&gt;&lt;secondary-title&gt;LWT - Food Science and Technology&lt;/secondary-title&gt;&lt;/titles&gt;&lt;periodical&gt;&lt;full-title&gt;LWT - Food Science and Technology&lt;/full-title&gt;&lt;/periodical&gt;&lt;pages&gt;528-535&lt;/pages&gt;&lt;volume&gt;55&lt;/volume&gt;&lt;number&gt;2&lt;/number&gt;&lt;keywords&gt;&lt;keyword&gt;Superchilled storage&lt;/keyword&gt;&lt;keyword&gt;Atlantic salmon (Salmo salar)&lt;/keyword&gt;&lt;keyword&gt;Liquid loss&lt;/keyword&gt;&lt;keyword&gt;Drip loss&lt;/keyword&gt;&lt;/keywords&gt;&lt;dates&gt;&lt;year&gt;2014&lt;/year&gt;&lt;pub-dates&gt;&lt;date&gt;3//&lt;/date&gt;&lt;/pub-dates&gt;&lt;/dates&gt;&lt;isbn&gt;0023-6438&lt;/isbn&gt;&lt;urls&gt;&lt;related-urls&gt;&lt;url&gt;http://www.sciencedirect.com/science/article/pii/S0023643813003642&lt;/url&gt;&lt;/related-urls&gt;&lt;/urls&gt;&lt;electronic-resource-num&gt;http://dx.doi.org/10.1016/j.lwt.2013.10.021&lt;/electronic-resource-num&gt;&lt;/record&gt;&lt;/Cite&gt;&lt;/EndNote&gt;</w:instrText>
      </w:r>
      <w:r w:rsidR="00261997" w:rsidRPr="000A6F05">
        <w:rPr>
          <w:lang w:val="en-US"/>
        </w:rPr>
        <w:fldChar w:fldCharType="separate"/>
      </w:r>
      <w:r w:rsidR="00261997" w:rsidRPr="000A6F05">
        <w:rPr>
          <w:noProof/>
          <w:lang w:val="en-US"/>
        </w:rPr>
        <w:t>(</w:t>
      </w:r>
      <w:hyperlink w:anchor="_ENREF_13" w:tooltip="Kaale, 2014 #30" w:history="1">
        <w:r w:rsidR="008F77AB" w:rsidRPr="000A6F05">
          <w:rPr>
            <w:noProof/>
            <w:lang w:val="en-US"/>
          </w:rPr>
          <w:t>Kaale et al. 2014</w:t>
        </w:r>
      </w:hyperlink>
      <w:r w:rsidR="00261997" w:rsidRPr="000A6F05">
        <w:rPr>
          <w:noProof/>
          <w:lang w:val="en-US"/>
        </w:rPr>
        <w:t>)</w:t>
      </w:r>
      <w:r w:rsidR="00261997" w:rsidRPr="000A6F05">
        <w:rPr>
          <w:lang w:val="en-US"/>
        </w:rPr>
        <w:fldChar w:fldCharType="end"/>
      </w:r>
      <w:r w:rsidR="00261997" w:rsidRPr="000A6F05">
        <w:rPr>
          <w:lang w:val="en-US"/>
        </w:rPr>
        <w:t xml:space="preserve">. </w:t>
      </w:r>
      <w:r w:rsidRPr="000A6F05">
        <w:rPr>
          <w:lang w:val="en-US"/>
        </w:rPr>
        <w:t xml:space="preserve">Compared to conventional technology, the superchilling </w:t>
      </w:r>
      <w:r w:rsidRPr="000A6F05">
        <w:rPr>
          <w:lang w:val="en-US"/>
        </w:rPr>
        <w:lastRenderedPageBreak/>
        <w:t xml:space="preserve">process needs more energy to attain lower product temperature and some degree of freezing but the energy used to produce additional ice is saved. </w:t>
      </w:r>
    </w:p>
    <w:p w:rsidR="00776618" w:rsidRPr="000A6F05" w:rsidRDefault="00195F56" w:rsidP="00195F56">
      <w:pPr>
        <w:spacing w:line="360" w:lineRule="auto"/>
        <w:jc w:val="both"/>
        <w:rPr>
          <w:lang w:val="en-US"/>
        </w:rPr>
      </w:pPr>
      <w:r w:rsidRPr="000A6F05">
        <w:rPr>
          <w:lang w:val="en-US"/>
        </w:rPr>
        <w:t xml:space="preserve">Life cycle assessment (LCA) is a standardized methodology </w:t>
      </w:r>
      <w:r w:rsidR="00776618" w:rsidRPr="000A6F05">
        <w:rPr>
          <w:lang w:val="en-US"/>
        </w:rPr>
        <w:fldChar w:fldCharType="begin"/>
      </w:r>
      <w:r w:rsidR="00776618" w:rsidRPr="000A6F05">
        <w:rPr>
          <w:lang w:val="en-US"/>
        </w:rPr>
        <w:instrText xml:space="preserve"> ADDIN EN.CITE &lt;EndNote&gt;&lt;Cite ExcludeYear="1"&gt;&lt;Author&gt;ISO_14044&lt;/Author&gt;&lt;Year&gt;2006&lt;/Year&gt;&lt;RecNum&gt;44&lt;/RecNum&gt;&lt;DisplayText&gt;(ISO_14044)&lt;/DisplayText&gt;&lt;record&gt;&lt;rec-number&gt;44&lt;/rec-number&gt;&lt;foreign-keys&gt;&lt;key app="EN" db-id="0wzzzxr91fdteke2p0tp59ejvve00s0edp09"&gt;44&lt;/key&gt;&lt;/foreign-keys&gt;&lt;ref-type name="Report"&gt;27&lt;/ref-type&gt;&lt;contributors&gt;&lt;authors&gt;&lt;author&gt;ISO_14044&lt;/author&gt;&lt;/authors&gt;&lt;/contributors&gt;&lt;titles&gt;&lt;title&gt;Environmental Management – Life Cycle Assessment – Requirements and Guidelines&lt;/title&gt;&lt;secondary-title&gt;International Organisation for Standardisation (ISO), Geneva (2006)&lt;/secondary-title&gt;&lt;/titles&gt;&lt;dates&gt;&lt;year&gt;2006&lt;/year&gt;&lt;/dates&gt;&lt;urls&gt;&lt;/urls&gt;&lt;/record&gt;&lt;/Cite&gt;&lt;/EndNote&gt;</w:instrText>
      </w:r>
      <w:r w:rsidR="00776618" w:rsidRPr="000A6F05">
        <w:rPr>
          <w:lang w:val="en-US"/>
        </w:rPr>
        <w:fldChar w:fldCharType="separate"/>
      </w:r>
      <w:r w:rsidR="00776618" w:rsidRPr="000A6F05">
        <w:rPr>
          <w:noProof/>
          <w:lang w:val="en-US"/>
        </w:rPr>
        <w:t>(</w:t>
      </w:r>
      <w:hyperlink w:anchor="_ENREF_12" w:tooltip="ISO_14044, 2006 #44" w:history="1">
        <w:r w:rsidR="008F77AB" w:rsidRPr="000A6F05">
          <w:rPr>
            <w:noProof/>
            <w:lang w:val="en-US"/>
          </w:rPr>
          <w:t>ISO_14044</w:t>
        </w:r>
      </w:hyperlink>
      <w:r w:rsidR="00776618" w:rsidRPr="000A6F05">
        <w:rPr>
          <w:noProof/>
          <w:lang w:val="en-US"/>
        </w:rPr>
        <w:t>)</w:t>
      </w:r>
      <w:r w:rsidR="00776618" w:rsidRPr="000A6F05">
        <w:rPr>
          <w:lang w:val="en-US"/>
        </w:rPr>
        <w:fldChar w:fldCharType="end"/>
      </w:r>
      <w:r w:rsidRPr="000A6F05">
        <w:rPr>
          <w:lang w:val="en-US"/>
        </w:rPr>
        <w:t xml:space="preserve"> for assessing the environmental aspects associated with a product, technology or activity based on the compilation of an inventory of material and energy inputs and outputs for each stage over a life cycle. </w:t>
      </w:r>
      <w:r w:rsidR="00541E6F" w:rsidRPr="000A6F05">
        <w:rPr>
          <w:lang w:val="en-US"/>
        </w:rPr>
        <w:t xml:space="preserve">A review of the main developments of LCA over the past 30 years in the domain of energy analysis was given by </w:t>
      </w:r>
      <w:r w:rsidR="00541E6F" w:rsidRPr="000A6F05">
        <w:rPr>
          <w:lang w:val="en-US"/>
        </w:rPr>
        <w:fldChar w:fldCharType="begin"/>
      </w:r>
      <w:r w:rsidR="00541E6F" w:rsidRPr="000A6F05">
        <w:rPr>
          <w:lang w:val="en-US"/>
        </w:rPr>
        <w:instrText xml:space="preserve"> ADDIN EN.CITE &lt;EndNote&gt;&lt;Cite AuthorYear="1"&gt;&lt;Author&gt;Udo de Haes&lt;/Author&gt;&lt;Year&gt;2007&lt;/Year&gt;&lt;RecNum&gt;2&lt;/RecNum&gt;&lt;DisplayText&gt;Udo de Haes and Heijungs (2007)&lt;/DisplayText&gt;&lt;record&gt;&lt;rec-number&gt;2&lt;/rec-number&gt;&lt;foreign-keys&gt;&lt;key app="EN" db-id="0wzzzxr91fdteke2p0tp59ejvve00s0edp09"&gt;2&lt;/key&gt;&lt;/foreign-keys&gt;&lt;ref-type name="Journal Article"&gt;17&lt;/ref-type&gt;&lt;contributors&gt;&lt;authors&gt;&lt;author&gt;Udo de Haes, Helias A.&lt;/author&gt;&lt;author&gt;Heijungs, Reinout&lt;/author&gt;&lt;/authors&gt;&lt;/contributors&gt;&lt;titles&gt;&lt;title&gt;Life-cycle assessment for energy analysis and management&lt;/title&gt;&lt;secondary-title&gt;Applied Energy&lt;/secondary-title&gt;&lt;/titles&gt;&lt;periodical&gt;&lt;full-title&gt;Applied Energy&lt;/full-title&gt;&lt;/periodical&gt;&lt;pages&gt;817-827&lt;/pages&gt;&lt;volume&gt;84&lt;/volume&gt;&lt;number&gt;7–8&lt;/number&gt;&lt;keywords&gt;&lt;keyword&gt;Life cycle assessment (LCA)&lt;/keyword&gt;&lt;keyword&gt;Energy analysis&lt;/keyword&gt;&lt;keyword&gt;Energy systems&lt;/keyword&gt;&lt;/keywords&gt;&lt;dates&gt;&lt;year&gt;2007&lt;/year&gt;&lt;pub-dates&gt;&lt;date&gt;7//&lt;/date&gt;&lt;/pub-dates&gt;&lt;/dates&gt;&lt;isbn&gt;0306-2619&lt;/isbn&gt;&lt;urls&gt;&lt;related-urls&gt;&lt;url&gt;http://www.sciencedirect.com/science/article/pii/S0306261907000153&lt;/url&gt;&lt;/related-urls&gt;&lt;/urls&gt;&lt;electronic-resource-num&gt;http://dx.doi.org/10.1016/j.apenergy.2007.01.012&lt;/electronic-resource-num&gt;&lt;access-date&gt;2007/8//&lt;/access-date&gt;&lt;/record&gt;&lt;/Cite&gt;&lt;/EndNote&gt;</w:instrText>
      </w:r>
      <w:r w:rsidR="00541E6F" w:rsidRPr="000A6F05">
        <w:rPr>
          <w:lang w:val="en-US"/>
        </w:rPr>
        <w:fldChar w:fldCharType="separate"/>
      </w:r>
      <w:hyperlink w:anchor="_ENREF_23" w:tooltip="Udo de Haes, 2007 #2" w:history="1">
        <w:r w:rsidR="008F77AB" w:rsidRPr="000A6F05">
          <w:rPr>
            <w:noProof/>
            <w:lang w:val="en-US"/>
          </w:rPr>
          <w:t>Udo de Haes and Heijungs (2007</w:t>
        </w:r>
      </w:hyperlink>
      <w:r w:rsidR="00541E6F" w:rsidRPr="000A6F05">
        <w:rPr>
          <w:noProof/>
          <w:lang w:val="en-US"/>
        </w:rPr>
        <w:t>)</w:t>
      </w:r>
      <w:r w:rsidR="00541E6F" w:rsidRPr="000A6F05">
        <w:rPr>
          <w:lang w:val="en-US"/>
        </w:rPr>
        <w:fldChar w:fldCharType="end"/>
      </w:r>
      <w:r w:rsidR="00541E6F" w:rsidRPr="000A6F05">
        <w:rPr>
          <w:lang w:val="en-US"/>
        </w:rPr>
        <w:t xml:space="preserve">. </w:t>
      </w:r>
      <w:r w:rsidRPr="000A6F05">
        <w:rPr>
          <w:lang w:val="en-US"/>
        </w:rPr>
        <w:t>The LCA can be applied to compare two (or more) products and technologies.</w:t>
      </w:r>
      <w:r w:rsidR="004728D7" w:rsidRPr="000A6F05">
        <w:rPr>
          <w:lang w:val="en-US"/>
        </w:rPr>
        <w:t xml:space="preserve"> For example, </w:t>
      </w:r>
      <w:r w:rsidR="004728D7" w:rsidRPr="000A6F05">
        <w:rPr>
          <w:lang w:val="en-US"/>
        </w:rPr>
        <w:fldChar w:fldCharType="begin"/>
      </w:r>
      <w:r w:rsidR="004728D7" w:rsidRPr="000A6F05">
        <w:rPr>
          <w:lang w:val="en-US"/>
        </w:rPr>
        <w:instrText xml:space="preserve"> ADDIN EN.CITE &lt;EndNote&gt;&lt;Cite AuthorYear="1"&gt;&lt;Author&gt;Ardente&lt;/Author&gt;&lt;Year&gt;2014&lt;/Year&gt;&lt;RecNum&gt;18&lt;/RecNum&gt;&lt;DisplayText&gt;Ardente and Mathieux (2014)&lt;/DisplayText&gt;&lt;record&gt;&lt;rec-number&gt;18&lt;/rec-number&gt;&lt;foreign-keys&gt;&lt;key app="EN" db-id="0wzzzxr91fdteke2p0tp59ejvve00s0edp09"&gt;18&lt;/key&gt;&lt;/foreign-keys&gt;&lt;ref-type name="Journal Article"&gt;17&lt;/ref-type&gt;&lt;contributors&gt;&lt;authors&gt;&lt;author&gt;Ardente, Fulvio&lt;/author&gt;&lt;author&gt;Mathieux, Fabrice&lt;/author&gt;&lt;/authors&gt;&lt;/contributors&gt;&lt;titles&gt;&lt;title&gt;Environmental assessment of the durability of energy-using products: method and application&lt;/title&gt;&lt;secondary-title&gt;Journal of Cleaner Production&lt;/secondary-title&gt;&lt;/titles&gt;&lt;periodical&gt;&lt;full-title&gt;Journal of Cleaner Production&lt;/full-title&gt;&lt;/periodical&gt;&lt;pages&gt;62-73&lt;/pages&gt;&lt;volume&gt;74&lt;/volume&gt;&lt;number&gt;0&lt;/number&gt;&lt;keywords&gt;&lt;keyword&gt;Durability&lt;/keyword&gt;&lt;keyword&gt;Energy-using product (EuP)&lt;/keyword&gt;&lt;keyword&gt;Lifetime&lt;/keyword&gt;&lt;keyword&gt;Life Cycle Assessment (LCA)&lt;/keyword&gt;&lt;keyword&gt;Ecodesign&lt;/keyword&gt;&lt;keyword&gt;Washing machine&lt;/keyword&gt;&lt;/keywords&gt;&lt;dates&gt;&lt;year&gt;2014&lt;/year&gt;&lt;pub-dates&gt;&lt;date&gt;7/1/&lt;/date&gt;&lt;/pub-dates&gt;&lt;/dates&gt;&lt;isbn&gt;0959-6526&lt;/isbn&gt;&lt;urls&gt;&lt;related-urls&gt;&lt;url&gt;http://www.sciencedirect.com/science/article/pii/S0959652614002807&lt;/url&gt;&lt;/related-urls&gt;&lt;/urls&gt;&lt;electronic-resource-num&gt;http://dx.doi.org/10.1016/j.jclepro.2014.03.049&lt;/electronic-resource-num&gt;&lt;/record&gt;&lt;/Cite&gt;&lt;/EndNote&gt;</w:instrText>
      </w:r>
      <w:r w:rsidR="004728D7" w:rsidRPr="000A6F05">
        <w:rPr>
          <w:lang w:val="en-US"/>
        </w:rPr>
        <w:fldChar w:fldCharType="separate"/>
      </w:r>
      <w:hyperlink w:anchor="_ENREF_2" w:tooltip="Ardente, 2014 #18" w:history="1">
        <w:r w:rsidR="008F77AB" w:rsidRPr="000A6F05">
          <w:rPr>
            <w:noProof/>
            <w:lang w:val="en-US"/>
          </w:rPr>
          <w:t>Ardente and Mathieux (2014</w:t>
        </w:r>
      </w:hyperlink>
      <w:r w:rsidR="004728D7" w:rsidRPr="000A6F05">
        <w:rPr>
          <w:noProof/>
          <w:lang w:val="en-US"/>
        </w:rPr>
        <w:t>)</w:t>
      </w:r>
      <w:r w:rsidR="004728D7" w:rsidRPr="000A6F05">
        <w:rPr>
          <w:lang w:val="en-US"/>
        </w:rPr>
        <w:fldChar w:fldCharType="end"/>
      </w:r>
      <w:r w:rsidR="004728D7" w:rsidRPr="000A6F05">
        <w:rPr>
          <w:lang w:val="en-US"/>
        </w:rPr>
        <w:t xml:space="preserve"> used a LCA based approach for environmentally assessing the durability of energy-using products in order to identify </w:t>
      </w:r>
      <w:r w:rsidR="001764A0" w:rsidRPr="000A6F05">
        <w:rPr>
          <w:lang w:val="en-US"/>
        </w:rPr>
        <w:t xml:space="preserve">when </w:t>
      </w:r>
      <w:r w:rsidR="004728D7" w:rsidRPr="000A6F05">
        <w:rPr>
          <w:lang w:val="en-US"/>
        </w:rPr>
        <w:t>the potential extension of the product's lifetime could have life-cycle benefits. The method is based on the comparison</w:t>
      </w:r>
      <w:r w:rsidR="001764A0" w:rsidRPr="000A6F05">
        <w:rPr>
          <w:lang w:val="en-US"/>
        </w:rPr>
        <w:t xml:space="preserve"> </w:t>
      </w:r>
      <w:r w:rsidR="004728D7" w:rsidRPr="000A6F05">
        <w:rPr>
          <w:lang w:val="en-US"/>
        </w:rPr>
        <w:t>of two scenarios of different lifetimes of a target product and its potential substitution with better performing alternatives.</w:t>
      </w:r>
      <w:r w:rsidRPr="000A6F05">
        <w:rPr>
          <w:lang w:val="en-US"/>
        </w:rPr>
        <w:t xml:space="preserve"> </w:t>
      </w:r>
      <w:r w:rsidR="00852E2D" w:rsidRPr="000A6F05">
        <w:rPr>
          <w:lang w:val="en-US"/>
        </w:rPr>
        <w:t xml:space="preserve">The life cycle environmental impacts of ready-made meals manufactured industrially was compared with meals prepared at home by </w:t>
      </w:r>
      <w:r w:rsidR="00852E2D" w:rsidRPr="000A6F05">
        <w:rPr>
          <w:lang w:val="en-US"/>
        </w:rPr>
        <w:fldChar w:fldCharType="begin"/>
      </w:r>
      <w:r w:rsidR="00852E2D" w:rsidRPr="000A6F05">
        <w:rPr>
          <w:lang w:val="en-US"/>
        </w:rPr>
        <w:instrText xml:space="preserve"> ADDIN EN.CITE &lt;EndNote&gt;&lt;Cite AuthorYear="1"&gt;&lt;Author&gt;Schmidt Rivera&lt;/Author&gt;&lt;Year&gt;2014&lt;/Year&gt;&lt;RecNum&gt;17&lt;/RecNum&gt;&lt;DisplayText&gt;Schmidt Rivera et al. (2014)&lt;/DisplayText&gt;&lt;record&gt;&lt;rec-number&gt;17&lt;/rec-number&gt;&lt;foreign-keys&gt;&lt;key app="EN" db-id="0wzzzxr91fdteke2p0tp59ejvve00s0edp09"&gt;17&lt;/key&gt;&lt;/foreign-keys&gt;&lt;ref-type name="Journal Article"&gt;17&lt;/ref-type&gt;&lt;contributors&gt;&lt;authors&gt;&lt;author&gt;Schmidt Rivera, Ximena C.&lt;/author&gt;&lt;author&gt;Espinoza Orias, Namy&lt;/author&gt;&lt;author&gt;Azapagic, Adisa&lt;/author&gt;&lt;/authors&gt;&lt;/contributors&gt;&lt;titles&gt;&lt;title&gt;Life cycle environmental impacts of convenience food: Comparison of ready and home-made meals&lt;/title&gt;&lt;secondary-title&gt;Journal of Cleaner Production&lt;/secondary-title&gt;&lt;/titles&gt;&lt;periodical&gt;&lt;full-title&gt;Journal of Cleaner Production&lt;/full-title&gt;&lt;/periodical&gt;&lt;pages&gt;294-309&lt;/pages&gt;&lt;volume&gt;73&lt;/volume&gt;&lt;number&gt;0&lt;/number&gt;&lt;keywords&gt;&lt;keyword&gt;Convenience food&lt;/keyword&gt;&lt;keyword&gt;Home-made meals&lt;/keyword&gt;&lt;keyword&gt;Ready-made meals&lt;/keyword&gt;&lt;keyword&gt;Environmental impacts&lt;/keyword&gt;&lt;keyword&gt;LCA&lt;/keyword&gt;&lt;/keywords&gt;&lt;dates&gt;&lt;year&gt;2014&lt;/year&gt;&lt;pub-dates&gt;&lt;date&gt;6/15/&lt;/date&gt;&lt;/pub-dates&gt;&lt;/dates&gt;&lt;isbn&gt;0959-6526&lt;/isbn&gt;&lt;urls&gt;&lt;related-urls&gt;&lt;url&gt;http://www.sciencedirect.com/science/article/pii/S0959652614000171&lt;/url&gt;&lt;/related-urls&gt;&lt;/urls&gt;&lt;electronic-resource-num&gt;http://dx.doi.org/10.1016/j.jclepro.2014.01.008&lt;/electronic-resource-num&gt;&lt;/record&gt;&lt;/Cite&gt;&lt;/EndNote&gt;</w:instrText>
      </w:r>
      <w:r w:rsidR="00852E2D" w:rsidRPr="000A6F05">
        <w:rPr>
          <w:lang w:val="en-US"/>
        </w:rPr>
        <w:fldChar w:fldCharType="separate"/>
      </w:r>
      <w:hyperlink w:anchor="_ENREF_19" w:tooltip="Schmidt Rivera, 2014 #17" w:history="1">
        <w:r w:rsidR="008F77AB" w:rsidRPr="000A6F05">
          <w:rPr>
            <w:noProof/>
            <w:lang w:val="en-US"/>
          </w:rPr>
          <w:t>Schmidt Rivera et al. (2014</w:t>
        </w:r>
      </w:hyperlink>
      <w:r w:rsidR="00852E2D" w:rsidRPr="000A6F05">
        <w:rPr>
          <w:noProof/>
          <w:lang w:val="en-US"/>
        </w:rPr>
        <w:t>)</w:t>
      </w:r>
      <w:r w:rsidR="00852E2D" w:rsidRPr="000A6F05">
        <w:rPr>
          <w:lang w:val="en-US"/>
        </w:rPr>
        <w:fldChar w:fldCharType="end"/>
      </w:r>
      <w:r w:rsidR="00852E2D" w:rsidRPr="000A6F05">
        <w:rPr>
          <w:lang w:val="en-US"/>
        </w:rPr>
        <w:t>.</w:t>
      </w:r>
      <w:r w:rsidR="00776618" w:rsidRPr="000A6F05">
        <w:rPr>
          <w:lang w:val="en-US"/>
        </w:rPr>
        <w:t xml:space="preserve"> The comparison of the carbon footprint of food transport refrigeration systems using different refrigerants (R404A, R410A and R744) were performed by </w:t>
      </w:r>
      <w:r w:rsidR="00776618" w:rsidRPr="000A6F05">
        <w:rPr>
          <w:lang w:val="en-US"/>
        </w:rPr>
        <w:fldChar w:fldCharType="begin"/>
      </w:r>
      <w:r w:rsidR="00776618" w:rsidRPr="000A6F05">
        <w:rPr>
          <w:lang w:val="en-US"/>
        </w:rPr>
        <w:instrText xml:space="preserve"> ADDIN EN.CITE &lt;EndNote&gt;&lt;Cite AuthorYear="1"&gt;&lt;Author&gt;Wu&lt;/Author&gt;&lt;Year&gt;2013&lt;/Year&gt;&lt;RecNum&gt;32&lt;/RecNum&gt;&lt;DisplayText&gt;Wu et al. (2013)&lt;/DisplayText&gt;&lt;record&gt;&lt;rec-number&gt;32&lt;/rec-number&gt;&lt;foreign-keys&gt;&lt;key app="EN" db-id="0wzzzxr91fdteke2p0tp59ejvve00s0edp09"&gt;32&lt;/key&gt;&lt;/foreign-keys&gt;&lt;ref-type name="Journal Article"&gt;17&lt;/ref-type&gt;&lt;contributors&gt;&lt;authors&gt;&lt;author&gt;Wu, Xiaomin&lt;/author&gt;&lt;author&gt;Hu, Shan&lt;/author&gt;&lt;author&gt;Mo, Shaojia&lt;/author&gt;&lt;/authors&gt;&lt;/contributors&gt;&lt;titles&gt;&lt;title&gt;Carbon footprint model for evaluating the global warming impact of food transport refrigeration systems&lt;/title&gt;&lt;secondary-title&gt;Journal of Cleaner Production&lt;/secondary-title&gt;&lt;/titles&gt;&lt;periodical&gt;&lt;full-title&gt;Journal of Cleaner Production&lt;/full-title&gt;&lt;/periodical&gt;&lt;pages&gt;115-124&lt;/pages&gt;&lt;volume&gt;54&lt;/volume&gt;&lt;number&gt;0&lt;/number&gt;&lt;keywords&gt;&lt;keyword&gt;Global warming&lt;/keyword&gt;&lt;keyword&gt;Carbon footprint assessment&lt;/keyword&gt;&lt;keyword&gt;Life cycle&lt;/keyword&gt;&lt;keyword&gt;Food transport refrigeration&lt;/keyword&gt;&lt;keyword&gt;Refrigerants&lt;/keyword&gt;&lt;/keywords&gt;&lt;dates&gt;&lt;year&gt;2013&lt;/year&gt;&lt;pub-dates&gt;&lt;date&gt;9/1/&lt;/date&gt;&lt;/pub-dates&gt;&lt;/dates&gt;&lt;isbn&gt;0959-6526&lt;/isbn&gt;&lt;urls&gt;&lt;related-urls&gt;&lt;url&gt;http://www.sciencedirect.com/science/article/pii/S095965261300293X&lt;/url&gt;&lt;/related-urls&gt;&lt;/urls&gt;&lt;electronic-resource-num&gt;http://dx.doi.org/10.1016/j.jclepro.2013.04.045&lt;/electronic-resource-num&gt;&lt;/record&gt;&lt;/Cite&gt;&lt;/EndNote&gt;</w:instrText>
      </w:r>
      <w:r w:rsidR="00776618" w:rsidRPr="000A6F05">
        <w:rPr>
          <w:lang w:val="en-US"/>
        </w:rPr>
        <w:fldChar w:fldCharType="separate"/>
      </w:r>
      <w:hyperlink w:anchor="_ENREF_26" w:tooltip="Wu, 2013 #32" w:history="1">
        <w:r w:rsidR="008F77AB" w:rsidRPr="000A6F05">
          <w:rPr>
            <w:noProof/>
            <w:lang w:val="en-US"/>
          </w:rPr>
          <w:t>Wu et al. (2013</w:t>
        </w:r>
      </w:hyperlink>
      <w:r w:rsidR="00776618" w:rsidRPr="000A6F05">
        <w:rPr>
          <w:noProof/>
          <w:lang w:val="en-US"/>
        </w:rPr>
        <w:t>)</w:t>
      </w:r>
      <w:r w:rsidR="00776618" w:rsidRPr="000A6F05">
        <w:rPr>
          <w:lang w:val="en-US"/>
        </w:rPr>
        <w:fldChar w:fldCharType="end"/>
      </w:r>
      <w:r w:rsidR="00776618" w:rsidRPr="000A6F05">
        <w:rPr>
          <w:lang w:val="en-US"/>
        </w:rPr>
        <w:t>.  In this study, the carb</w:t>
      </w:r>
      <w:r w:rsidR="00B5401F" w:rsidRPr="000A6F05">
        <w:rPr>
          <w:lang w:val="en-US"/>
        </w:rPr>
        <w:t>on footprint was calculated as</w:t>
      </w:r>
      <w:r w:rsidR="00776618" w:rsidRPr="000A6F05">
        <w:rPr>
          <w:lang w:val="en-US"/>
        </w:rPr>
        <w:t xml:space="preserve"> the sum of direct emissions (by various greenhouse gas emissions and leakage in each process) and indirect emissions (the CO2 equivalent emissions due to the energy consumption in each process). Their result showed that the CO2 emissions caused by the energy consumption are a large part of the total CO2 emissions thus increasing the coefficient of performance (COP) of the refrigerator and of other equipment can significantly reduce the energy consumption and CO2 emissions. </w:t>
      </w:r>
    </w:p>
    <w:p w:rsidR="004278BE" w:rsidRPr="000A6F05" w:rsidRDefault="00776618" w:rsidP="00195F56">
      <w:pPr>
        <w:spacing w:line="360" w:lineRule="auto"/>
        <w:jc w:val="both"/>
        <w:rPr>
          <w:lang w:val="en-US"/>
        </w:rPr>
      </w:pPr>
      <w:r w:rsidRPr="000A6F05">
        <w:rPr>
          <w:lang w:val="en-US"/>
        </w:rPr>
        <w:t xml:space="preserve">Recently, LCA were applied to study the environmental impacts of the seafood industry. </w:t>
      </w:r>
      <w:r w:rsidRPr="000A6F05">
        <w:rPr>
          <w:lang w:val="en-US"/>
        </w:rPr>
        <w:fldChar w:fldCharType="begin"/>
      </w:r>
      <w:r w:rsidRPr="000A6F05">
        <w:rPr>
          <w:lang w:val="en-US"/>
        </w:rPr>
        <w:instrText xml:space="preserve"> ADDIN EN.CITE &lt;EndNote&gt;&lt;Cite AuthorYear="1"&gt;&lt;Author&gt;Denham&lt;/Author&gt;&lt;Year&gt;2015&lt;/Year&gt;&lt;RecNum&gt;36&lt;/RecNum&gt;&lt;DisplayText&gt;Denham et al. (2015a)&lt;/DisplayText&gt;&lt;record&gt;&lt;rec-number&gt;36&lt;/rec-number&gt;&lt;foreign-keys&gt;&lt;key app="EN" db-id="0wzzzxr91fdteke2p0tp59ejvve00s0edp09"&gt;36&lt;/key&gt;&lt;/foreign-keys&gt;&lt;ref-type name="Journal Article"&gt;17&lt;/ref-type&gt;&lt;contributors&gt;&lt;authors&gt;&lt;author&gt;Denham, Felicity C.&lt;/author&gt;&lt;author&gt;Howieson, Janet R&lt;/author&gt;&lt;author&gt;Solah, Vicky A.&lt;/author&gt;&lt;author&gt;Biswas, Wahidul K.&lt;/author&gt;&lt;/authors&gt;&lt;/contributors&gt;&lt;titles&gt;&lt;title&gt;Environmental supply chain management in the seafood industry: past, present and future approaches&lt;/title&gt;&lt;secondary-title&gt;Journal of Cleaner Production&lt;/secondary-title&gt;&lt;/titles&gt;&lt;periodical&gt;&lt;full-title&gt;Journal of Cleaner Production&lt;/full-title&gt;&lt;/periodical&gt;&lt;pages&gt;82-90&lt;/pages&gt;&lt;volume&gt;90&lt;/volume&gt;&lt;number&gt;0&lt;/number&gt;&lt;keywords&gt;&lt;keyword&gt;Seafood&lt;/keyword&gt;&lt;keyword&gt;Cleaner production&lt;/keyword&gt;&lt;keyword&gt;Supply chain management&lt;/keyword&gt;&lt;keyword&gt;Life cycle assessment&lt;/keyword&gt;&lt;keyword&gt;Resource use&lt;/keyword&gt;&lt;/keywords&gt;&lt;dates&gt;&lt;year&gt;2015a&lt;/year&gt;&lt;pub-dates&gt;&lt;date&gt;3/1/&lt;/date&gt;&lt;/pub-dates&gt;&lt;/dates&gt;&lt;isbn&gt;0959-6526&lt;/isbn&gt;&lt;urls&gt;&lt;related-urls&gt;&lt;url&gt;http://www.sciencedirect.com/science/article/pii/S0959652614012979&lt;/url&gt;&lt;/related-urls&gt;&lt;/urls&gt;&lt;electronic-resource-num&gt;http://dx.doi.org/10.1016/j.jclepro.2014.11.079&lt;/electronic-resource-num&gt;&lt;/record&gt;&lt;/Cite&gt;&lt;/EndNote&gt;</w:instrText>
      </w:r>
      <w:r w:rsidRPr="000A6F05">
        <w:rPr>
          <w:lang w:val="en-US"/>
        </w:rPr>
        <w:fldChar w:fldCharType="separate"/>
      </w:r>
      <w:hyperlink w:anchor="_ENREF_8" w:tooltip="Denham, 2015a #36" w:history="1">
        <w:r w:rsidR="008F77AB" w:rsidRPr="000A6F05">
          <w:rPr>
            <w:noProof/>
            <w:lang w:val="en-US"/>
          </w:rPr>
          <w:t>Denham et al. (2015a</w:t>
        </w:r>
      </w:hyperlink>
      <w:r w:rsidRPr="000A6F05">
        <w:rPr>
          <w:noProof/>
          <w:lang w:val="en-US"/>
        </w:rPr>
        <w:t>)</w:t>
      </w:r>
      <w:r w:rsidRPr="000A6F05">
        <w:rPr>
          <w:lang w:val="en-US"/>
        </w:rPr>
        <w:fldChar w:fldCharType="end"/>
      </w:r>
      <w:r w:rsidRPr="000A6F05">
        <w:rPr>
          <w:lang w:val="en-US"/>
        </w:rPr>
        <w:t xml:space="preserve"> have analyzed and identified the most effective cleaner production strategies for improved environmental performance of the supply chain in the seafood industry. Many stages of the seafood supply chain were studied: production, transport, processing and packaging, storage and retails. They suggested that in order to ensure the greatest reduction in environmental impact, a whole of supply chain management system that incorporates life cycle assessment modelling is recommended. The cumulative energy use, biotic resource use, and greenhouse gas, acidifying, and eutrophying emissions associated with producing farmed salmon in Norway, the UK, British Columbia (Canada), and Chile were reported by </w:t>
      </w:r>
      <w:r w:rsidRPr="000A6F05">
        <w:rPr>
          <w:lang w:val="en-US"/>
        </w:rPr>
        <w:fldChar w:fldCharType="begin"/>
      </w:r>
      <w:r w:rsidRPr="000A6F05">
        <w:rPr>
          <w:lang w:val="en-US"/>
        </w:rPr>
        <w:instrText xml:space="preserve"> ADDIN EN.CITE &lt;EndNote&gt;&lt;Cite AuthorYear="1"&gt;&lt;Author&gt;Pelletier&lt;/Author&gt;&lt;Year&gt;2009&lt;/Year&gt;&lt;RecNum&gt;48&lt;/RecNum&gt;&lt;DisplayText&gt;Pelletier et al. (2009)&lt;/DisplayText&gt;&lt;record&gt;&lt;rec-number&gt;48&lt;/rec-number&gt;&lt;foreign-keys&gt;&lt;key app="EN" db-id="0wzzzxr91fdteke2p0tp59ejvve00s0edp09"&gt;48&lt;/key&gt;&lt;/foreign-keys&gt;&lt;ref-type name="Journal Article"&gt;17&lt;/ref-type&gt;&lt;contributors&gt;&lt;authors&gt;&lt;author&gt;Pelletier, Nathan&lt;/author&gt;&lt;author&gt;Tyedmers, Peter&lt;/author&gt;&lt;author&gt;Sonesson, Ulf&lt;/author&gt;&lt;author&gt;Scholz, Astrid&lt;/author&gt;&lt;author&gt;Ziegler, Friederike&lt;/author&gt;&lt;author&gt;Flysjo, Anna&lt;/author&gt;&lt;author&gt;Kruse, Sarah&lt;/author&gt;&lt;author&gt;Cancino, Beatriz&lt;/author&gt;&lt;author&gt;Silverman, Howard&lt;/author&gt;&lt;/authors&gt;&lt;/contributors&gt;&lt;titles&gt;&lt;title&gt;Not All Salmon Are Created Equal: Life Cycle Assessment (LCA) of Global Salmon Farming Systems&lt;/title&gt;&lt;secondary-title&gt;Environmental Science &amp;amp; Technology&lt;/secondary-title&gt;&lt;/titles&gt;&lt;periodical&gt;&lt;full-title&gt;Environmental Science &amp;amp; Technology&lt;/full-title&gt;&lt;/periodical&gt;&lt;pages&gt;8730-8736&lt;/pages&gt;&lt;volume&gt;43&lt;/volume&gt;&lt;number&gt;23&lt;/number&gt;&lt;dates&gt;&lt;year&gt;2009&lt;/year&gt;&lt;pub-dates&gt;&lt;date&gt;12&lt;/date&gt;&lt;/pub-dates&gt;&lt;/dates&gt;&lt;urls&gt;&lt;/urls&gt;&lt;electronic-resource-num&gt;10.1021/es9010114&lt;/electronic-resource-num&gt;&lt;/record&gt;&lt;/Cite&gt;&lt;/EndNote&gt;</w:instrText>
      </w:r>
      <w:r w:rsidRPr="000A6F05">
        <w:rPr>
          <w:lang w:val="en-US"/>
        </w:rPr>
        <w:fldChar w:fldCharType="separate"/>
      </w:r>
      <w:hyperlink w:anchor="_ENREF_18" w:tooltip="Pelletier, 2009 #48" w:history="1">
        <w:r w:rsidR="008F77AB" w:rsidRPr="000A6F05">
          <w:rPr>
            <w:noProof/>
            <w:lang w:val="en-US"/>
          </w:rPr>
          <w:t>Pelletier et al. (2009</w:t>
        </w:r>
      </w:hyperlink>
      <w:r w:rsidRPr="000A6F05">
        <w:rPr>
          <w:noProof/>
          <w:lang w:val="en-US"/>
        </w:rPr>
        <w:t>)</w:t>
      </w:r>
      <w:r w:rsidRPr="000A6F05">
        <w:rPr>
          <w:lang w:val="en-US"/>
        </w:rPr>
        <w:fldChar w:fldCharType="end"/>
      </w:r>
      <w:r w:rsidRPr="000A6F05">
        <w:rPr>
          <w:lang w:val="en-US"/>
        </w:rPr>
        <w:t xml:space="preserve">. The greenhouse gas (GHG) emissions from two Western Australian finfish supply chains, from harvest to retail outlet, were measured using streamlined life cycle assessment methodology by </w:t>
      </w:r>
      <w:r w:rsidRPr="000A6F05">
        <w:rPr>
          <w:lang w:val="en-US"/>
        </w:rPr>
        <w:fldChar w:fldCharType="begin"/>
      </w:r>
      <w:r w:rsidRPr="000A6F05">
        <w:rPr>
          <w:lang w:val="en-US"/>
        </w:rPr>
        <w:instrText xml:space="preserve"> ADDIN EN.CITE &lt;EndNote&gt;&lt;Cite AuthorYear="1"&gt;&lt;Author&gt;Denham&lt;/Author&gt;&lt;Year&gt;2015&lt;/Year&gt;&lt;RecNum&gt;34&lt;/RecNum&gt;&lt;DisplayText&gt;Denham et al. (2015b)&lt;/DisplayText&gt;&lt;record&gt;&lt;rec-number&gt;34&lt;/rec-number&gt;&lt;foreign-keys&gt;&lt;key app="EN" db-id="0wzzzxr91fdteke2p0tp59ejvve00s0edp09"&gt;34&lt;/key&gt;&lt;/foreign-keys&gt;&lt;ref-type name="Journal Article"&gt;17&lt;/ref-type&gt;&lt;contributors&gt;&lt;authors&gt;&lt;author&gt;Denham, Felicity C.&lt;/author&gt;&lt;author&gt;Biswas, Wahidul K.&lt;/author&gt;&lt;author&gt;Solah, Vicky A.&lt;/author&gt;&lt;author&gt;Howieson, Janet R.&lt;/author&gt;&lt;/authors&gt;&lt;/contributors&gt;&lt;titles&gt;&lt;title&gt;Greenhouse gas emissions from a Western Australian finfish supply chain&lt;/title&gt;&lt;secondary-title&gt;Journal of Cleaner Production&lt;/secondary-title&gt;&lt;/titles&gt;&lt;periodical&gt;&lt;full-title&gt;Journal of Cleaner Production&lt;/full-title&gt;&lt;/periodical&gt;&lt;number&gt;0&lt;/number&gt;&lt;keywords&gt;&lt;keyword&gt;Greenhouse gas&lt;/keyword&gt;&lt;keyword&gt;Finfish supply chain&lt;/keyword&gt;&lt;keyword&gt;Life cycle assessment&lt;/keyword&gt;&lt;/keywords&gt;&lt;dates&gt;&lt;year&gt;2015b&lt;/year&gt;&lt;/dates&gt;&lt;isbn&gt;0959-6526&lt;/isbn&gt;&lt;urls&gt;&lt;related-urls&gt;&lt;url&gt;http://www.sciencedirect.com/science/article/pii/S0959652614012980&lt;/url&gt;&lt;/related-urls&gt;&lt;/urls&gt;&lt;electronic-resource-num&gt;http://dx.doi.org/10.1016/j.jclepro.2014.11.080&lt;/electronic-resource-num&gt;&lt;/record&gt;&lt;/Cite&gt;&lt;/EndNote&gt;</w:instrText>
      </w:r>
      <w:r w:rsidRPr="000A6F05">
        <w:rPr>
          <w:lang w:val="en-US"/>
        </w:rPr>
        <w:fldChar w:fldCharType="separate"/>
      </w:r>
      <w:hyperlink w:anchor="_ENREF_7" w:tooltip="Denham, 2015b #34" w:history="1">
        <w:r w:rsidR="008F77AB" w:rsidRPr="000A6F05">
          <w:rPr>
            <w:noProof/>
            <w:lang w:val="en-US"/>
          </w:rPr>
          <w:t>Denham et al. (2015b</w:t>
        </w:r>
      </w:hyperlink>
      <w:r w:rsidRPr="000A6F05">
        <w:rPr>
          <w:noProof/>
          <w:lang w:val="en-US"/>
        </w:rPr>
        <w:t>)</w:t>
      </w:r>
      <w:r w:rsidRPr="000A6F05">
        <w:rPr>
          <w:lang w:val="en-US"/>
        </w:rPr>
        <w:fldChar w:fldCharType="end"/>
      </w:r>
      <w:r w:rsidRPr="000A6F05">
        <w:rPr>
          <w:lang w:val="en-US"/>
        </w:rPr>
        <w:t xml:space="preserve">. </w:t>
      </w:r>
      <w:r w:rsidR="00195F56" w:rsidRPr="000A6F05">
        <w:rPr>
          <w:lang w:val="en-US"/>
        </w:rPr>
        <w:t xml:space="preserve">A comparative </w:t>
      </w:r>
      <w:r w:rsidR="00195F56" w:rsidRPr="000A6F05">
        <w:rPr>
          <w:lang w:val="en-US"/>
        </w:rPr>
        <w:lastRenderedPageBreak/>
        <w:t xml:space="preserve">LCA study between chilled and superchilled haddock from production to wholesaler was carried out by </w:t>
      </w:r>
      <w:r w:rsidR="00195F56" w:rsidRPr="000A6F05">
        <w:fldChar w:fldCharType="begin"/>
      </w:r>
      <w:r w:rsidR="00403F6A" w:rsidRPr="000A6F05">
        <w:rPr>
          <w:lang w:val="en-US"/>
        </w:rPr>
        <w:instrText xml:space="preserve"> ADDIN EN.CITE &lt;EndNote&gt;&lt;Cite AuthorYear="1"&gt;&lt;Author&gt;Claussen&lt;/Author&gt;&lt;Year&gt;2011&lt;/Year&gt;&lt;RecNum&gt;7&lt;/RecNum&gt;&lt;DisplayText&gt;Claussen et al. (2011)&lt;/DisplayText&gt;&lt;record&gt;&lt;rec-number&gt;7&lt;/rec-number&gt;&lt;foreign-keys&gt;&lt;key app="EN" db-id="0wzzzxr91fdteke2p0tp59ejvve00s0edp09"&gt;7&lt;/key&gt;&lt;/foreign-keys&gt;&lt;ref-type name="Journal Article"&gt;17&lt;/ref-type&gt;&lt;contributors&gt;&lt;authors&gt;&lt;author&gt;Claussen, Ingrid C.&lt;/author&gt;&lt;author&gt;Indergård, Erlend&lt;/author&gt;&lt;author&gt;Grinde, Magnus&lt;/author&gt;&lt;/authors&gt;&lt;/contributors&gt;&lt;titles&gt;&lt;title&gt;Comparative Life Cycle Assessment (LCA) of production and transport of chilled versus superchilled haddock (Melanogrammus aeglefinus) fillets from Norway to France&lt;/title&gt;&lt;secondary-title&gt;Procedia Food Science&lt;/secondary-title&gt;&lt;/titles&gt;&lt;periodical&gt;&lt;full-title&gt;Procedia Food Science&lt;/full-title&gt;&lt;/periodical&gt;&lt;pages&gt;1091-1098&lt;/pages&gt;&lt;volume&gt;1&lt;/volume&gt;&lt;number&gt;0&lt;/number&gt;&lt;keywords&gt;&lt;keyword&gt;Chilled&lt;/keyword&gt;&lt;keyword&gt;Superchilled&lt;/keyword&gt;&lt;keyword&gt;Haddock&lt;/keyword&gt;&lt;keyword&gt;LCA&lt;/keyword&gt;&lt;keyword&gt;Environmental impact&lt;/keyword&gt;&lt;keyword&gt;Production and Transport&lt;/keyword&gt;&lt;/keywords&gt;&lt;dates&gt;&lt;year&gt;2011&lt;/year&gt;&lt;pub-dates&gt;&lt;date&gt;//&lt;/date&gt;&lt;/pub-dates&gt;&lt;/dates&gt;&lt;isbn&gt;2211-601X&lt;/isbn&gt;&lt;urls&gt;&lt;related-urls&gt;&lt;url&gt;http://www.sciencedirect.com/science/article/pii/S2211601X11001647&lt;/url&gt;&lt;/related-urls&gt;&lt;/urls&gt;&lt;electronic-resource-num&gt;http://dx.doi.org/10.1016/j.profoo.2011.09.163&lt;/electronic-resource-num&gt;&lt;/record&gt;&lt;/Cite&gt;&lt;/EndNote&gt;</w:instrText>
      </w:r>
      <w:r w:rsidR="00195F56" w:rsidRPr="000A6F05">
        <w:fldChar w:fldCharType="separate"/>
      </w:r>
      <w:hyperlink w:anchor="_ENREF_5" w:tooltip="Claussen, 2011 #7" w:history="1">
        <w:r w:rsidR="008F77AB" w:rsidRPr="000A6F05">
          <w:rPr>
            <w:noProof/>
            <w:lang w:val="en-US"/>
          </w:rPr>
          <w:t>Claussen et al. (2011</w:t>
        </w:r>
      </w:hyperlink>
      <w:r w:rsidR="00403F6A" w:rsidRPr="000A6F05">
        <w:rPr>
          <w:noProof/>
          <w:lang w:val="en-US"/>
        </w:rPr>
        <w:t>)</w:t>
      </w:r>
      <w:r w:rsidR="00195F56" w:rsidRPr="000A6F05">
        <w:fldChar w:fldCharType="end"/>
      </w:r>
      <w:r w:rsidR="00195F56" w:rsidRPr="000A6F05">
        <w:rPr>
          <w:lang w:val="en-US"/>
        </w:rPr>
        <w:t xml:space="preserve">. </w:t>
      </w:r>
    </w:p>
    <w:p w:rsidR="004278BE" w:rsidRPr="000A6F05" w:rsidRDefault="00195F56" w:rsidP="00195F56">
      <w:pPr>
        <w:spacing w:line="360" w:lineRule="auto"/>
        <w:jc w:val="both"/>
        <w:rPr>
          <w:lang w:val="en-US"/>
        </w:rPr>
      </w:pPr>
      <w:r w:rsidRPr="000A6F05">
        <w:rPr>
          <w:lang w:val="en-US"/>
        </w:rPr>
        <w:t>In the</w:t>
      </w:r>
      <w:r w:rsidR="00541E6F" w:rsidRPr="000A6F05">
        <w:rPr>
          <w:lang w:val="en-US"/>
        </w:rPr>
        <w:t xml:space="preserve"> present work, the LCA approach</w:t>
      </w:r>
      <w:r w:rsidRPr="000A6F05">
        <w:rPr>
          <w:lang w:val="en-US"/>
        </w:rPr>
        <w:t xml:space="preserve"> is applied to </w:t>
      </w:r>
      <w:r w:rsidR="00541E6F" w:rsidRPr="000A6F05">
        <w:rPr>
          <w:lang w:val="en-US"/>
        </w:rPr>
        <w:t xml:space="preserve">compare the </w:t>
      </w:r>
      <w:r w:rsidRPr="000A6F05">
        <w:rPr>
          <w:lang w:val="en-US"/>
        </w:rPr>
        <w:t xml:space="preserve">chilled and superchilled salmon cold chain; more stages (i.e. distribution centre, display cabinet, domestic fridge which were not studied by </w:t>
      </w:r>
      <w:r w:rsidRPr="000A6F05">
        <w:fldChar w:fldCharType="begin"/>
      </w:r>
      <w:r w:rsidR="00403F6A" w:rsidRPr="000A6F05">
        <w:rPr>
          <w:lang w:val="en-US"/>
        </w:rPr>
        <w:instrText xml:space="preserve"> ADDIN EN.CITE &lt;EndNote&gt;&lt;Cite AuthorYear="1"&gt;&lt;Author&gt;Claussen&lt;/Author&gt;&lt;Year&gt;2011&lt;/Year&gt;&lt;RecNum&gt;7&lt;/RecNum&gt;&lt;DisplayText&gt;Claussen et al. (2011)&lt;/DisplayText&gt;&lt;record&gt;&lt;rec-number&gt;7&lt;/rec-number&gt;&lt;foreign-keys&gt;&lt;key app="EN" db-id="0wzzzxr91fdteke2p0tp59ejvve00s0edp09"&gt;7&lt;/key&gt;&lt;/foreign-keys&gt;&lt;ref-type name="Journal Article"&gt;17&lt;/ref-type&gt;&lt;contributors&gt;&lt;authors&gt;&lt;author&gt;Claussen, Ingrid C.&lt;/author&gt;&lt;author&gt;Indergård, Erlend&lt;/author&gt;&lt;author&gt;Grinde, Magnus&lt;/author&gt;&lt;/authors&gt;&lt;/contributors&gt;&lt;titles&gt;&lt;title&gt;Comparative Life Cycle Assessment (LCA) of production and transport of chilled versus superchilled haddock (Melanogrammus aeglefinus) fillets from Norway to France&lt;/title&gt;&lt;secondary-title&gt;Procedia Food Science&lt;/secondary-title&gt;&lt;/titles&gt;&lt;periodical&gt;&lt;full-title&gt;Procedia Food Science&lt;/full-title&gt;&lt;/periodical&gt;&lt;pages&gt;1091-1098&lt;/pages&gt;&lt;volume&gt;1&lt;/volume&gt;&lt;number&gt;0&lt;/number&gt;&lt;keywords&gt;&lt;keyword&gt;Chilled&lt;/keyword&gt;&lt;keyword&gt;Superchilled&lt;/keyword&gt;&lt;keyword&gt;Haddock&lt;/keyword&gt;&lt;keyword&gt;LCA&lt;/keyword&gt;&lt;keyword&gt;Environmental impact&lt;/keyword&gt;&lt;keyword&gt;Production and Transport&lt;/keyword&gt;&lt;/keywords&gt;&lt;dates&gt;&lt;year&gt;2011&lt;/year&gt;&lt;pub-dates&gt;&lt;date&gt;//&lt;/date&gt;&lt;/pub-dates&gt;&lt;/dates&gt;&lt;isbn&gt;2211-601X&lt;/isbn&gt;&lt;urls&gt;&lt;related-urls&gt;&lt;url&gt;http://www.sciencedirect.com/science/article/pii/S2211601X11001647&lt;/url&gt;&lt;/related-urls&gt;&lt;/urls&gt;&lt;electronic-resource-num&gt;http://dx.doi.org/10.1016/j.profoo.2011.09.163&lt;/electronic-resource-num&gt;&lt;/record&gt;&lt;/Cite&gt;&lt;/EndNote&gt;</w:instrText>
      </w:r>
      <w:r w:rsidRPr="000A6F05">
        <w:fldChar w:fldCharType="separate"/>
      </w:r>
      <w:hyperlink w:anchor="_ENREF_5" w:tooltip="Claussen, 2011 #7" w:history="1">
        <w:r w:rsidR="008F77AB" w:rsidRPr="000A6F05">
          <w:rPr>
            <w:noProof/>
            <w:lang w:val="en-US"/>
          </w:rPr>
          <w:t>Claussen et al. (2011</w:t>
        </w:r>
      </w:hyperlink>
      <w:r w:rsidR="00403F6A" w:rsidRPr="000A6F05">
        <w:rPr>
          <w:noProof/>
          <w:lang w:val="en-US"/>
        </w:rPr>
        <w:t>)</w:t>
      </w:r>
      <w:r w:rsidRPr="000A6F05">
        <w:fldChar w:fldCharType="end"/>
      </w:r>
      <w:r w:rsidRPr="000A6F05">
        <w:rPr>
          <w:lang w:val="en-US"/>
        </w:rPr>
        <w:t>) are considered.</w:t>
      </w:r>
      <w:r w:rsidR="00776618" w:rsidRPr="000A6F05">
        <w:rPr>
          <w:lang w:val="en-US"/>
        </w:rPr>
        <w:t xml:space="preserve"> </w:t>
      </w:r>
      <w:r w:rsidR="004278BE" w:rsidRPr="000A6F05">
        <w:rPr>
          <w:lang w:val="en-US"/>
        </w:rPr>
        <w:t>The objectives of this study are to identify:</w:t>
      </w:r>
    </w:p>
    <w:p w:rsidR="001448F6" w:rsidRPr="000A6F05" w:rsidRDefault="004278BE" w:rsidP="004278BE">
      <w:pPr>
        <w:pStyle w:val="ListParagraph"/>
        <w:numPr>
          <w:ilvl w:val="0"/>
          <w:numId w:val="30"/>
        </w:numPr>
        <w:spacing w:line="360" w:lineRule="auto"/>
        <w:jc w:val="both"/>
        <w:rPr>
          <w:lang w:val="en-US"/>
        </w:rPr>
      </w:pPr>
      <w:r w:rsidRPr="000A6F05">
        <w:rPr>
          <w:lang w:val="en-US"/>
        </w:rPr>
        <w:t>the steps of the cold chain that have the most important environmental impact</w:t>
      </w:r>
      <w:r w:rsidR="0057520E" w:rsidRPr="000A6F05">
        <w:rPr>
          <w:lang w:val="en-US"/>
        </w:rPr>
        <w:t>s</w:t>
      </w:r>
    </w:p>
    <w:p w:rsidR="004278BE" w:rsidRPr="000A6F05" w:rsidRDefault="004278BE" w:rsidP="004278BE">
      <w:pPr>
        <w:pStyle w:val="ListParagraph"/>
        <w:numPr>
          <w:ilvl w:val="0"/>
          <w:numId w:val="30"/>
        </w:numPr>
        <w:spacing w:line="360" w:lineRule="auto"/>
        <w:jc w:val="both"/>
        <w:rPr>
          <w:lang w:val="en-US"/>
        </w:rPr>
      </w:pPr>
      <w:r w:rsidRPr="000A6F05">
        <w:rPr>
          <w:lang w:val="en-US"/>
        </w:rPr>
        <w:t>the steps of the cold chain that the superchilled cold chain have a better (or worst) performance than the chilled cold chain</w:t>
      </w:r>
    </w:p>
    <w:p w:rsidR="0057520E" w:rsidRPr="000A6F05" w:rsidRDefault="004278BE" w:rsidP="0057520E">
      <w:pPr>
        <w:pStyle w:val="ListParagraph"/>
        <w:numPr>
          <w:ilvl w:val="0"/>
          <w:numId w:val="30"/>
        </w:numPr>
        <w:spacing w:line="360" w:lineRule="auto"/>
        <w:jc w:val="both"/>
        <w:rPr>
          <w:lang w:val="en-US"/>
        </w:rPr>
      </w:pPr>
      <w:r w:rsidRPr="000A6F05">
        <w:rPr>
          <w:lang w:val="en-US"/>
        </w:rPr>
        <w:t xml:space="preserve">the solutions (other than the use of superchilling technology) that can reduce </w:t>
      </w:r>
      <w:r w:rsidR="0057520E" w:rsidRPr="000A6F05">
        <w:rPr>
          <w:lang w:val="en-US"/>
        </w:rPr>
        <w:t>the environmental impacts of the cold chain</w:t>
      </w:r>
    </w:p>
    <w:p w:rsidR="001F1ED0" w:rsidRPr="000A6F05" w:rsidRDefault="001F1ED0" w:rsidP="00DC1D7D">
      <w:pPr>
        <w:tabs>
          <w:tab w:val="left" w:pos="0"/>
        </w:tabs>
        <w:spacing w:line="360" w:lineRule="auto"/>
        <w:jc w:val="both"/>
        <w:rPr>
          <w:color w:val="000000"/>
          <w:lang w:val="en-US"/>
        </w:rPr>
      </w:pPr>
    </w:p>
    <w:p w:rsidR="001448F6" w:rsidRPr="000A6F05" w:rsidRDefault="001448F6" w:rsidP="00A50287">
      <w:pPr>
        <w:pStyle w:val="ListParagraph"/>
        <w:numPr>
          <w:ilvl w:val="0"/>
          <w:numId w:val="9"/>
        </w:numPr>
        <w:tabs>
          <w:tab w:val="left" w:pos="0"/>
        </w:tabs>
        <w:spacing w:line="360" w:lineRule="auto"/>
        <w:rPr>
          <w:b/>
          <w:lang w:val="en-GB"/>
        </w:rPr>
      </w:pPr>
      <w:r w:rsidRPr="000A6F05">
        <w:rPr>
          <w:b/>
          <w:lang w:val="en-GB"/>
        </w:rPr>
        <w:t>Materials and methods</w:t>
      </w:r>
    </w:p>
    <w:p w:rsidR="00A02FE5" w:rsidRPr="000A6F05" w:rsidRDefault="00B10E0A" w:rsidP="00A02FE5">
      <w:pPr>
        <w:pStyle w:val="8ICRText"/>
        <w:spacing w:line="360" w:lineRule="auto"/>
        <w:rPr>
          <w:sz w:val="24"/>
        </w:rPr>
      </w:pPr>
      <w:r w:rsidRPr="000A6F05">
        <w:rPr>
          <w:sz w:val="24"/>
        </w:rPr>
        <w:t xml:space="preserve">According to </w:t>
      </w:r>
      <w:hyperlink w:anchor="_ENREF_11" w:tooltip="ISO_14044, 2006 #44" w:history="1">
        <w:r w:rsidRPr="000A6F05">
          <w:rPr>
            <w:noProof/>
            <w:sz w:val="24"/>
            <w:lang w:val="en-US"/>
          </w:rPr>
          <w:t>ISO 14044</w:t>
        </w:r>
      </w:hyperlink>
      <w:r w:rsidRPr="000A6F05">
        <w:rPr>
          <w:noProof/>
          <w:sz w:val="24"/>
          <w:lang w:val="en-US"/>
        </w:rPr>
        <w:t xml:space="preserve">’s framework, </w:t>
      </w:r>
      <w:r w:rsidRPr="000A6F05">
        <w:rPr>
          <w:sz w:val="24"/>
        </w:rPr>
        <w:t>a</w:t>
      </w:r>
      <w:r w:rsidR="00A02FE5" w:rsidRPr="000A6F05">
        <w:rPr>
          <w:sz w:val="24"/>
        </w:rPr>
        <w:t>n LCA study consists of four steps:</w:t>
      </w:r>
    </w:p>
    <w:p w:rsidR="00A02FE5" w:rsidRPr="000A6F05" w:rsidRDefault="00A50287" w:rsidP="00A02FE5">
      <w:pPr>
        <w:pStyle w:val="8ICRText"/>
        <w:spacing w:line="360" w:lineRule="auto"/>
        <w:rPr>
          <w:sz w:val="24"/>
        </w:rPr>
      </w:pPr>
      <w:r w:rsidRPr="000A6F05">
        <w:rPr>
          <w:sz w:val="24"/>
        </w:rPr>
        <w:t xml:space="preserve">1. </w:t>
      </w:r>
      <w:r w:rsidR="00A02FE5" w:rsidRPr="000A6F05">
        <w:rPr>
          <w:sz w:val="24"/>
        </w:rPr>
        <w:t>Defining the goal and scope.</w:t>
      </w:r>
    </w:p>
    <w:p w:rsidR="00A02FE5" w:rsidRPr="000A6F05" w:rsidRDefault="00A50287" w:rsidP="00A02FE5">
      <w:pPr>
        <w:pStyle w:val="8ICRText"/>
        <w:spacing w:line="360" w:lineRule="auto"/>
        <w:rPr>
          <w:sz w:val="24"/>
        </w:rPr>
      </w:pPr>
      <w:r w:rsidRPr="000A6F05">
        <w:rPr>
          <w:sz w:val="24"/>
        </w:rPr>
        <w:t xml:space="preserve">2. </w:t>
      </w:r>
      <w:r w:rsidR="00A02FE5" w:rsidRPr="000A6F05">
        <w:rPr>
          <w:sz w:val="24"/>
        </w:rPr>
        <w:t>Life cycle inventory (LCI): model</w:t>
      </w:r>
      <w:r w:rsidR="00B10E0A" w:rsidRPr="000A6F05">
        <w:rPr>
          <w:sz w:val="24"/>
        </w:rPr>
        <w:t xml:space="preserve">ling of product life cycle with </w:t>
      </w:r>
      <w:r w:rsidR="00A02FE5" w:rsidRPr="000A6F05">
        <w:rPr>
          <w:sz w:val="24"/>
        </w:rPr>
        <w:t xml:space="preserve">environmental inputs and outputs (data collection) </w:t>
      </w:r>
    </w:p>
    <w:p w:rsidR="00A02FE5" w:rsidRPr="000A6F05" w:rsidRDefault="00A50287" w:rsidP="00A02FE5">
      <w:pPr>
        <w:pStyle w:val="8ICRText"/>
        <w:spacing w:line="360" w:lineRule="auto"/>
        <w:rPr>
          <w:sz w:val="24"/>
        </w:rPr>
      </w:pPr>
      <w:r w:rsidRPr="000A6F05">
        <w:rPr>
          <w:sz w:val="24"/>
        </w:rPr>
        <w:t>3.</w:t>
      </w:r>
      <w:r w:rsidR="00A02FE5" w:rsidRPr="000A6F05">
        <w:rPr>
          <w:sz w:val="24"/>
        </w:rPr>
        <w:t xml:space="preserve"> Life cycle impact assessment (LCIA): understanding the environmental relevance of all the inputs and outputs. </w:t>
      </w:r>
    </w:p>
    <w:p w:rsidR="00A02FE5" w:rsidRPr="000A6F05" w:rsidRDefault="00A50287" w:rsidP="00A02FE5">
      <w:pPr>
        <w:pStyle w:val="8ICRText"/>
        <w:spacing w:line="360" w:lineRule="auto"/>
        <w:rPr>
          <w:sz w:val="24"/>
        </w:rPr>
      </w:pPr>
      <w:r w:rsidRPr="000A6F05">
        <w:rPr>
          <w:sz w:val="24"/>
        </w:rPr>
        <w:t>4</w:t>
      </w:r>
      <w:r w:rsidR="00A02FE5" w:rsidRPr="000A6F05">
        <w:rPr>
          <w:sz w:val="24"/>
        </w:rPr>
        <w:t>. Interpretation of the results.</w:t>
      </w:r>
    </w:p>
    <w:p w:rsidR="00A02FE5" w:rsidRPr="000A6F05" w:rsidRDefault="00A02FE5" w:rsidP="00CE72B7">
      <w:pPr>
        <w:pStyle w:val="7ICRSubSectionHeadings"/>
        <w:numPr>
          <w:ilvl w:val="1"/>
          <w:numId w:val="9"/>
        </w:numPr>
        <w:spacing w:line="360" w:lineRule="auto"/>
        <w:rPr>
          <w:sz w:val="24"/>
        </w:rPr>
      </w:pPr>
      <w:r w:rsidRPr="000A6F05">
        <w:rPr>
          <w:sz w:val="24"/>
        </w:rPr>
        <w:t>Goal and scope of the study</w:t>
      </w:r>
    </w:p>
    <w:p w:rsidR="00730763" w:rsidRPr="000A6F05" w:rsidRDefault="00730763" w:rsidP="00730763">
      <w:pPr>
        <w:pStyle w:val="8ICRText"/>
        <w:numPr>
          <w:ilvl w:val="0"/>
          <w:numId w:val="26"/>
        </w:numPr>
        <w:spacing w:line="360" w:lineRule="auto"/>
        <w:rPr>
          <w:sz w:val="24"/>
        </w:rPr>
      </w:pPr>
      <w:r w:rsidRPr="000A6F05">
        <w:rPr>
          <w:sz w:val="24"/>
        </w:rPr>
        <w:t>Goal of the study</w:t>
      </w:r>
    </w:p>
    <w:p w:rsidR="00730763" w:rsidRPr="000A6F05" w:rsidRDefault="00A02FE5" w:rsidP="00A02FE5">
      <w:pPr>
        <w:pStyle w:val="8ICRText"/>
        <w:spacing w:line="360" w:lineRule="auto"/>
        <w:rPr>
          <w:sz w:val="24"/>
        </w:rPr>
      </w:pPr>
      <w:r w:rsidRPr="000A6F05">
        <w:rPr>
          <w:sz w:val="24"/>
        </w:rPr>
        <w:t>The goal of this study is to compare the environmental impacts of chilled and superchilled salmon cold chains. The traditionally chilled fish is packed in boxes filled with approximately 25 % ice to keep the temperature low during transport and storage. Superchi</w:t>
      </w:r>
      <w:r w:rsidR="006577FA" w:rsidRPr="000A6F05">
        <w:rPr>
          <w:sz w:val="24"/>
        </w:rPr>
        <w:t xml:space="preserve">lled fish contains 10-15 % ice and does not need ice for transport and storage. </w:t>
      </w:r>
    </w:p>
    <w:p w:rsidR="000F5712" w:rsidRPr="000A6F05" w:rsidRDefault="000F5712" w:rsidP="000F5712">
      <w:pPr>
        <w:pStyle w:val="8ICRText"/>
        <w:numPr>
          <w:ilvl w:val="0"/>
          <w:numId w:val="26"/>
        </w:numPr>
        <w:spacing w:line="360" w:lineRule="auto"/>
        <w:rPr>
          <w:sz w:val="24"/>
        </w:rPr>
      </w:pPr>
      <w:r w:rsidRPr="000A6F05">
        <w:rPr>
          <w:sz w:val="24"/>
        </w:rPr>
        <w:t xml:space="preserve">Geographical and time limits </w:t>
      </w:r>
    </w:p>
    <w:p w:rsidR="000F5712" w:rsidRPr="000A6F05" w:rsidRDefault="000F5712" w:rsidP="000F5712">
      <w:pPr>
        <w:pStyle w:val="8ICRText"/>
        <w:spacing w:line="360" w:lineRule="auto"/>
        <w:rPr>
          <w:sz w:val="24"/>
        </w:rPr>
      </w:pPr>
      <w:r w:rsidRPr="000A6F05">
        <w:rPr>
          <w:sz w:val="24"/>
        </w:rPr>
        <w:t xml:space="preserve">The salmon is supposed to be produced in Norway and transported to European countries. According to </w:t>
      </w:r>
      <w:r w:rsidRPr="000A6F05">
        <w:rPr>
          <w:sz w:val="24"/>
        </w:rPr>
        <w:fldChar w:fldCharType="begin"/>
      </w:r>
      <w:r w:rsidRPr="000A6F05">
        <w:rPr>
          <w:sz w:val="24"/>
        </w:rPr>
        <w:instrText xml:space="preserve"> ADDIN EN.CITE &lt;EndNote&gt;&lt;Cite AuthorYear="1"&gt;&lt;Author&gt;van der Sluis&lt;/Author&gt;&lt;Year&gt;2012&lt;/Year&gt;&lt;RecNum&gt;20&lt;/RecNum&gt;&lt;DisplayText&gt;van der Sluis et al. (2012)&lt;/DisplayText&gt;&lt;record&gt;&lt;rec-number&gt;20&lt;/rec-number&gt;&lt;foreign-keys&gt;&lt;key app="EN" db-id="0wzzzxr91fdteke2p0tp59ejvve00s0edp09"&gt;20&lt;/key&gt;&lt;/foreign-keys&gt;&lt;ref-type name="Report"&gt;27&lt;/ref-type&gt;&lt;contributors&gt;&lt;authors&gt;&lt;author&gt;van der Sluis, S.M. &lt;/author&gt;&lt;author&gt;Wissink, E. &lt;/author&gt;&lt;author&gt;Hendriksen, L. &lt;/author&gt;&lt;/authors&gt;&lt;/contributors&gt;&lt;titles&gt;&lt;title&gt;Definition of reference cold chains using general assumptions, refined towards EU situation&lt;/title&gt;&lt;secondary-title&gt;Frisbee European Project Deliverable D3.1.1&lt;/secondary-title&gt;&lt;/titles&gt;&lt;periodical&gt;&lt;full-title&gt;Frisbee European Project Deliverable D3.1.1&lt;/full-title&gt;&lt;/periodical&gt;&lt;dates&gt;&lt;year&gt;2012&lt;/year&gt;&lt;/dates&gt;&lt;urls&gt;&lt;/urls&gt;&lt;/record&gt;&lt;/Cite&gt;&lt;/EndNote&gt;</w:instrText>
      </w:r>
      <w:r w:rsidRPr="000A6F05">
        <w:rPr>
          <w:sz w:val="24"/>
        </w:rPr>
        <w:fldChar w:fldCharType="separate"/>
      </w:r>
      <w:hyperlink w:anchor="_ENREF_24" w:tooltip="van der Sluis, 2012 #20" w:history="1">
        <w:r w:rsidR="008F77AB" w:rsidRPr="000A6F05">
          <w:rPr>
            <w:noProof/>
            <w:sz w:val="24"/>
          </w:rPr>
          <w:t>van der Sluis et al. (2012</w:t>
        </w:r>
      </w:hyperlink>
      <w:r w:rsidRPr="000A6F05">
        <w:rPr>
          <w:noProof/>
          <w:sz w:val="24"/>
        </w:rPr>
        <w:t>)</w:t>
      </w:r>
      <w:r w:rsidRPr="000A6F05">
        <w:rPr>
          <w:sz w:val="24"/>
        </w:rPr>
        <w:fldChar w:fldCharType="end"/>
      </w:r>
      <w:r w:rsidR="008D47E8" w:rsidRPr="000A6F05">
        <w:rPr>
          <w:sz w:val="24"/>
        </w:rPr>
        <w:t>, a duration of 36h is reported f</w:t>
      </w:r>
      <w:r w:rsidRPr="000A6F05">
        <w:rPr>
          <w:sz w:val="24"/>
        </w:rPr>
        <w:t>or the 1</w:t>
      </w:r>
      <w:r w:rsidRPr="000A6F05">
        <w:rPr>
          <w:sz w:val="24"/>
          <w:vertAlign w:val="superscript"/>
        </w:rPr>
        <w:t>st</w:t>
      </w:r>
      <w:r w:rsidRPr="000A6F05">
        <w:rPr>
          <w:sz w:val="24"/>
        </w:rPr>
        <w:t xml:space="preserve"> refrigerated transport (ri</w:t>
      </w:r>
      <w:r w:rsidR="008D47E8" w:rsidRPr="000A6F05">
        <w:rPr>
          <w:sz w:val="24"/>
        </w:rPr>
        <w:t xml:space="preserve">ght after the production step) </w:t>
      </w:r>
      <w:r w:rsidRPr="000A6F05">
        <w:rPr>
          <w:sz w:val="24"/>
        </w:rPr>
        <w:t xml:space="preserve">which corresponds to a distance of about 2160 km (considering an average velocity of 60 km/h). The salmon is then stored in a distribution </w:t>
      </w:r>
      <w:r w:rsidR="00E33698" w:rsidRPr="000A6F05">
        <w:rPr>
          <w:sz w:val="24"/>
        </w:rPr>
        <w:t xml:space="preserve">storage </w:t>
      </w:r>
      <w:r w:rsidRPr="000A6F05">
        <w:rPr>
          <w:sz w:val="24"/>
        </w:rPr>
        <w:t>center during 12h</w:t>
      </w:r>
      <w:r w:rsidR="008D47E8" w:rsidRPr="000A6F05">
        <w:rPr>
          <w:sz w:val="24"/>
        </w:rPr>
        <w:t xml:space="preserve"> before </w:t>
      </w:r>
      <w:r w:rsidR="00827035" w:rsidRPr="000A6F05">
        <w:rPr>
          <w:sz w:val="24"/>
        </w:rPr>
        <w:t>being despatched</w:t>
      </w:r>
      <w:r w:rsidR="008D47E8" w:rsidRPr="000A6F05">
        <w:rPr>
          <w:sz w:val="24"/>
        </w:rPr>
        <w:t xml:space="preserve"> to supermarket. A duration of 3h is reported for the 2</w:t>
      </w:r>
      <w:r w:rsidR="008D47E8" w:rsidRPr="000A6F05">
        <w:rPr>
          <w:sz w:val="24"/>
          <w:vertAlign w:val="superscript"/>
        </w:rPr>
        <w:t>nd</w:t>
      </w:r>
      <w:r w:rsidR="008D47E8" w:rsidRPr="000A6F05">
        <w:rPr>
          <w:sz w:val="24"/>
        </w:rPr>
        <w:t xml:space="preserve"> refrigerated transport (between distribution </w:t>
      </w:r>
      <w:r w:rsidR="00E33698" w:rsidRPr="000A6F05">
        <w:rPr>
          <w:sz w:val="24"/>
        </w:rPr>
        <w:t xml:space="preserve">storage </w:t>
      </w:r>
      <w:r w:rsidR="008D47E8" w:rsidRPr="000A6F05">
        <w:rPr>
          <w:sz w:val="24"/>
        </w:rPr>
        <w:t xml:space="preserve">center and </w:t>
      </w:r>
      <w:r w:rsidR="008D47E8" w:rsidRPr="000A6F05">
        <w:rPr>
          <w:sz w:val="24"/>
        </w:rPr>
        <w:lastRenderedPageBreak/>
        <w:t xml:space="preserve">supermarket). </w:t>
      </w:r>
      <w:r w:rsidR="00827035" w:rsidRPr="000A6F05">
        <w:rPr>
          <w:sz w:val="24"/>
        </w:rPr>
        <w:t xml:space="preserve">The salmon are kept during 4 days inside the display cabinet. After the purchase, the salmon is transported inside the consumer’s car </w:t>
      </w:r>
      <w:r w:rsidR="00AC5B28" w:rsidRPr="000A6F05">
        <w:rPr>
          <w:sz w:val="24"/>
        </w:rPr>
        <w:t xml:space="preserve">(1h) </w:t>
      </w:r>
      <w:r w:rsidR="00827035" w:rsidRPr="000A6F05">
        <w:rPr>
          <w:sz w:val="24"/>
        </w:rPr>
        <w:t>and stored in the domestic refrigeration</w:t>
      </w:r>
      <w:r w:rsidR="00AC5B28" w:rsidRPr="000A6F05">
        <w:rPr>
          <w:sz w:val="24"/>
        </w:rPr>
        <w:t xml:space="preserve"> (2 days)</w:t>
      </w:r>
      <w:r w:rsidR="00827035" w:rsidRPr="000A6F05">
        <w:rPr>
          <w:sz w:val="24"/>
        </w:rPr>
        <w:t xml:space="preserve">. </w:t>
      </w:r>
      <w:r w:rsidR="008D47E8" w:rsidRPr="000A6F05">
        <w:rPr>
          <w:sz w:val="24"/>
        </w:rPr>
        <w:t>The total duration of the</w:t>
      </w:r>
      <w:r w:rsidR="00827035" w:rsidRPr="000A6F05">
        <w:rPr>
          <w:sz w:val="24"/>
        </w:rPr>
        <w:t xml:space="preserve"> reference</w:t>
      </w:r>
      <w:r w:rsidR="008D47E8" w:rsidRPr="000A6F05">
        <w:rPr>
          <w:sz w:val="24"/>
        </w:rPr>
        <w:t xml:space="preserve"> salmon cold chain</w:t>
      </w:r>
      <w:r w:rsidR="00827035" w:rsidRPr="000A6F05">
        <w:rPr>
          <w:sz w:val="24"/>
        </w:rPr>
        <w:t xml:space="preserve"> is 223h (9 days and 7h). </w:t>
      </w:r>
    </w:p>
    <w:p w:rsidR="004C0601" w:rsidRPr="000A6F05" w:rsidRDefault="00CA64F0" w:rsidP="000F5712">
      <w:pPr>
        <w:pStyle w:val="8ICRText"/>
        <w:numPr>
          <w:ilvl w:val="0"/>
          <w:numId w:val="26"/>
        </w:numPr>
        <w:spacing w:line="360" w:lineRule="auto"/>
        <w:rPr>
          <w:sz w:val="24"/>
        </w:rPr>
      </w:pPr>
      <w:r w:rsidRPr="000A6F05">
        <w:rPr>
          <w:sz w:val="24"/>
        </w:rPr>
        <w:t xml:space="preserve">  </w:t>
      </w:r>
      <w:r w:rsidR="004C0601" w:rsidRPr="000A6F05">
        <w:rPr>
          <w:sz w:val="24"/>
        </w:rPr>
        <w:t>Reference chilled and superchilled salmon cold chain</w:t>
      </w:r>
    </w:p>
    <w:p w:rsidR="00A02FE5" w:rsidRPr="000A6F05" w:rsidRDefault="00A02FE5" w:rsidP="00A02FE5">
      <w:pPr>
        <w:pStyle w:val="8ICRText"/>
        <w:spacing w:line="360" w:lineRule="auto"/>
        <w:rPr>
          <w:sz w:val="24"/>
        </w:rPr>
      </w:pPr>
      <w:r w:rsidRPr="000A6F05">
        <w:rPr>
          <w:sz w:val="24"/>
        </w:rPr>
        <w:t xml:space="preserve">The reference cold chains of chilled and superchilled salmon were reported in </w:t>
      </w:r>
      <w:r w:rsidRPr="000A6F05">
        <w:rPr>
          <w:sz w:val="24"/>
        </w:rPr>
        <w:fldChar w:fldCharType="begin"/>
      </w:r>
      <w:r w:rsidR="00403F6A" w:rsidRPr="000A6F05">
        <w:rPr>
          <w:sz w:val="24"/>
        </w:rPr>
        <w:instrText xml:space="preserve"> ADDIN EN.CITE &lt;EndNote&gt;&lt;Cite AuthorYear="1"&gt;&lt;Author&gt;van der Sluis&lt;/Author&gt;&lt;Year&gt;2012&lt;/Year&gt;&lt;RecNum&gt;20&lt;/RecNum&gt;&lt;DisplayText&gt;van der Sluis et al. (2012)&lt;/DisplayText&gt;&lt;record&gt;&lt;rec-number&gt;20&lt;/rec-number&gt;&lt;foreign-keys&gt;&lt;key app="EN" db-id="0wzzzxr91fdteke2p0tp59ejvve00s0edp09"&gt;20&lt;/key&gt;&lt;/foreign-keys&gt;&lt;ref-type name="Report"&gt;27&lt;/ref-type&gt;&lt;contributors&gt;&lt;authors&gt;&lt;author&gt;van der Sluis, S.M. &lt;/author&gt;&lt;author&gt;Wissink, E. &lt;/author&gt;&lt;author&gt;Hendriksen, L. &lt;/author&gt;&lt;/authors&gt;&lt;/contributors&gt;&lt;titles&gt;&lt;title&gt;Definition of reference cold chains using general assumptions, refined towards EU situation&lt;/title&gt;&lt;secondary-title&gt;Frisbee European Project Deliverable D3.1.1&lt;/secondary-title&gt;&lt;/titles&gt;&lt;periodical&gt;&lt;full-title&gt;Frisbee European Project Deliverable D3.1.1&lt;/full-title&gt;&lt;/periodical&gt;&lt;dates&gt;&lt;year&gt;2012&lt;/year&gt;&lt;/dates&gt;&lt;urls&gt;&lt;/urls&gt;&lt;/record&gt;&lt;/Cite&gt;&lt;/EndNote&gt;</w:instrText>
      </w:r>
      <w:r w:rsidRPr="000A6F05">
        <w:rPr>
          <w:sz w:val="24"/>
        </w:rPr>
        <w:fldChar w:fldCharType="separate"/>
      </w:r>
      <w:hyperlink w:anchor="_ENREF_24" w:tooltip="van der Sluis, 2012 #20" w:history="1">
        <w:r w:rsidR="008F77AB" w:rsidRPr="000A6F05">
          <w:rPr>
            <w:noProof/>
            <w:sz w:val="24"/>
          </w:rPr>
          <w:t>van der Sluis et al. (2012</w:t>
        </w:r>
      </w:hyperlink>
      <w:r w:rsidR="00403F6A" w:rsidRPr="000A6F05">
        <w:rPr>
          <w:noProof/>
          <w:sz w:val="24"/>
        </w:rPr>
        <w:t>)</w:t>
      </w:r>
      <w:r w:rsidRPr="000A6F05">
        <w:rPr>
          <w:sz w:val="24"/>
        </w:rPr>
        <w:fldChar w:fldCharType="end"/>
      </w:r>
      <w:r w:rsidR="00D47B61" w:rsidRPr="000A6F05">
        <w:rPr>
          <w:sz w:val="24"/>
        </w:rPr>
        <w:t xml:space="preserve"> and shown in the Figure 1</w:t>
      </w:r>
      <w:r w:rsidR="00DB4F5E" w:rsidRPr="000A6F05">
        <w:rPr>
          <w:sz w:val="24"/>
        </w:rPr>
        <w:t>. The cold chain is presented as the succession of blocks, the common</w:t>
      </w:r>
      <w:r w:rsidR="006577FA" w:rsidRPr="000A6F05">
        <w:rPr>
          <w:sz w:val="24"/>
        </w:rPr>
        <w:t xml:space="preserve"> blocks (orange) are the same for</w:t>
      </w:r>
      <w:r w:rsidR="00DB4F5E" w:rsidRPr="000A6F05">
        <w:rPr>
          <w:sz w:val="24"/>
        </w:rPr>
        <w:t xml:space="preserve"> chilled and</w:t>
      </w:r>
      <w:r w:rsidR="00005659" w:rsidRPr="000A6F05">
        <w:rPr>
          <w:sz w:val="24"/>
        </w:rPr>
        <w:t xml:space="preserve"> superchilled cold chains; the blocks which correspond exclusively to chilled cold chain are in </w:t>
      </w:r>
      <w:r w:rsidR="0078424F" w:rsidRPr="000A6F05">
        <w:rPr>
          <w:sz w:val="24"/>
        </w:rPr>
        <w:t xml:space="preserve">dotted </w:t>
      </w:r>
      <w:r w:rsidR="001355DC" w:rsidRPr="000A6F05">
        <w:rPr>
          <w:sz w:val="24"/>
        </w:rPr>
        <w:t>green; the</w:t>
      </w:r>
      <w:r w:rsidR="0078424F" w:rsidRPr="000A6F05">
        <w:rPr>
          <w:sz w:val="24"/>
        </w:rPr>
        <w:t xml:space="preserve"> superchilled blocks are in black and white patterns</w:t>
      </w:r>
      <w:r w:rsidR="001355DC" w:rsidRPr="000A6F05">
        <w:rPr>
          <w:sz w:val="24"/>
        </w:rPr>
        <w:t xml:space="preserve">. </w:t>
      </w:r>
      <w:r w:rsidR="00E46309" w:rsidRPr="000A6F05">
        <w:rPr>
          <w:sz w:val="24"/>
        </w:rPr>
        <w:t xml:space="preserve">The information about the temperature, duration and refrigerant in each block is </w:t>
      </w:r>
      <w:r w:rsidR="006577FA" w:rsidRPr="000A6F05">
        <w:rPr>
          <w:sz w:val="24"/>
        </w:rPr>
        <w:t xml:space="preserve">also </w:t>
      </w:r>
      <w:r w:rsidR="00E46309" w:rsidRPr="000A6F05">
        <w:rPr>
          <w:sz w:val="24"/>
        </w:rPr>
        <w:t>given.</w:t>
      </w:r>
      <w:r w:rsidR="0005610C" w:rsidRPr="000A6F05">
        <w:rPr>
          <w:sz w:val="24"/>
        </w:rPr>
        <w:t xml:space="preserve"> </w:t>
      </w:r>
      <w:r w:rsidR="00005659" w:rsidRPr="000A6F05">
        <w:rPr>
          <w:sz w:val="24"/>
        </w:rPr>
        <w:t xml:space="preserve"> </w:t>
      </w:r>
      <w:r w:rsidR="00DB4F5E" w:rsidRPr="000A6F05">
        <w:rPr>
          <w:sz w:val="24"/>
        </w:rPr>
        <w:t xml:space="preserve"> </w:t>
      </w:r>
      <w:r w:rsidRPr="000A6F05">
        <w:rPr>
          <w:sz w:val="24"/>
        </w:rPr>
        <w:t xml:space="preserve"> </w:t>
      </w:r>
    </w:p>
    <w:p w:rsidR="00A02FE5" w:rsidRPr="000A6F05" w:rsidRDefault="00E46309" w:rsidP="0035034C">
      <w:pPr>
        <w:pStyle w:val="8ICRText"/>
        <w:numPr>
          <w:ilvl w:val="0"/>
          <w:numId w:val="20"/>
        </w:numPr>
        <w:spacing w:line="360" w:lineRule="auto"/>
        <w:rPr>
          <w:sz w:val="24"/>
        </w:rPr>
      </w:pPr>
      <w:r w:rsidRPr="000A6F05">
        <w:rPr>
          <w:sz w:val="24"/>
        </w:rPr>
        <w:t>T</w:t>
      </w:r>
      <w:r w:rsidR="001355DC" w:rsidRPr="000A6F05">
        <w:rPr>
          <w:sz w:val="24"/>
        </w:rPr>
        <w:t>he cold chain is</w:t>
      </w:r>
      <w:r w:rsidRPr="000A6F05">
        <w:rPr>
          <w:sz w:val="24"/>
        </w:rPr>
        <w:t xml:space="preserve"> </w:t>
      </w:r>
      <w:r w:rsidR="00A02FE5" w:rsidRPr="000A6F05">
        <w:rPr>
          <w:sz w:val="24"/>
        </w:rPr>
        <w:t>composed of 7 steps</w:t>
      </w:r>
      <w:r w:rsidR="00D47B61" w:rsidRPr="000A6F05">
        <w:rPr>
          <w:sz w:val="24"/>
        </w:rPr>
        <w:t xml:space="preserve">: </w:t>
      </w:r>
      <w:r w:rsidR="00811C52" w:rsidRPr="000A6F05">
        <w:rPr>
          <w:sz w:val="24"/>
        </w:rPr>
        <w:t>production, 1</w:t>
      </w:r>
      <w:r w:rsidR="00811C52" w:rsidRPr="000A6F05">
        <w:rPr>
          <w:sz w:val="24"/>
          <w:vertAlign w:val="superscript"/>
        </w:rPr>
        <w:t>st</w:t>
      </w:r>
      <w:r w:rsidR="00811C52" w:rsidRPr="000A6F05">
        <w:rPr>
          <w:sz w:val="24"/>
        </w:rPr>
        <w:t xml:space="preserve"> refrigerated transport, distribution centre storage, 2</w:t>
      </w:r>
      <w:r w:rsidR="00811C52" w:rsidRPr="000A6F05">
        <w:rPr>
          <w:sz w:val="24"/>
          <w:vertAlign w:val="superscript"/>
        </w:rPr>
        <w:t>nd</w:t>
      </w:r>
      <w:r w:rsidR="00811C52" w:rsidRPr="000A6F05">
        <w:rPr>
          <w:sz w:val="24"/>
        </w:rPr>
        <w:t xml:space="preserve"> refrigerated transport, supermarket display cabinet, non</w:t>
      </w:r>
      <w:r w:rsidR="006577FA" w:rsidRPr="000A6F05">
        <w:rPr>
          <w:sz w:val="24"/>
        </w:rPr>
        <w:t xml:space="preserve"> </w:t>
      </w:r>
      <w:r w:rsidR="00811C52" w:rsidRPr="000A6F05">
        <w:rPr>
          <w:sz w:val="24"/>
        </w:rPr>
        <w:t>- refrigerated transport (consumer’s car) and domestic fridge. One step may correspond to a cold chain block</w:t>
      </w:r>
      <w:r w:rsidR="00DB4CCE" w:rsidRPr="000A6F05">
        <w:rPr>
          <w:sz w:val="24"/>
        </w:rPr>
        <w:t xml:space="preserve"> (refrigerated transport, distribution center storage, supermarket display cabinet, non-refrigerated transport and domestic fridge)</w:t>
      </w:r>
      <w:r w:rsidR="00811C52" w:rsidRPr="000A6F05">
        <w:rPr>
          <w:sz w:val="24"/>
        </w:rPr>
        <w:t xml:space="preserve"> or is the combination of many blocks as in the case of the production step</w:t>
      </w:r>
      <w:r w:rsidR="0079172B" w:rsidRPr="000A6F05">
        <w:rPr>
          <w:sz w:val="24"/>
        </w:rPr>
        <w:t xml:space="preserve"> (combination of 4 blocks: harvesting, processing, packaging and storage)</w:t>
      </w:r>
      <w:r w:rsidR="00811C52" w:rsidRPr="000A6F05">
        <w:rPr>
          <w:sz w:val="24"/>
        </w:rPr>
        <w:t>.</w:t>
      </w:r>
      <w:r w:rsidR="0079172B" w:rsidRPr="000A6F05">
        <w:rPr>
          <w:sz w:val="24"/>
        </w:rPr>
        <w:t xml:space="preserve"> </w:t>
      </w:r>
      <w:r w:rsidR="0079172B" w:rsidRPr="000A6F05">
        <w:rPr>
          <w:i/>
          <w:sz w:val="24"/>
        </w:rPr>
        <w:t xml:space="preserve">All of these steps </w:t>
      </w:r>
      <w:r w:rsidR="0035034C" w:rsidRPr="000A6F05">
        <w:rPr>
          <w:i/>
          <w:sz w:val="24"/>
        </w:rPr>
        <w:t>are taken into account in the present study.</w:t>
      </w:r>
      <w:r w:rsidR="004E6614" w:rsidRPr="000A6F05">
        <w:rPr>
          <w:i/>
          <w:sz w:val="24"/>
        </w:rPr>
        <w:t xml:space="preserve"> </w:t>
      </w:r>
      <w:r w:rsidR="004E6614" w:rsidRPr="000A6F05">
        <w:rPr>
          <w:sz w:val="24"/>
        </w:rPr>
        <w:t>However</w:t>
      </w:r>
      <w:r w:rsidR="00D6229A" w:rsidRPr="000A6F05">
        <w:rPr>
          <w:sz w:val="24"/>
        </w:rPr>
        <w:t xml:space="preserve">, the salmon rearing and the by-product treatment are not considered in this study, more information concerning these processes can be found in </w:t>
      </w:r>
      <w:r w:rsidR="00D6229A" w:rsidRPr="000A6F05">
        <w:rPr>
          <w:sz w:val="24"/>
          <w:lang w:val="en-US"/>
        </w:rPr>
        <w:fldChar w:fldCharType="begin"/>
      </w:r>
      <w:r w:rsidR="00D6229A" w:rsidRPr="000A6F05">
        <w:rPr>
          <w:sz w:val="24"/>
          <w:lang w:val="en-US"/>
        </w:rPr>
        <w:instrText xml:space="preserve"> ADDIN EN.CITE &lt;EndNote&gt;&lt;Cite AuthorYear="1"&gt;&lt;Author&gt;Pelletier&lt;/Author&gt;&lt;Year&gt;2009&lt;/Year&gt;&lt;RecNum&gt;48&lt;/RecNum&gt;&lt;DisplayText&gt;Pelletier et al. (2009)&lt;/DisplayText&gt;&lt;record&gt;&lt;rec-number&gt;48&lt;/rec-number&gt;&lt;foreign-keys&gt;&lt;key app="EN" db-id="0wzzzxr91fdteke2p0tp59ejvve00s0edp09"&gt;48&lt;/key&gt;&lt;/foreign-keys&gt;&lt;ref-type name="Journal Article"&gt;17&lt;/ref-type&gt;&lt;contributors&gt;&lt;authors&gt;&lt;author&gt;Pelletier, Nathan&lt;/author&gt;&lt;author&gt;Tyedmers, Peter&lt;/author&gt;&lt;author&gt;Sonesson, Ulf&lt;/author&gt;&lt;author&gt;Scholz, Astrid&lt;/author&gt;&lt;author&gt;Ziegler, Friederike&lt;/author&gt;&lt;author&gt;Flysjo, Anna&lt;/author&gt;&lt;author&gt;Kruse, Sarah&lt;/author&gt;&lt;author&gt;Cancino, Beatriz&lt;/author&gt;&lt;author&gt;Silverman, Howard&lt;/author&gt;&lt;/authors&gt;&lt;/contributors&gt;&lt;titles&gt;&lt;title&gt;Not All Salmon Are Created Equal: Life Cycle Assessment (LCA) of Global Salmon Farming Systems&lt;/title&gt;&lt;secondary-title&gt;Environmental Science &amp;amp; Technology&lt;/secondary-title&gt;&lt;/titles&gt;&lt;periodical&gt;&lt;full-title&gt;Environmental Science &amp;amp; Technology&lt;/full-title&gt;&lt;/periodical&gt;&lt;pages&gt;8730-8736&lt;/pages&gt;&lt;volume&gt;43&lt;/volume&gt;&lt;number&gt;23&lt;/number&gt;&lt;dates&gt;&lt;year&gt;2009&lt;/year&gt;&lt;pub-dates&gt;&lt;date&gt;12&lt;/date&gt;&lt;/pub-dates&gt;&lt;/dates&gt;&lt;urls&gt;&lt;/urls&gt;&lt;electronic-resource-num&gt;10.1021/es9010114&lt;/electronic-resource-num&gt;&lt;/record&gt;&lt;/Cite&gt;&lt;/EndNote&gt;</w:instrText>
      </w:r>
      <w:r w:rsidR="00D6229A" w:rsidRPr="000A6F05">
        <w:rPr>
          <w:sz w:val="24"/>
          <w:lang w:val="en-US"/>
        </w:rPr>
        <w:fldChar w:fldCharType="separate"/>
      </w:r>
      <w:hyperlink w:anchor="_ENREF_18" w:tooltip="Pelletier, 2009 #48" w:history="1">
        <w:r w:rsidR="008F77AB" w:rsidRPr="000A6F05">
          <w:rPr>
            <w:noProof/>
            <w:sz w:val="24"/>
            <w:lang w:val="en-US"/>
          </w:rPr>
          <w:t>Pelletier et al. (2009</w:t>
        </w:r>
      </w:hyperlink>
      <w:r w:rsidR="00D6229A" w:rsidRPr="000A6F05">
        <w:rPr>
          <w:noProof/>
          <w:sz w:val="24"/>
          <w:lang w:val="en-US"/>
        </w:rPr>
        <w:t>)</w:t>
      </w:r>
      <w:r w:rsidR="00D6229A" w:rsidRPr="000A6F05">
        <w:rPr>
          <w:sz w:val="24"/>
          <w:lang w:val="en-US"/>
        </w:rPr>
        <w:fldChar w:fldCharType="end"/>
      </w:r>
      <w:r w:rsidR="00D6229A" w:rsidRPr="000A6F05">
        <w:rPr>
          <w:sz w:val="24"/>
          <w:lang w:val="en-US"/>
        </w:rPr>
        <w:t xml:space="preserve"> and </w:t>
      </w:r>
      <w:r w:rsidR="00D6229A" w:rsidRPr="000A6F05">
        <w:rPr>
          <w:sz w:val="24"/>
        </w:rPr>
        <w:fldChar w:fldCharType="begin"/>
      </w:r>
      <w:r w:rsidR="00D6229A" w:rsidRPr="000A6F05">
        <w:rPr>
          <w:sz w:val="24"/>
        </w:rPr>
        <w:instrText xml:space="preserve"> ADDIN EN.CITE &lt;EndNote&gt;&lt;Cite&gt;&lt;Author&gt;Denham&lt;/Author&gt;&lt;Year&gt;2015b&lt;/Year&gt;&lt;RecNum&gt;34&lt;/RecNum&gt;&lt;DisplayText&gt;(Denham et al. 2015b)&lt;/DisplayText&gt;&lt;record&gt;&lt;rec-number&gt;34&lt;/rec-number&gt;&lt;foreign-keys&gt;&lt;key app="EN" db-id="0wzzzxr91fdteke2p0tp59ejvve00s0edp09"&gt;34&lt;/key&gt;&lt;/foreign-keys&gt;&lt;ref-type name="Journal Article"&gt;17&lt;/ref-type&gt;&lt;contributors&gt;&lt;authors&gt;&lt;author&gt;Denham, Felicity C.&lt;/author&gt;&lt;author&gt;Biswas, Wahidul K.&lt;/author&gt;&lt;author&gt;Solah, Vicky A.&lt;/author&gt;&lt;author&gt;Howieson, Janet R.&lt;/author&gt;&lt;/authors&gt;&lt;/contributors&gt;&lt;titles&gt;&lt;title&gt;Greenhouse gas emissions from a Western Australian finfish supply chain&lt;/title&gt;&lt;secondary-title&gt;Journal of Cleaner Production&lt;/secondary-title&gt;&lt;/titles&gt;&lt;periodical&gt;&lt;full-title&gt;Journal of Cleaner Production&lt;/full-title&gt;&lt;/periodical&gt;&lt;number&gt;0&lt;/number&gt;&lt;keywords&gt;&lt;keyword&gt;Greenhouse gas&lt;/keyword&gt;&lt;keyword&gt;Finfish supply chain&lt;/keyword&gt;&lt;keyword&gt;Life cycle assessment&lt;/keyword&gt;&lt;/keywords&gt;&lt;dates&gt;&lt;year&gt;2015b&lt;/year&gt;&lt;/dates&gt;&lt;isbn&gt;0959-6526&lt;/isbn&gt;&lt;urls&gt;&lt;related-urls&gt;&lt;url&gt;http://www.sciencedirect.com/science/article/pii/S0959652614012980&lt;/url&gt;&lt;/related-urls&gt;&lt;/urls&gt;&lt;electronic-resource-num&gt;http://dx.doi.org/10.1016/j.jclepro.2014.11.080&lt;/electronic-resource-num&gt;&lt;/record&gt;&lt;/Cite&gt;&lt;/EndNote&gt;</w:instrText>
      </w:r>
      <w:r w:rsidR="00D6229A" w:rsidRPr="000A6F05">
        <w:rPr>
          <w:sz w:val="24"/>
        </w:rPr>
        <w:fldChar w:fldCharType="separate"/>
      </w:r>
      <w:r w:rsidR="00D6229A" w:rsidRPr="000A6F05">
        <w:rPr>
          <w:noProof/>
          <w:sz w:val="24"/>
        </w:rPr>
        <w:t>(</w:t>
      </w:r>
      <w:hyperlink w:anchor="_ENREF_7" w:tooltip="Denham, 2015b #34" w:history="1">
        <w:r w:rsidR="008F77AB" w:rsidRPr="000A6F05">
          <w:rPr>
            <w:noProof/>
            <w:sz w:val="24"/>
          </w:rPr>
          <w:t>Denham et al. 2015b</w:t>
        </w:r>
      </w:hyperlink>
      <w:r w:rsidR="00D6229A" w:rsidRPr="000A6F05">
        <w:rPr>
          <w:noProof/>
          <w:sz w:val="24"/>
        </w:rPr>
        <w:t>)</w:t>
      </w:r>
      <w:r w:rsidR="00D6229A" w:rsidRPr="000A6F05">
        <w:rPr>
          <w:sz w:val="24"/>
        </w:rPr>
        <w:fldChar w:fldCharType="end"/>
      </w:r>
      <w:r w:rsidR="00D6229A" w:rsidRPr="000A6F05">
        <w:rPr>
          <w:sz w:val="24"/>
        </w:rPr>
        <w:t>.</w:t>
      </w:r>
    </w:p>
    <w:p w:rsidR="00DB4F5E" w:rsidRPr="000A6F05" w:rsidRDefault="00E46309" w:rsidP="00DB4F5E">
      <w:pPr>
        <w:pStyle w:val="8ICRText"/>
        <w:numPr>
          <w:ilvl w:val="0"/>
          <w:numId w:val="20"/>
        </w:numPr>
        <w:spacing w:line="360" w:lineRule="auto"/>
        <w:rPr>
          <w:sz w:val="24"/>
        </w:rPr>
      </w:pPr>
      <w:r w:rsidRPr="000A6F05">
        <w:rPr>
          <w:sz w:val="24"/>
        </w:rPr>
        <w:t>A</w:t>
      </w:r>
      <w:r w:rsidR="00A02FE5" w:rsidRPr="000A6F05">
        <w:rPr>
          <w:sz w:val="24"/>
        </w:rPr>
        <w:t>mong these steps, the chilled and superchilled</w:t>
      </w:r>
      <w:r w:rsidR="00811C52" w:rsidRPr="000A6F05">
        <w:rPr>
          <w:sz w:val="24"/>
        </w:rPr>
        <w:t xml:space="preserve"> salmon are</w:t>
      </w:r>
      <w:r w:rsidR="00A02FE5" w:rsidRPr="000A6F05">
        <w:rPr>
          <w:sz w:val="24"/>
        </w:rPr>
        <w:t xml:space="preserve"> processed differently (in terms of technology or temperature level) in the packaging and storage in the production step, in the 1</w:t>
      </w:r>
      <w:r w:rsidR="00A02FE5" w:rsidRPr="000A6F05">
        <w:rPr>
          <w:sz w:val="24"/>
          <w:vertAlign w:val="superscript"/>
        </w:rPr>
        <w:t>st</w:t>
      </w:r>
      <w:r w:rsidR="00A02FE5" w:rsidRPr="000A6F05">
        <w:rPr>
          <w:sz w:val="24"/>
        </w:rPr>
        <w:t xml:space="preserve"> transport by refrigerated vehicle and the distribution centre storage. </w:t>
      </w:r>
      <w:r w:rsidR="0035034C" w:rsidRPr="000A6F05">
        <w:rPr>
          <w:sz w:val="24"/>
        </w:rPr>
        <w:t xml:space="preserve">Compared to chilled cold chain, the superchilled cold chain has an extra block in the production step: the “superchilling” block in which a contact blast chiller is used </w:t>
      </w:r>
      <w:r w:rsidR="00DB4F5E" w:rsidRPr="000A6F05">
        <w:rPr>
          <w:sz w:val="24"/>
        </w:rPr>
        <w:t>to cool down the salmon to the superchilling storage condition of temperature (-1.7°C).</w:t>
      </w:r>
    </w:p>
    <w:p w:rsidR="00730763" w:rsidRPr="000A6F05" w:rsidRDefault="00AC5B28" w:rsidP="00AC5B28">
      <w:pPr>
        <w:pStyle w:val="8ICRText"/>
        <w:numPr>
          <w:ilvl w:val="0"/>
          <w:numId w:val="26"/>
        </w:numPr>
        <w:spacing w:line="360" w:lineRule="auto"/>
        <w:rPr>
          <w:sz w:val="24"/>
        </w:rPr>
      </w:pPr>
      <w:r w:rsidRPr="000A6F05">
        <w:rPr>
          <w:sz w:val="24"/>
        </w:rPr>
        <w:t>Functional unit</w:t>
      </w:r>
    </w:p>
    <w:p w:rsidR="00AC5B28" w:rsidRPr="000A6F05" w:rsidRDefault="00AC5B28" w:rsidP="00AC5B28">
      <w:pPr>
        <w:pStyle w:val="8ICRText"/>
        <w:spacing w:line="360" w:lineRule="auto"/>
        <w:rPr>
          <w:sz w:val="24"/>
        </w:rPr>
      </w:pPr>
      <w:r w:rsidRPr="000A6F05">
        <w:rPr>
          <w:sz w:val="24"/>
        </w:rPr>
        <w:t>In the present study, the functional unit is defined as 1 kg of processed salmon (after the processing</w:t>
      </w:r>
      <w:r w:rsidR="00590E42" w:rsidRPr="000A6F05">
        <w:rPr>
          <w:sz w:val="24"/>
        </w:rPr>
        <w:t>/filleting</w:t>
      </w:r>
      <w:r w:rsidRPr="000A6F05">
        <w:rPr>
          <w:sz w:val="24"/>
        </w:rPr>
        <w:t xml:space="preserve"> block in the production step). It is assumed that the weight loss </w:t>
      </w:r>
      <w:r w:rsidR="00590E42" w:rsidRPr="000A6F05">
        <w:rPr>
          <w:sz w:val="24"/>
        </w:rPr>
        <w:t xml:space="preserve">along the cold chain </w:t>
      </w:r>
      <w:r w:rsidRPr="000A6F05">
        <w:rPr>
          <w:sz w:val="24"/>
        </w:rPr>
        <w:t xml:space="preserve">is </w:t>
      </w:r>
      <w:r w:rsidRPr="000A6F05">
        <w:rPr>
          <w:sz w:val="24"/>
          <w:lang w:val="en-US"/>
        </w:rPr>
        <w:t>negli</w:t>
      </w:r>
      <w:r w:rsidR="00590E42" w:rsidRPr="000A6F05">
        <w:rPr>
          <w:sz w:val="24"/>
          <w:lang w:val="en-US"/>
        </w:rPr>
        <w:t>gi</w:t>
      </w:r>
      <w:r w:rsidRPr="000A6F05">
        <w:rPr>
          <w:sz w:val="24"/>
          <w:lang w:val="en-US"/>
        </w:rPr>
        <w:t>ble</w:t>
      </w:r>
      <w:r w:rsidR="00590E42" w:rsidRPr="000A6F05">
        <w:rPr>
          <w:sz w:val="24"/>
          <w:lang w:val="en-US"/>
        </w:rPr>
        <w:t xml:space="preserve"> so that the same 1 kg of salmon can</w:t>
      </w:r>
      <w:r w:rsidR="00D6229A" w:rsidRPr="000A6F05">
        <w:rPr>
          <w:sz w:val="24"/>
          <w:lang w:val="en-US"/>
        </w:rPr>
        <w:t xml:space="preserve"> be found at the consumer</w:t>
      </w:r>
      <w:r w:rsidR="00590E42" w:rsidRPr="000A6F05">
        <w:rPr>
          <w:sz w:val="24"/>
          <w:lang w:val="en-US"/>
        </w:rPr>
        <w:t>.</w:t>
      </w:r>
      <w:r w:rsidRPr="000A6F05">
        <w:rPr>
          <w:sz w:val="24"/>
        </w:rPr>
        <w:t xml:space="preserve">   </w:t>
      </w:r>
    </w:p>
    <w:p w:rsidR="00A02FE5" w:rsidRPr="000A6F05" w:rsidRDefault="00A02FE5" w:rsidP="006D7A8B">
      <w:pPr>
        <w:pStyle w:val="7ICRSubSectionHeadings"/>
        <w:numPr>
          <w:ilvl w:val="1"/>
          <w:numId w:val="9"/>
        </w:numPr>
        <w:spacing w:line="360" w:lineRule="auto"/>
        <w:rPr>
          <w:sz w:val="24"/>
        </w:rPr>
      </w:pPr>
      <w:r w:rsidRPr="000A6F05">
        <w:rPr>
          <w:sz w:val="24"/>
        </w:rPr>
        <w:lastRenderedPageBreak/>
        <w:t>Life cycle inventory (data collection)</w:t>
      </w:r>
    </w:p>
    <w:p w:rsidR="00A02FE5" w:rsidRPr="000A6F05" w:rsidRDefault="00B74E46" w:rsidP="00A02FE5">
      <w:pPr>
        <w:pStyle w:val="8ICRText"/>
        <w:spacing w:line="360" w:lineRule="auto"/>
        <w:rPr>
          <w:sz w:val="24"/>
        </w:rPr>
      </w:pPr>
      <w:r w:rsidRPr="000A6F05">
        <w:rPr>
          <w:sz w:val="24"/>
        </w:rPr>
        <w:t xml:space="preserve">One of the most challenging </w:t>
      </w:r>
      <w:r w:rsidR="003750D8" w:rsidRPr="000A6F05">
        <w:rPr>
          <w:sz w:val="24"/>
        </w:rPr>
        <w:t>tasks</w:t>
      </w:r>
      <w:r w:rsidRPr="000A6F05">
        <w:rPr>
          <w:sz w:val="24"/>
        </w:rPr>
        <w:t xml:space="preserve"> in a LCA analy</w:t>
      </w:r>
      <w:r w:rsidR="003750D8" w:rsidRPr="000A6F05">
        <w:rPr>
          <w:sz w:val="24"/>
        </w:rPr>
        <w:t xml:space="preserve">sis concerns the data gathering; it is the step that defines the precision and the limits of the analysis. </w:t>
      </w:r>
      <w:r w:rsidR="00A02FE5" w:rsidRPr="000A6F05">
        <w:rPr>
          <w:sz w:val="24"/>
        </w:rPr>
        <w:t xml:space="preserve">In this section, the data of the input material and energy in each step per kg of salmon was collected. </w:t>
      </w:r>
    </w:p>
    <w:p w:rsidR="00A02FE5" w:rsidRPr="000A6F05" w:rsidRDefault="00A02FE5" w:rsidP="003849E3">
      <w:pPr>
        <w:pStyle w:val="7ICRSubSubSectionHeadings"/>
        <w:numPr>
          <w:ilvl w:val="0"/>
          <w:numId w:val="24"/>
        </w:numPr>
        <w:spacing w:line="360" w:lineRule="auto"/>
        <w:rPr>
          <w:sz w:val="24"/>
        </w:rPr>
      </w:pPr>
      <w:r w:rsidRPr="000A6F05">
        <w:rPr>
          <w:sz w:val="24"/>
        </w:rPr>
        <w:t xml:space="preserve">Production </w:t>
      </w:r>
    </w:p>
    <w:p w:rsidR="00A02FE5" w:rsidRPr="000A6F05" w:rsidRDefault="003849E3" w:rsidP="00A02FE5">
      <w:pPr>
        <w:pStyle w:val="8ICRText"/>
        <w:spacing w:line="360" w:lineRule="auto"/>
        <w:rPr>
          <w:sz w:val="24"/>
        </w:rPr>
      </w:pPr>
      <w:r w:rsidRPr="000A6F05">
        <w:rPr>
          <w:sz w:val="24"/>
        </w:rPr>
        <w:t>The production step</w:t>
      </w:r>
      <w:r w:rsidR="00A02FE5" w:rsidRPr="000A6F05">
        <w:rPr>
          <w:sz w:val="24"/>
        </w:rPr>
        <w:t xml:space="preserve"> involves 4 main processes in which the farmed salmon is harvested, filleted, packed and stored before despatch. It is assumed that the harvesting and filleting processes are the same for chilled and superchilled salmon </w:t>
      </w:r>
      <w:r w:rsidR="00A02FE5" w:rsidRPr="000A6F05">
        <w:rPr>
          <w:sz w:val="24"/>
        </w:rPr>
        <w:fldChar w:fldCharType="begin"/>
      </w:r>
      <w:r w:rsidR="00403F6A" w:rsidRPr="000A6F05">
        <w:rPr>
          <w:sz w:val="24"/>
        </w:rPr>
        <w:instrText xml:space="preserve"> ADDIN EN.CITE &lt;EndNote&gt;&lt;Cite&gt;&lt;Author&gt;van der Sluis&lt;/Author&gt;&lt;Year&gt;2012&lt;/Year&gt;&lt;RecNum&gt;20&lt;/RecNum&gt;&lt;DisplayText&gt;(van der Sluis et al. 2012)&lt;/DisplayText&gt;&lt;record&gt;&lt;rec-number&gt;20&lt;/rec-number&gt;&lt;foreign-keys&gt;&lt;key app="EN" db-id="0wzzzxr91fdteke2p0tp59ejvve00s0edp09"&gt;20&lt;/key&gt;&lt;/foreign-keys&gt;&lt;ref-type name="Report"&gt;27&lt;/ref-type&gt;&lt;contributors&gt;&lt;authors&gt;&lt;author&gt;van der Sluis, S.M. &lt;/author&gt;&lt;author&gt;Wissink, E. &lt;/author&gt;&lt;author&gt;Hendriksen, L. &lt;/author&gt;&lt;/authors&gt;&lt;/contributors&gt;&lt;titles&gt;&lt;title&gt;Definition of reference cold chains using general assumptions, refined towards EU situation&lt;/title&gt;&lt;secondary-title&gt;Frisbee European Project Deliverable D3.1.1&lt;/secondary-title&gt;&lt;/titles&gt;&lt;periodical&gt;&lt;full-title&gt;Frisbee European Project Deliverable D3.1.1&lt;/full-title&gt;&lt;/periodical&gt;&lt;dates&gt;&lt;year&gt;2012&lt;/year&gt;&lt;/dates&gt;&lt;urls&gt;&lt;/urls&gt;&lt;/record&gt;&lt;/Cite&gt;&lt;/EndNote&gt;</w:instrText>
      </w:r>
      <w:r w:rsidR="00A02FE5" w:rsidRPr="000A6F05">
        <w:rPr>
          <w:sz w:val="24"/>
        </w:rPr>
        <w:fldChar w:fldCharType="separate"/>
      </w:r>
      <w:r w:rsidR="00403F6A" w:rsidRPr="000A6F05">
        <w:rPr>
          <w:noProof/>
          <w:sz w:val="24"/>
        </w:rPr>
        <w:t>(</w:t>
      </w:r>
      <w:hyperlink w:anchor="_ENREF_24" w:tooltip="van der Sluis, 2012 #20" w:history="1">
        <w:r w:rsidR="008F77AB" w:rsidRPr="000A6F05">
          <w:rPr>
            <w:noProof/>
            <w:sz w:val="24"/>
          </w:rPr>
          <w:t>van der Sluis et al. 2012</w:t>
        </w:r>
      </w:hyperlink>
      <w:r w:rsidR="00403F6A" w:rsidRPr="000A6F05">
        <w:rPr>
          <w:noProof/>
          <w:sz w:val="24"/>
        </w:rPr>
        <w:t>)</w:t>
      </w:r>
      <w:r w:rsidR="00A02FE5" w:rsidRPr="000A6F05">
        <w:rPr>
          <w:sz w:val="24"/>
        </w:rPr>
        <w:fldChar w:fldCharType="end"/>
      </w:r>
      <w:r w:rsidR="00A02FE5" w:rsidRPr="000A6F05">
        <w:rPr>
          <w:sz w:val="24"/>
        </w:rPr>
        <w:t xml:space="preserve">. </w:t>
      </w:r>
    </w:p>
    <w:p w:rsidR="00351F58" w:rsidRPr="000A6F05" w:rsidRDefault="00351F58" w:rsidP="00A02FE5">
      <w:pPr>
        <w:pStyle w:val="8ICRText"/>
        <w:spacing w:line="360" w:lineRule="auto"/>
        <w:rPr>
          <w:sz w:val="24"/>
        </w:rPr>
      </w:pPr>
    </w:p>
    <w:p w:rsidR="00A02FE5" w:rsidRPr="000A6F05" w:rsidRDefault="00A02FE5" w:rsidP="00A02FE5">
      <w:pPr>
        <w:pStyle w:val="8ICRText"/>
        <w:numPr>
          <w:ilvl w:val="0"/>
          <w:numId w:val="18"/>
        </w:numPr>
        <w:spacing w:line="360" w:lineRule="auto"/>
        <w:rPr>
          <w:sz w:val="24"/>
        </w:rPr>
      </w:pPr>
      <w:r w:rsidRPr="000A6F05">
        <w:rPr>
          <w:sz w:val="24"/>
        </w:rPr>
        <w:t xml:space="preserve">Harvesting (data from </w:t>
      </w:r>
      <w:r w:rsidRPr="000A6F05">
        <w:rPr>
          <w:sz w:val="24"/>
        </w:rPr>
        <w:fldChar w:fldCharType="begin"/>
      </w:r>
      <w:r w:rsidR="00403F6A" w:rsidRPr="000A6F05">
        <w:rPr>
          <w:sz w:val="24"/>
        </w:rPr>
        <w:instrText xml:space="preserve"> ADDIN EN.CITE &lt;EndNote&gt;&lt;Cite AuthorYear="1"&gt;&lt;Author&gt;Winther&lt;/Author&gt;&lt;Year&gt;2009&lt;/Year&gt;&lt;RecNum&gt;24&lt;/RecNum&gt;&lt;DisplayText&gt;Winther et al. (2009)&lt;/DisplayText&gt;&lt;record&gt;&lt;rec-number&gt;24&lt;/rec-number&gt;&lt;foreign-keys&gt;&lt;key app="EN" db-id="0wzzzxr91fdteke2p0tp59ejvve00s0edp09"&gt;24&lt;/key&gt;&lt;/foreign-keys&gt;&lt;ref-type name="Report"&gt;27&lt;/ref-type&gt;&lt;contributors&gt;&lt;authors&gt;&lt;author&gt;Winther, U.&lt;/author&gt;&lt;author&gt;Ziegler, F.&lt;/author&gt;&lt;author&gt;Skontorp Hognes, E.&lt;/author&gt;&lt;author&gt;Emanuelsson, A.&lt;/author&gt;&lt;author&gt;Sund, V.&lt;/author&gt;&lt;author&gt;Ellingsen, H.  &lt;/author&gt;&lt;/authors&gt;&lt;/contributors&gt;&lt;titles&gt;&lt;title&gt;Carbon footprint and energy use of Norwegian seafood proucts&lt;/title&gt;&lt;secondary-title&gt;SINTEF report ISBN 978-82-14-04925-1&lt;/secondary-title&gt;&lt;/titles&gt;&lt;dates&gt;&lt;year&gt;2009&lt;/year&gt;&lt;/dates&gt;&lt;urls&gt;&lt;/urls&gt;&lt;/record&gt;&lt;/Cite&gt;&lt;/EndNote&gt;</w:instrText>
      </w:r>
      <w:r w:rsidRPr="000A6F05">
        <w:rPr>
          <w:sz w:val="24"/>
        </w:rPr>
        <w:fldChar w:fldCharType="separate"/>
      </w:r>
      <w:hyperlink w:anchor="_ENREF_25" w:tooltip="Winther, 2009 #24" w:history="1">
        <w:r w:rsidR="008F77AB" w:rsidRPr="000A6F05">
          <w:rPr>
            <w:noProof/>
            <w:sz w:val="24"/>
          </w:rPr>
          <w:t>Winther et al. (2009</w:t>
        </w:r>
      </w:hyperlink>
      <w:r w:rsidR="00403F6A" w:rsidRPr="000A6F05">
        <w:rPr>
          <w:noProof/>
          <w:sz w:val="24"/>
        </w:rPr>
        <w:t>)</w:t>
      </w:r>
      <w:r w:rsidRPr="000A6F05">
        <w:rPr>
          <w:sz w:val="24"/>
        </w:rPr>
        <w:fldChar w:fldCharType="end"/>
      </w:r>
      <w:r w:rsidRPr="000A6F05">
        <w:rPr>
          <w:sz w:val="24"/>
        </w:rPr>
        <w:t>)</w:t>
      </w:r>
    </w:p>
    <w:p w:rsidR="00A02FE5" w:rsidRPr="000A6F05" w:rsidRDefault="00A02FE5" w:rsidP="00A02FE5">
      <w:pPr>
        <w:pStyle w:val="8ICRText"/>
        <w:spacing w:line="360" w:lineRule="auto"/>
        <w:rPr>
          <w:sz w:val="24"/>
        </w:rPr>
      </w:pPr>
      <w:r w:rsidRPr="000A6F05">
        <w:rPr>
          <w:sz w:val="24"/>
        </w:rPr>
        <w:t>This process uses drum chilling and bleed chiller (both using refrigerated sea water). The inputs and outputs of this process are presented in</w:t>
      </w:r>
      <w:r w:rsidR="00351F58" w:rsidRPr="000A6F05">
        <w:rPr>
          <w:sz w:val="24"/>
        </w:rPr>
        <w:t xml:space="preserve"> Table 1</w:t>
      </w:r>
      <w:r w:rsidRPr="000A6F05">
        <w:rPr>
          <w:sz w:val="24"/>
        </w:rPr>
        <w:t>.</w:t>
      </w:r>
      <w:r w:rsidR="002A6628" w:rsidRPr="000A6F05">
        <w:rPr>
          <w:sz w:val="24"/>
        </w:rPr>
        <w:t xml:space="preserve"> As shown in this table, the by-product (about 18%) is sent to ensilage and can be used later to produce protein powders, fertiliser and animal feeds. </w:t>
      </w:r>
      <w:r w:rsidR="002559B0" w:rsidRPr="000A6F05">
        <w:rPr>
          <w:sz w:val="24"/>
        </w:rPr>
        <w:t>While reusing the fish waste</w:t>
      </w:r>
      <w:r w:rsidR="002A6628" w:rsidRPr="000A6F05">
        <w:rPr>
          <w:sz w:val="24"/>
        </w:rPr>
        <w:t xml:space="preserve"> </w:t>
      </w:r>
      <w:r w:rsidR="002559B0" w:rsidRPr="000A6F05">
        <w:rPr>
          <w:sz w:val="24"/>
        </w:rPr>
        <w:t xml:space="preserve">can potentially reduce the environmental impacts of the salmon cold chain, the supplement needed energy/materials can diminish this benefit </w:t>
      </w:r>
      <w:r w:rsidR="002559B0" w:rsidRPr="000A6F05">
        <w:rPr>
          <w:sz w:val="24"/>
        </w:rPr>
        <w:fldChar w:fldCharType="begin"/>
      </w:r>
      <w:r w:rsidR="002559B0" w:rsidRPr="000A6F05">
        <w:rPr>
          <w:sz w:val="24"/>
        </w:rPr>
        <w:instrText xml:space="preserve"> ADDIN EN.CITE &lt;EndNote&gt;&lt;Cite&gt;&lt;Author&gt;Denham&lt;/Author&gt;&lt;Year&gt;2015b&lt;/Year&gt;&lt;RecNum&gt;34&lt;/RecNum&gt;&lt;DisplayText&gt;(Denham et al. 2015b)&lt;/DisplayText&gt;&lt;record&gt;&lt;rec-number&gt;34&lt;/rec-number&gt;&lt;foreign-keys&gt;&lt;key app="EN" db-id="0wzzzxr91fdteke2p0tp59ejvve00s0edp09"&gt;34&lt;/key&gt;&lt;/foreign-keys&gt;&lt;ref-type name="Journal Article"&gt;17&lt;/ref-type&gt;&lt;contributors&gt;&lt;authors&gt;&lt;author&gt;Denham, Felicity C.&lt;/author&gt;&lt;author&gt;Biswas, Wahidul K.&lt;/author&gt;&lt;author&gt;Solah, Vicky A.&lt;/author&gt;&lt;author&gt;Howieson, Janet R.&lt;/author&gt;&lt;/authors&gt;&lt;/contributors&gt;&lt;titles&gt;&lt;title&gt;Greenhouse gas emissions from a Western Australian finfish supply chain&lt;/title&gt;&lt;secondary-title&gt;Journal of Cleaner Production&lt;/secondary-title&gt;&lt;/titles&gt;&lt;periodical&gt;&lt;full-title&gt;Journal of Cleaner Production&lt;/full-title&gt;&lt;/periodical&gt;&lt;number&gt;0&lt;/number&gt;&lt;keywords&gt;&lt;keyword&gt;Greenhouse gas&lt;/keyword&gt;&lt;keyword&gt;Finfish supply chain&lt;/keyword&gt;&lt;keyword&gt;Life cycle assessment&lt;/keyword&gt;&lt;/keywords&gt;&lt;dates&gt;&lt;year&gt;2015b&lt;/year&gt;&lt;/dates&gt;&lt;isbn&gt;0959-6526&lt;/isbn&gt;&lt;urls&gt;&lt;related-urls&gt;&lt;url&gt;http://www.sciencedirect.com/science/article/pii/S0959652614012980&lt;/url&gt;&lt;/related-urls&gt;&lt;/urls&gt;&lt;electronic-resource-num&gt;http://dx.doi.org/10.1016/j.jclepro.2014.11.080&lt;/electronic-resource-num&gt;&lt;/record&gt;&lt;/Cite&gt;&lt;/EndNote&gt;</w:instrText>
      </w:r>
      <w:r w:rsidR="002559B0" w:rsidRPr="000A6F05">
        <w:rPr>
          <w:sz w:val="24"/>
        </w:rPr>
        <w:fldChar w:fldCharType="separate"/>
      </w:r>
      <w:r w:rsidR="002559B0" w:rsidRPr="000A6F05">
        <w:rPr>
          <w:noProof/>
          <w:sz w:val="24"/>
        </w:rPr>
        <w:t>(</w:t>
      </w:r>
      <w:hyperlink w:anchor="_ENREF_7" w:tooltip="Denham, 2015b #34" w:history="1">
        <w:r w:rsidR="008F77AB" w:rsidRPr="000A6F05">
          <w:rPr>
            <w:noProof/>
            <w:sz w:val="24"/>
          </w:rPr>
          <w:t>Denham et al. 2015b</w:t>
        </w:r>
      </w:hyperlink>
      <w:r w:rsidR="002559B0" w:rsidRPr="000A6F05">
        <w:rPr>
          <w:noProof/>
          <w:sz w:val="24"/>
        </w:rPr>
        <w:t>)</w:t>
      </w:r>
      <w:r w:rsidR="002559B0" w:rsidRPr="000A6F05">
        <w:rPr>
          <w:sz w:val="24"/>
        </w:rPr>
        <w:fldChar w:fldCharType="end"/>
      </w:r>
      <w:r w:rsidR="002559B0" w:rsidRPr="000A6F05">
        <w:rPr>
          <w:sz w:val="24"/>
        </w:rPr>
        <w:t>. The ensilage process is not considered in the present study.</w:t>
      </w:r>
    </w:p>
    <w:p w:rsidR="00A02FE5" w:rsidRPr="000A6F05" w:rsidRDefault="00A02FE5" w:rsidP="00A02FE5">
      <w:pPr>
        <w:pStyle w:val="8ICRText"/>
        <w:spacing w:line="360" w:lineRule="auto"/>
        <w:rPr>
          <w:sz w:val="24"/>
        </w:rPr>
      </w:pPr>
    </w:p>
    <w:p w:rsidR="00A02FE5" w:rsidRPr="000A6F05" w:rsidRDefault="00A02FE5" w:rsidP="00A02FE5">
      <w:pPr>
        <w:pStyle w:val="8ICRText"/>
        <w:numPr>
          <w:ilvl w:val="0"/>
          <w:numId w:val="18"/>
        </w:numPr>
        <w:spacing w:line="360" w:lineRule="auto"/>
        <w:rPr>
          <w:sz w:val="24"/>
        </w:rPr>
      </w:pPr>
      <w:r w:rsidRPr="000A6F05">
        <w:rPr>
          <w:sz w:val="24"/>
        </w:rPr>
        <w:t xml:space="preserve">Filleting </w:t>
      </w:r>
    </w:p>
    <w:p w:rsidR="00A02FE5" w:rsidRPr="000A6F05" w:rsidRDefault="00A02FE5" w:rsidP="00A02FE5">
      <w:pPr>
        <w:pStyle w:val="8ICRText"/>
        <w:spacing w:line="360" w:lineRule="auto"/>
        <w:rPr>
          <w:sz w:val="24"/>
        </w:rPr>
      </w:pPr>
      <w:r w:rsidRPr="000A6F05">
        <w:rPr>
          <w:sz w:val="24"/>
        </w:rPr>
        <w:t xml:space="preserve">As the filleting is manual work, the energy consumption of this process is assumed to be negligible. </w:t>
      </w:r>
    </w:p>
    <w:p w:rsidR="00A02FE5" w:rsidRPr="000A6F05" w:rsidRDefault="00A02FE5" w:rsidP="00A02FE5">
      <w:pPr>
        <w:pStyle w:val="8ICRText"/>
        <w:spacing w:line="360" w:lineRule="auto"/>
        <w:rPr>
          <w:sz w:val="24"/>
        </w:rPr>
      </w:pPr>
    </w:p>
    <w:p w:rsidR="00A02FE5" w:rsidRPr="000A6F05" w:rsidRDefault="00A02FE5" w:rsidP="00A02FE5">
      <w:pPr>
        <w:pStyle w:val="8ICRText"/>
        <w:numPr>
          <w:ilvl w:val="0"/>
          <w:numId w:val="18"/>
        </w:numPr>
        <w:spacing w:line="360" w:lineRule="auto"/>
        <w:rPr>
          <w:sz w:val="24"/>
        </w:rPr>
      </w:pPr>
      <w:r w:rsidRPr="000A6F05">
        <w:rPr>
          <w:sz w:val="24"/>
        </w:rPr>
        <w:t>Packaging</w:t>
      </w:r>
    </w:p>
    <w:p w:rsidR="00A02FE5" w:rsidRPr="000A6F05" w:rsidRDefault="00A02FE5" w:rsidP="00A02FE5">
      <w:pPr>
        <w:pStyle w:val="8ICRText"/>
        <w:spacing w:line="360" w:lineRule="auto"/>
        <w:rPr>
          <w:sz w:val="24"/>
        </w:rPr>
      </w:pPr>
      <w:r w:rsidRPr="000A6F05">
        <w:rPr>
          <w:i/>
          <w:sz w:val="24"/>
        </w:rPr>
        <w:t>For chilled salmon</w:t>
      </w:r>
      <w:r w:rsidRPr="000A6F05">
        <w:rPr>
          <w:sz w:val="24"/>
        </w:rPr>
        <w:t xml:space="preserve">, the salmon is chilled and packed with ice inside expanded polystyrene (EPS) boxes. Each box (0.66 kg of EPS) can contain 20kg fillets and about 5 kg ice (0.25 kg/kg salmon). Part of this ice (0.05kg/kg salmon) is used in cooling the fillets back down after some warming during preceding processing, but the remainder (0.2 kg/kg salmon) is available to keep the fillets cool during initial distribution and transport. </w:t>
      </w:r>
    </w:p>
    <w:p w:rsidR="00AF0567" w:rsidRPr="000A6F05" w:rsidRDefault="00A02FE5" w:rsidP="00A02FE5">
      <w:pPr>
        <w:pStyle w:val="8ICRText"/>
        <w:numPr>
          <w:ilvl w:val="1"/>
          <w:numId w:val="17"/>
        </w:numPr>
        <w:spacing w:line="360" w:lineRule="auto"/>
        <w:ind w:left="1134" w:hanging="283"/>
        <w:rPr>
          <w:sz w:val="24"/>
        </w:rPr>
      </w:pPr>
      <w:r w:rsidRPr="000A6F05">
        <w:rPr>
          <w:sz w:val="24"/>
        </w:rPr>
        <w:t xml:space="preserve">The needed amount of EPS for 1 kg of chilled fillet is: </w:t>
      </w:r>
    </w:p>
    <w:p w:rsidR="00A02FE5" w:rsidRPr="000A6F05" w:rsidRDefault="00AF0567" w:rsidP="00AF0567">
      <w:pPr>
        <w:pStyle w:val="8ICRText"/>
        <w:spacing w:line="360" w:lineRule="auto"/>
        <w:ind w:left="1134"/>
        <w:rPr>
          <w:sz w:val="24"/>
        </w:rPr>
      </w:pPr>
      <w:r w:rsidRPr="000A6F05">
        <w:rPr>
          <w:sz w:val="24"/>
        </w:rPr>
        <w:t>0.66/20= 0.033 kg</w:t>
      </w:r>
      <w:r w:rsidR="00A02FE5" w:rsidRPr="000A6F05">
        <w:rPr>
          <w:sz w:val="24"/>
        </w:rPr>
        <w:t>/kg salmon</w:t>
      </w:r>
    </w:p>
    <w:p w:rsidR="00A02FE5" w:rsidRPr="000A6F05" w:rsidRDefault="00A02FE5" w:rsidP="00A02FE5">
      <w:pPr>
        <w:pStyle w:val="8ICRText"/>
        <w:numPr>
          <w:ilvl w:val="1"/>
          <w:numId w:val="17"/>
        </w:numPr>
        <w:spacing w:line="360" w:lineRule="auto"/>
        <w:ind w:left="1134" w:hanging="283"/>
        <w:rPr>
          <w:sz w:val="24"/>
        </w:rPr>
      </w:pPr>
      <w:r w:rsidRPr="000A6F05">
        <w:rPr>
          <w:sz w:val="24"/>
        </w:rPr>
        <w:t>The needed amount of ice for 1 kg of chilled fillet is: 0.25 kg/kg salmon</w:t>
      </w:r>
    </w:p>
    <w:p w:rsidR="00AF0567" w:rsidRPr="000A6F05" w:rsidRDefault="00A02FE5" w:rsidP="00A02FE5">
      <w:pPr>
        <w:pStyle w:val="8ICRText"/>
        <w:numPr>
          <w:ilvl w:val="1"/>
          <w:numId w:val="17"/>
        </w:numPr>
        <w:spacing w:line="360" w:lineRule="auto"/>
        <w:ind w:left="1134" w:hanging="283"/>
        <w:rPr>
          <w:sz w:val="24"/>
        </w:rPr>
      </w:pPr>
      <w:r w:rsidRPr="000A6F05">
        <w:rPr>
          <w:sz w:val="24"/>
        </w:rPr>
        <w:t>Based on cooling of water from 10°C to 0°C, assuming the ice machine has a COP of around 2.5, production of ice at these ratios requires</w:t>
      </w:r>
      <w:r w:rsidR="00AF0567" w:rsidRPr="000A6F05">
        <w:rPr>
          <w:sz w:val="24"/>
        </w:rPr>
        <w:t>:</w:t>
      </w:r>
    </w:p>
    <w:p w:rsidR="00A02FE5" w:rsidRPr="000A6F05" w:rsidRDefault="00714224" w:rsidP="00AF0567">
      <w:pPr>
        <w:pStyle w:val="8ICRText"/>
        <w:spacing w:line="360" w:lineRule="auto"/>
        <w:ind w:left="1134"/>
        <w:rPr>
          <w:sz w:val="24"/>
        </w:rPr>
      </w:pPr>
      <w:r w:rsidRPr="000A6F05">
        <w:rPr>
          <w:sz w:val="24"/>
        </w:rPr>
        <w:lastRenderedPageBreak/>
        <w:t>0.25 * (C</w:t>
      </w:r>
      <w:r w:rsidRPr="000A6F05">
        <w:rPr>
          <w:sz w:val="24"/>
          <w:vertAlign w:val="subscript"/>
        </w:rPr>
        <w:t>p_water</w:t>
      </w:r>
      <w:r w:rsidR="00A02FE5" w:rsidRPr="000A6F05">
        <w:rPr>
          <w:sz w:val="24"/>
        </w:rPr>
        <w:t xml:space="preserve"> * 10) +</w:t>
      </w:r>
      <w:r w:rsidRPr="000A6F05">
        <w:rPr>
          <w:sz w:val="24"/>
        </w:rPr>
        <w:t xml:space="preserve"> L</w:t>
      </w:r>
      <w:r w:rsidRPr="000A6F05">
        <w:rPr>
          <w:sz w:val="24"/>
          <w:vertAlign w:val="subscript"/>
        </w:rPr>
        <w:t>_water</w:t>
      </w:r>
      <w:r w:rsidR="00A02FE5" w:rsidRPr="000A6F05">
        <w:rPr>
          <w:sz w:val="24"/>
        </w:rPr>
        <w:t xml:space="preserve">) / 2.5 = 37.6 kJ /kg salmon </w:t>
      </w:r>
      <w:r w:rsidR="00A02FE5" w:rsidRPr="000A6F05">
        <w:rPr>
          <w:sz w:val="24"/>
        </w:rPr>
        <w:fldChar w:fldCharType="begin"/>
      </w:r>
      <w:r w:rsidR="00403F6A" w:rsidRPr="000A6F05">
        <w:rPr>
          <w:sz w:val="24"/>
        </w:rPr>
        <w:instrText xml:space="preserve"> ADDIN EN.CITE &lt;EndNote&gt;&lt;Cite&gt;&lt;Author&gt;Brown&lt;/Author&gt;&lt;Year&gt;2014&lt;/Year&gt;&lt;RecNum&gt;25&lt;/RecNum&gt;&lt;DisplayText&gt;(Brown 2014)&lt;/DisplayText&gt;&lt;record&gt;&lt;rec-number&gt;25&lt;/rec-number&gt;&lt;foreign-keys&gt;&lt;key app="EN" db-id="0wzzzxr91fdteke2p0tp59ejvve00s0edp09"&gt;25&lt;/key&gt;&lt;/foreign-keys&gt;&lt;ref-type name="Report"&gt;27&lt;/ref-type&gt;&lt;contributors&gt;&lt;authors&gt;&lt;author&gt;Brown, T.&lt;/author&gt;&lt;/authors&gt;&lt;/contributors&gt;&lt;titles&gt;&lt;title&gt;Report on quality and energy use of proposed technologies - superchilling&lt;/title&gt;&lt;secondary-title&gt;Frisbee European Project Deliverable D.5.1.1.4&lt;/secondary-title&gt;&lt;/titles&gt;&lt;dates&gt;&lt;year&gt;2014&lt;/year&gt;&lt;/dates&gt;&lt;urls&gt;&lt;/urls&gt;&lt;/record&gt;&lt;/Cite&gt;&lt;/EndNote&gt;</w:instrText>
      </w:r>
      <w:r w:rsidR="00A02FE5" w:rsidRPr="000A6F05">
        <w:rPr>
          <w:sz w:val="24"/>
        </w:rPr>
        <w:fldChar w:fldCharType="separate"/>
      </w:r>
      <w:r w:rsidR="00403F6A" w:rsidRPr="000A6F05">
        <w:rPr>
          <w:noProof/>
          <w:sz w:val="24"/>
        </w:rPr>
        <w:t>(</w:t>
      </w:r>
      <w:hyperlink w:anchor="_ENREF_3" w:tooltip="Brown, 2014 #25" w:history="1">
        <w:r w:rsidR="008F77AB" w:rsidRPr="000A6F05">
          <w:rPr>
            <w:noProof/>
            <w:sz w:val="24"/>
          </w:rPr>
          <w:t>Brown 2014</w:t>
        </w:r>
      </w:hyperlink>
      <w:r w:rsidR="00403F6A" w:rsidRPr="000A6F05">
        <w:rPr>
          <w:noProof/>
          <w:sz w:val="24"/>
        </w:rPr>
        <w:t>)</w:t>
      </w:r>
      <w:r w:rsidR="00A02FE5" w:rsidRPr="000A6F05">
        <w:rPr>
          <w:sz w:val="24"/>
        </w:rPr>
        <w:fldChar w:fldCharType="end"/>
      </w:r>
      <w:r w:rsidR="00A02FE5" w:rsidRPr="000A6F05">
        <w:rPr>
          <w:sz w:val="24"/>
        </w:rPr>
        <w:t>.</w:t>
      </w:r>
    </w:p>
    <w:p w:rsidR="006E6A57" w:rsidRPr="000A6F05" w:rsidRDefault="006E6A57" w:rsidP="00AF0567">
      <w:pPr>
        <w:pStyle w:val="8ICRText"/>
        <w:spacing w:line="360" w:lineRule="auto"/>
        <w:ind w:left="1134"/>
        <w:rPr>
          <w:sz w:val="24"/>
        </w:rPr>
      </w:pPr>
      <w:r w:rsidRPr="000A6F05">
        <w:rPr>
          <w:sz w:val="24"/>
        </w:rPr>
        <w:t>with C</w:t>
      </w:r>
      <w:r w:rsidRPr="000A6F05">
        <w:rPr>
          <w:sz w:val="24"/>
          <w:vertAlign w:val="subscript"/>
        </w:rPr>
        <w:t xml:space="preserve">p_water </w:t>
      </w:r>
      <w:r w:rsidRPr="000A6F05">
        <w:rPr>
          <w:sz w:val="24"/>
        </w:rPr>
        <w:t xml:space="preserve">= 4.187 kJ/kg.K and </w:t>
      </w:r>
      <w:r w:rsidR="00714224" w:rsidRPr="000A6F05">
        <w:rPr>
          <w:sz w:val="24"/>
        </w:rPr>
        <w:t>L</w:t>
      </w:r>
      <w:r w:rsidR="00714224" w:rsidRPr="000A6F05">
        <w:rPr>
          <w:sz w:val="24"/>
          <w:vertAlign w:val="subscript"/>
        </w:rPr>
        <w:t xml:space="preserve">_water </w:t>
      </w:r>
      <w:r w:rsidR="00714224" w:rsidRPr="000A6F05">
        <w:rPr>
          <w:sz w:val="24"/>
        </w:rPr>
        <w:t>= 334 kJ/kg.K</w:t>
      </w:r>
    </w:p>
    <w:p w:rsidR="00A02FE5" w:rsidRPr="000A6F05" w:rsidRDefault="00A02FE5" w:rsidP="00AF0567">
      <w:pPr>
        <w:spacing w:line="360" w:lineRule="auto"/>
        <w:jc w:val="both"/>
        <w:rPr>
          <w:lang w:val="en-US"/>
        </w:rPr>
      </w:pPr>
      <w:r w:rsidRPr="000A6F05">
        <w:rPr>
          <w:i/>
          <w:lang w:val="en-US"/>
        </w:rPr>
        <w:t>For superchilled salmon,</w:t>
      </w:r>
      <w:r w:rsidRPr="000A6F05">
        <w:rPr>
          <w:lang w:val="en-US"/>
        </w:rPr>
        <w:t xml:space="preserve"> the salmon is cooled down by the contact blast chiller and also packed inside the same EPS boxes (0.66 kg EPS for 25 kg fillet), no ice is needed.</w:t>
      </w:r>
    </w:p>
    <w:p w:rsidR="00A02FE5" w:rsidRPr="000A6F05" w:rsidRDefault="00A02FE5" w:rsidP="00A02FE5">
      <w:pPr>
        <w:pStyle w:val="8ICRText"/>
        <w:numPr>
          <w:ilvl w:val="1"/>
          <w:numId w:val="17"/>
        </w:numPr>
        <w:spacing w:line="360" w:lineRule="auto"/>
        <w:ind w:left="1134" w:hanging="283"/>
        <w:rPr>
          <w:sz w:val="24"/>
        </w:rPr>
      </w:pPr>
      <w:r w:rsidRPr="000A6F05">
        <w:rPr>
          <w:sz w:val="24"/>
        </w:rPr>
        <w:t xml:space="preserve">The needed amount of EPS for 1 kg of superchilled fillet is: 0.66/25= 0.0264 kg </w:t>
      </w:r>
    </w:p>
    <w:p w:rsidR="00A02FE5" w:rsidRPr="000A6F05" w:rsidRDefault="00A02FE5" w:rsidP="00A02FE5">
      <w:pPr>
        <w:pStyle w:val="8ICRText"/>
        <w:numPr>
          <w:ilvl w:val="1"/>
          <w:numId w:val="17"/>
        </w:numPr>
        <w:spacing w:line="360" w:lineRule="auto"/>
        <w:ind w:left="1134" w:hanging="283"/>
        <w:rPr>
          <w:sz w:val="24"/>
        </w:rPr>
      </w:pPr>
      <w:r w:rsidRPr="000A6F05">
        <w:rPr>
          <w:sz w:val="24"/>
        </w:rPr>
        <w:t xml:space="preserve">The needed amount of energy for 1 kg of superchilled fillet (in the contact blast chiller) is 72 kJ/kg salmon </w:t>
      </w:r>
      <w:r w:rsidRPr="000A6F05">
        <w:rPr>
          <w:sz w:val="24"/>
        </w:rPr>
        <w:fldChar w:fldCharType="begin"/>
      </w:r>
      <w:r w:rsidR="00403F6A" w:rsidRPr="000A6F05">
        <w:rPr>
          <w:sz w:val="24"/>
        </w:rPr>
        <w:instrText xml:space="preserve"> ADDIN EN.CITE &lt;EndNote&gt;&lt;Cite&gt;&lt;Author&gt;Claussen&lt;/Author&gt;&lt;Year&gt;2011&lt;/Year&gt;&lt;RecNum&gt;7&lt;/RecNum&gt;&lt;DisplayText&gt;(Claussen et al. 2011)&lt;/DisplayText&gt;&lt;record&gt;&lt;rec-number&gt;7&lt;/rec-number&gt;&lt;foreign-keys&gt;&lt;key app="EN" db-id="0wzzzxr91fdteke2p0tp59ejvve00s0edp09"&gt;7&lt;/key&gt;&lt;/foreign-keys&gt;&lt;ref-type name="Journal Article"&gt;17&lt;/ref-type&gt;&lt;contributors&gt;&lt;authors&gt;&lt;author&gt;Claussen, Ingrid C.&lt;/author&gt;&lt;author&gt;Indergård, Erlend&lt;/author&gt;&lt;author&gt;Grinde, Magnus&lt;/author&gt;&lt;/authors&gt;&lt;/contributors&gt;&lt;titles&gt;&lt;title&gt;Comparative Life Cycle Assessment (LCA) of production and transport of chilled versus superchilled haddock (Melanogrammus aeglefinus) fillets from Norway to France&lt;/title&gt;&lt;secondary-title&gt;Procedia Food Science&lt;/secondary-title&gt;&lt;/titles&gt;&lt;periodical&gt;&lt;full-title&gt;Procedia Food Science&lt;/full-title&gt;&lt;/periodical&gt;&lt;pages&gt;1091-1098&lt;/pages&gt;&lt;volume&gt;1&lt;/volume&gt;&lt;number&gt;0&lt;/number&gt;&lt;keywords&gt;&lt;keyword&gt;Chilled&lt;/keyword&gt;&lt;keyword&gt;Superchilled&lt;/keyword&gt;&lt;keyword&gt;Haddock&lt;/keyword&gt;&lt;keyword&gt;LCA&lt;/keyword&gt;&lt;keyword&gt;Environmental impact&lt;/keyword&gt;&lt;keyword&gt;Production and Transport&lt;/keyword&gt;&lt;/keywords&gt;&lt;dates&gt;&lt;year&gt;2011&lt;/year&gt;&lt;pub-dates&gt;&lt;date&gt;//&lt;/date&gt;&lt;/pub-dates&gt;&lt;/dates&gt;&lt;isbn&gt;2211-601X&lt;/isbn&gt;&lt;urls&gt;&lt;related-urls&gt;&lt;url&gt;http://www.sciencedirect.com/science/article/pii/S2211601X11001647&lt;/url&gt;&lt;/related-urls&gt;&lt;/urls&gt;&lt;electronic-resource-num&gt;http://dx.doi.org/10.1016/j.profoo.2011.09.163&lt;/electronic-resource-num&gt;&lt;/record&gt;&lt;/Cite&gt;&lt;/EndNote&gt;</w:instrText>
      </w:r>
      <w:r w:rsidRPr="000A6F05">
        <w:rPr>
          <w:sz w:val="24"/>
        </w:rPr>
        <w:fldChar w:fldCharType="separate"/>
      </w:r>
      <w:r w:rsidR="00403F6A" w:rsidRPr="000A6F05">
        <w:rPr>
          <w:noProof/>
          <w:sz w:val="24"/>
        </w:rPr>
        <w:t>(</w:t>
      </w:r>
      <w:hyperlink w:anchor="_ENREF_5" w:tooltip="Claussen, 2011 #7" w:history="1">
        <w:r w:rsidR="008F77AB" w:rsidRPr="000A6F05">
          <w:rPr>
            <w:noProof/>
            <w:sz w:val="24"/>
          </w:rPr>
          <w:t>Claussen et al. 2011</w:t>
        </w:r>
      </w:hyperlink>
      <w:r w:rsidR="00403F6A" w:rsidRPr="000A6F05">
        <w:rPr>
          <w:noProof/>
          <w:sz w:val="24"/>
        </w:rPr>
        <w:t>)</w:t>
      </w:r>
      <w:r w:rsidRPr="000A6F05">
        <w:rPr>
          <w:sz w:val="24"/>
        </w:rPr>
        <w:fldChar w:fldCharType="end"/>
      </w:r>
      <w:r w:rsidRPr="000A6F05">
        <w:rPr>
          <w:sz w:val="24"/>
        </w:rPr>
        <w:t>.</w:t>
      </w:r>
    </w:p>
    <w:p w:rsidR="00A02FE5" w:rsidRPr="000A6F05" w:rsidRDefault="00A02FE5" w:rsidP="00A02FE5">
      <w:pPr>
        <w:pStyle w:val="8ICRText"/>
        <w:spacing w:line="360" w:lineRule="auto"/>
        <w:ind w:left="1287"/>
        <w:rPr>
          <w:sz w:val="24"/>
        </w:rPr>
      </w:pPr>
    </w:p>
    <w:p w:rsidR="00A02FE5" w:rsidRPr="000A6F05" w:rsidRDefault="00A02FE5" w:rsidP="00A02FE5">
      <w:pPr>
        <w:pStyle w:val="8ICRText"/>
        <w:numPr>
          <w:ilvl w:val="0"/>
          <w:numId w:val="18"/>
        </w:numPr>
        <w:spacing w:line="360" w:lineRule="auto"/>
        <w:rPr>
          <w:sz w:val="24"/>
        </w:rPr>
      </w:pPr>
      <w:r w:rsidRPr="000A6F05">
        <w:rPr>
          <w:sz w:val="24"/>
        </w:rPr>
        <w:t>Storage</w:t>
      </w:r>
    </w:p>
    <w:p w:rsidR="00A02FE5" w:rsidRPr="000A6F05" w:rsidRDefault="00A02FE5" w:rsidP="00A02FE5">
      <w:pPr>
        <w:pStyle w:val="8ICRText"/>
        <w:spacing w:line="360" w:lineRule="auto"/>
        <w:rPr>
          <w:sz w:val="24"/>
        </w:rPr>
      </w:pPr>
      <w:r w:rsidRPr="000A6F05">
        <w:rPr>
          <w:i/>
          <w:sz w:val="24"/>
        </w:rPr>
        <w:t xml:space="preserve">For chilled salmon, </w:t>
      </w:r>
      <w:r w:rsidRPr="000A6F05">
        <w:rPr>
          <w:sz w:val="24"/>
        </w:rPr>
        <w:t xml:space="preserve">the product is stored for 24h at 0°C before despatch </w:t>
      </w:r>
      <w:r w:rsidRPr="000A6F05">
        <w:rPr>
          <w:sz w:val="24"/>
        </w:rPr>
        <w:fldChar w:fldCharType="begin"/>
      </w:r>
      <w:r w:rsidR="00403F6A" w:rsidRPr="000A6F05">
        <w:rPr>
          <w:sz w:val="24"/>
        </w:rPr>
        <w:instrText xml:space="preserve"> ADDIN EN.CITE &lt;EndNote&gt;&lt;Cite&gt;&lt;Author&gt;van der Sluis&lt;/Author&gt;&lt;Year&gt;2012&lt;/Year&gt;&lt;RecNum&gt;20&lt;/RecNum&gt;&lt;DisplayText&gt;(van der Sluis et al. 2012)&lt;/DisplayText&gt;&lt;record&gt;&lt;rec-number&gt;20&lt;/rec-number&gt;&lt;foreign-keys&gt;&lt;key app="EN" db-id="0wzzzxr91fdteke2p0tp59ejvve00s0edp09"&gt;20&lt;/key&gt;&lt;/foreign-keys&gt;&lt;ref-type name="Report"&gt;27&lt;/ref-type&gt;&lt;contributors&gt;&lt;authors&gt;&lt;author&gt;van der Sluis, S.M. &lt;/author&gt;&lt;author&gt;Wissink, E. &lt;/author&gt;&lt;author&gt;Hendriksen, L. &lt;/author&gt;&lt;/authors&gt;&lt;/contributors&gt;&lt;titles&gt;&lt;title&gt;Definition of reference cold chains using general assumptions, refined towards EU situation&lt;/title&gt;&lt;secondary-title&gt;Frisbee European Project Deliverable D3.1.1&lt;/secondary-title&gt;&lt;/titles&gt;&lt;periodical&gt;&lt;full-title&gt;Frisbee European Project Deliverable D3.1.1&lt;/full-title&gt;&lt;/periodical&gt;&lt;dates&gt;&lt;year&gt;2012&lt;/year&gt;&lt;/dates&gt;&lt;urls&gt;&lt;/urls&gt;&lt;/record&gt;&lt;/Cite&gt;&lt;/EndNote&gt;</w:instrText>
      </w:r>
      <w:r w:rsidRPr="000A6F05">
        <w:rPr>
          <w:sz w:val="24"/>
        </w:rPr>
        <w:fldChar w:fldCharType="separate"/>
      </w:r>
      <w:r w:rsidR="00403F6A" w:rsidRPr="000A6F05">
        <w:rPr>
          <w:noProof/>
          <w:sz w:val="24"/>
        </w:rPr>
        <w:t>(</w:t>
      </w:r>
      <w:hyperlink w:anchor="_ENREF_24" w:tooltip="van der Sluis, 2012 #20" w:history="1">
        <w:r w:rsidR="008F77AB" w:rsidRPr="000A6F05">
          <w:rPr>
            <w:noProof/>
            <w:sz w:val="24"/>
          </w:rPr>
          <w:t>van der Sluis et al. 2012</w:t>
        </w:r>
      </w:hyperlink>
      <w:r w:rsidR="00403F6A" w:rsidRPr="000A6F05">
        <w:rPr>
          <w:noProof/>
          <w:sz w:val="24"/>
        </w:rPr>
        <w:t>)</w:t>
      </w:r>
      <w:r w:rsidRPr="000A6F05">
        <w:rPr>
          <w:sz w:val="24"/>
        </w:rPr>
        <w:fldChar w:fldCharType="end"/>
      </w:r>
      <w:r w:rsidRPr="000A6F05">
        <w:rPr>
          <w:sz w:val="24"/>
        </w:rPr>
        <w:t xml:space="preserve">. Two published sources of typical energy use were compared. The first, </w:t>
      </w:r>
      <w:r w:rsidRPr="000A6F05">
        <w:rPr>
          <w:sz w:val="24"/>
        </w:rPr>
        <w:fldChar w:fldCharType="begin"/>
      </w:r>
      <w:r w:rsidR="00403F6A" w:rsidRPr="000A6F05">
        <w:rPr>
          <w:sz w:val="24"/>
        </w:rPr>
        <w:instrText xml:space="preserve"> ADDIN EN.CITE &lt;EndNote&gt;&lt;Cite AuthorYear="1"&gt;&lt;Author&gt;Thrane&lt;/Author&gt;&lt;Year&gt;2004&lt;/Year&gt;&lt;RecNum&gt;27&lt;/RecNum&gt;&lt;DisplayText&gt;Thrane (2004)&lt;/DisplayText&gt;&lt;record&gt;&lt;rec-number&gt;27&lt;/rec-number&gt;&lt;foreign-keys&gt;&lt;key app="EN" db-id="0wzzzxr91fdteke2p0tp59ejvve00s0edp09"&gt;27&lt;/key&gt;&lt;/foreign-keys&gt;&lt;ref-type name="Thesis"&gt;32&lt;/ref-type&gt;&lt;contributors&gt;&lt;authors&gt;&lt;author&gt;Thrane, M.&lt;/author&gt;&lt;/authors&gt;&lt;/contributors&gt;&lt;titles&gt;&lt;title&gt;Environmental impacts from Danish fish products, hot spots and environmental policies&lt;/title&gt;&lt;/titles&gt;&lt;dates&gt;&lt;year&gt;2004&lt;/year&gt;&lt;/dates&gt;&lt;publisher&gt;Doctoral dissertation, Dept. of Development and Planning, Aalborg University, Aalborg, Denmark&lt;/publisher&gt;&lt;urls&gt;&lt;/urls&gt;&lt;/record&gt;&lt;/Cite&gt;&lt;/EndNote&gt;</w:instrText>
      </w:r>
      <w:r w:rsidRPr="000A6F05">
        <w:rPr>
          <w:sz w:val="24"/>
        </w:rPr>
        <w:fldChar w:fldCharType="separate"/>
      </w:r>
      <w:hyperlink w:anchor="_ENREF_22" w:tooltip="Thrane, 2004 #27" w:history="1">
        <w:r w:rsidR="008F77AB" w:rsidRPr="000A6F05">
          <w:rPr>
            <w:noProof/>
            <w:sz w:val="24"/>
          </w:rPr>
          <w:t>Thrane (2004</w:t>
        </w:r>
      </w:hyperlink>
      <w:r w:rsidR="00403F6A" w:rsidRPr="000A6F05">
        <w:rPr>
          <w:noProof/>
          <w:sz w:val="24"/>
        </w:rPr>
        <w:t>)</w:t>
      </w:r>
      <w:r w:rsidRPr="000A6F05">
        <w:rPr>
          <w:sz w:val="24"/>
        </w:rPr>
        <w:fldChar w:fldCharType="end"/>
      </w:r>
      <w:r w:rsidRPr="000A6F05">
        <w:rPr>
          <w:sz w:val="24"/>
        </w:rPr>
        <w:t xml:space="preserve">, gave the average energy use for a chilled storage facility at 0°C as 0.44 kJ/kg for the 24h. The second source </w:t>
      </w:r>
      <w:r w:rsidRPr="000A6F05">
        <w:rPr>
          <w:sz w:val="24"/>
        </w:rPr>
        <w:fldChar w:fldCharType="begin"/>
      </w:r>
      <w:r w:rsidR="00403F6A" w:rsidRPr="000A6F05">
        <w:rPr>
          <w:sz w:val="24"/>
        </w:rPr>
        <w:instrText xml:space="preserve"> ADDIN EN.CITE &lt;EndNote&gt;&lt;Cite&gt;&lt;Author&gt;Evans&lt;/Author&gt;&lt;Year&gt;2014&lt;/Year&gt;&lt;RecNum&gt;9&lt;/RecNum&gt;&lt;DisplayText&gt;(Evans et al. 2014)&lt;/DisplayText&gt;&lt;record&gt;&lt;rec-number&gt;9&lt;/rec-number&gt;&lt;foreign-keys&gt;&lt;key app="EN" db-id="0wzzzxr91fdteke2p0tp59ejvve00s0edp09"&gt;9&lt;/key&gt;&lt;/foreign-keys&gt;&lt;ref-type name="Journal Article"&gt;17&lt;/ref-type&gt;&lt;contributors&gt;&lt;authors&gt;&lt;author&gt;Evans, J. A.&lt;/author&gt;&lt;author&gt;Foster, A. M.&lt;/author&gt;&lt;author&gt;Huet, J. M.&lt;/author&gt;&lt;author&gt;Reinholdt, L.&lt;/author&gt;&lt;author&gt;Fikiin, K.&lt;/author&gt;&lt;author&gt;Zilio, C.&lt;/author&gt;&lt;author&gt;Houska, M.&lt;/author&gt;&lt;author&gt;Landfeld, A.&lt;/author&gt;&lt;author&gt;Bond, C.&lt;/author&gt;&lt;author&gt;Scheurs, M.&lt;/author&gt;&lt;author&gt;van Sambeeck, T. W. M.&lt;/author&gt;&lt;/authors&gt;&lt;/contributors&gt;&lt;titles&gt;&lt;title&gt;Specific energy consumption values for various refrigerated food cold stores&lt;/title&gt;&lt;secondary-title&gt;Energy and Buildings&lt;/secondary-title&gt;&lt;/titles&gt;&lt;periodical&gt;&lt;full-title&gt;Energy and Buildings&lt;/full-title&gt;&lt;/periodical&gt;&lt;pages&gt;141-151&lt;/pages&gt;&lt;volume&gt;74&lt;/volume&gt;&lt;number&gt;0&lt;/number&gt;&lt;keywords&gt;&lt;keyword&gt;Refrigeration&lt;/keyword&gt;&lt;keyword&gt;Cold store&lt;/keyword&gt;&lt;keyword&gt;Food&lt;/keyword&gt;&lt;keyword&gt;Energy&lt;/keyword&gt;&lt;keyword&gt;Specific energy consumption&lt;/keyword&gt;&lt;keyword&gt;Mathematical model&lt;/keyword&gt;&lt;/keywords&gt;&lt;dates&gt;&lt;year&gt;2014&lt;/year&gt;&lt;pub-dates&gt;&lt;date&gt;5//&lt;/date&gt;&lt;/pub-dates&gt;&lt;/dates&gt;&lt;isbn&gt;0378-7788&lt;/isbn&gt;&lt;urls&gt;&lt;related-urls&gt;&lt;url&gt;http://www.sciencedirect.com/science/article/pii/S0378778813007925&lt;/url&gt;&lt;/related-urls&gt;&lt;/urls&gt;&lt;electronic-resource-num&gt;http://dx.doi.org/10.1016/j.enbuild.2013.11.075&lt;/electronic-resource-num&gt;&lt;/record&gt;&lt;/Cite&gt;&lt;/EndNote&gt;</w:instrText>
      </w:r>
      <w:r w:rsidRPr="000A6F05">
        <w:rPr>
          <w:sz w:val="24"/>
        </w:rPr>
        <w:fldChar w:fldCharType="separate"/>
      </w:r>
      <w:r w:rsidR="00403F6A" w:rsidRPr="000A6F05">
        <w:rPr>
          <w:noProof/>
          <w:sz w:val="24"/>
        </w:rPr>
        <w:t>(</w:t>
      </w:r>
      <w:hyperlink w:anchor="_ENREF_10" w:tooltip="Evans, 2014 #9" w:history="1">
        <w:r w:rsidR="008F77AB" w:rsidRPr="000A6F05">
          <w:rPr>
            <w:noProof/>
            <w:sz w:val="24"/>
          </w:rPr>
          <w:t>Evans et al. 2014</w:t>
        </w:r>
      </w:hyperlink>
      <w:r w:rsidR="00403F6A" w:rsidRPr="000A6F05">
        <w:rPr>
          <w:noProof/>
          <w:sz w:val="24"/>
        </w:rPr>
        <w:t>)</w:t>
      </w:r>
      <w:r w:rsidRPr="000A6F05">
        <w:rPr>
          <w:sz w:val="24"/>
        </w:rPr>
        <w:fldChar w:fldCharType="end"/>
      </w:r>
      <w:r w:rsidRPr="000A6F05">
        <w:rPr>
          <w:sz w:val="24"/>
        </w:rPr>
        <w:t xml:space="preserve"> presented average values for Specific Energy Consumptions (SEC) for chilled and frozen cold stores, which are based on the volume of the stores. For chilled the average SEC was 56.1 kWh/m3.year. Assuming the store is 75% full and that the packing density for salmon is 0.5, the SEC figure can be attributed across all </w:t>
      </w:r>
      <w:r w:rsidR="00AF0567" w:rsidRPr="000A6F05">
        <w:rPr>
          <w:sz w:val="24"/>
        </w:rPr>
        <w:t>products</w:t>
      </w:r>
      <w:r w:rsidRPr="000A6F05">
        <w:rPr>
          <w:sz w:val="24"/>
        </w:rPr>
        <w:t xml:space="preserve"> in the store as 1.48 kJ/kg for the 24 hour storage period. Taking an average of the two figures gives a rounded up figure of 1.0 kJ/kg salmon.</w:t>
      </w:r>
    </w:p>
    <w:p w:rsidR="00A02FE5" w:rsidRPr="000A6F05" w:rsidRDefault="00A02FE5" w:rsidP="00A02FE5">
      <w:pPr>
        <w:pStyle w:val="8ICRText"/>
        <w:spacing w:line="360" w:lineRule="auto"/>
        <w:rPr>
          <w:sz w:val="24"/>
        </w:rPr>
      </w:pPr>
      <w:r w:rsidRPr="000A6F05">
        <w:rPr>
          <w:i/>
          <w:sz w:val="24"/>
        </w:rPr>
        <w:t xml:space="preserve">For superchilled salmon, </w:t>
      </w:r>
      <w:r w:rsidRPr="000A6F05">
        <w:rPr>
          <w:sz w:val="24"/>
        </w:rPr>
        <w:t xml:space="preserve">the storage prior to despatch is very similar to that in the chilled chain, but temperature is kept slightly lower at -1.7°C. This results in somewhat higher heat loads on the storage room and in a slightly lower COP for the fridge plant. </w:t>
      </w:r>
      <w:r w:rsidRPr="000A6F05">
        <w:rPr>
          <w:sz w:val="24"/>
        </w:rPr>
        <w:fldChar w:fldCharType="begin"/>
      </w:r>
      <w:r w:rsidR="00403F6A" w:rsidRPr="000A6F05">
        <w:rPr>
          <w:sz w:val="24"/>
        </w:rPr>
        <w:instrText xml:space="preserve"> ADDIN EN.CITE &lt;EndNote&gt;&lt;Cite AuthorYear="1"&gt;&lt;Author&gt;Brown&lt;/Author&gt;&lt;Year&gt;2014&lt;/Year&gt;&lt;RecNum&gt;25&lt;/RecNum&gt;&lt;DisplayText&gt;Brown (2014)&lt;/DisplayText&gt;&lt;record&gt;&lt;rec-number&gt;25&lt;/rec-number&gt;&lt;foreign-keys&gt;&lt;key app="EN" db-id="0wzzzxr91fdteke2p0tp59ejvve00s0edp09"&gt;25&lt;/key&gt;&lt;/foreign-keys&gt;&lt;ref-type name="Report"&gt;27&lt;/ref-type&gt;&lt;contributors&gt;&lt;authors&gt;&lt;author&gt;Brown, T.&lt;/author&gt;&lt;/authors&gt;&lt;/contributors&gt;&lt;titles&gt;&lt;title&gt;Report on quality and energy use of proposed technologies - superchilling&lt;/title&gt;&lt;secondary-title&gt;Frisbee European Project Deliverable D.5.1.1.4&lt;/secondary-title&gt;&lt;/titles&gt;&lt;dates&gt;&lt;year&gt;2014&lt;/year&gt;&lt;/dates&gt;&lt;urls&gt;&lt;/urls&gt;&lt;/record&gt;&lt;/Cite&gt;&lt;/EndNote&gt;</w:instrText>
      </w:r>
      <w:r w:rsidRPr="000A6F05">
        <w:rPr>
          <w:sz w:val="24"/>
        </w:rPr>
        <w:fldChar w:fldCharType="separate"/>
      </w:r>
      <w:hyperlink w:anchor="_ENREF_3" w:tooltip="Brown, 2014 #25" w:history="1">
        <w:r w:rsidR="008F77AB" w:rsidRPr="000A6F05">
          <w:rPr>
            <w:noProof/>
            <w:sz w:val="24"/>
          </w:rPr>
          <w:t>Brown (2014</w:t>
        </w:r>
      </w:hyperlink>
      <w:r w:rsidR="00403F6A" w:rsidRPr="000A6F05">
        <w:rPr>
          <w:noProof/>
          <w:sz w:val="24"/>
        </w:rPr>
        <w:t>)</w:t>
      </w:r>
      <w:r w:rsidRPr="000A6F05">
        <w:rPr>
          <w:sz w:val="24"/>
        </w:rPr>
        <w:fldChar w:fldCharType="end"/>
      </w:r>
      <w:r w:rsidRPr="000A6F05">
        <w:rPr>
          <w:sz w:val="24"/>
        </w:rPr>
        <w:t xml:space="preserve"> estimated that 1.2 kJ/kg is needed for the 24 hour superchilled storage.</w:t>
      </w:r>
    </w:p>
    <w:p w:rsidR="00A02FE5" w:rsidRPr="000A6F05" w:rsidRDefault="00A02FE5" w:rsidP="00AF0567">
      <w:pPr>
        <w:pStyle w:val="7ICRSubSubSectionHeadings"/>
        <w:numPr>
          <w:ilvl w:val="0"/>
          <w:numId w:val="24"/>
        </w:numPr>
        <w:spacing w:line="360" w:lineRule="auto"/>
        <w:rPr>
          <w:sz w:val="24"/>
        </w:rPr>
      </w:pPr>
      <w:r w:rsidRPr="000A6F05">
        <w:rPr>
          <w:sz w:val="24"/>
        </w:rPr>
        <w:t>1</w:t>
      </w:r>
      <w:r w:rsidRPr="000A6F05">
        <w:rPr>
          <w:sz w:val="24"/>
          <w:vertAlign w:val="superscript"/>
        </w:rPr>
        <w:t>st</w:t>
      </w:r>
      <w:r w:rsidRPr="000A6F05">
        <w:rPr>
          <w:sz w:val="24"/>
        </w:rPr>
        <w:t xml:space="preserve"> transport by refrigerated vehicle (data from </w:t>
      </w:r>
      <w:r w:rsidRPr="000A6F05">
        <w:rPr>
          <w:sz w:val="24"/>
        </w:rPr>
        <w:fldChar w:fldCharType="begin"/>
      </w:r>
      <w:r w:rsidR="00403F6A" w:rsidRPr="000A6F05">
        <w:rPr>
          <w:sz w:val="24"/>
        </w:rPr>
        <w:instrText xml:space="preserve"> ADDIN EN.CITE &lt;EndNote&gt;&lt;Cite AuthorYear="1"&gt;&lt;Author&gt;Claussen&lt;/Author&gt;&lt;Year&gt;2011&lt;/Year&gt;&lt;RecNum&gt;7&lt;/RecNum&gt;&lt;DisplayText&gt;Claussen et al. (2011)&lt;/DisplayText&gt;&lt;record&gt;&lt;rec-number&gt;7&lt;/rec-number&gt;&lt;foreign-keys&gt;&lt;key app="EN" db-id="0wzzzxr91fdteke2p0tp59ejvve00s0edp09"&gt;7&lt;/key&gt;&lt;/foreign-keys&gt;&lt;ref-type name="Journal Article"&gt;17&lt;/ref-type&gt;&lt;contributors&gt;&lt;authors&gt;&lt;author&gt;Claussen, Ingrid C.&lt;/author&gt;&lt;author&gt;Indergård, Erlend&lt;/author&gt;&lt;author&gt;Grinde, Magnus&lt;/author&gt;&lt;/authors&gt;&lt;/contributors&gt;&lt;titles&gt;&lt;title&gt;Comparative Life Cycle Assessment (LCA) of production and transport of chilled versus superchilled haddock (Melanogrammus aeglefinus) fillets from Norway to France&lt;/title&gt;&lt;secondary-title&gt;Procedia Food Science&lt;/secondary-title&gt;&lt;/titles&gt;&lt;periodical&gt;&lt;full-title&gt;Procedia Food Science&lt;/full-title&gt;&lt;/periodical&gt;&lt;pages&gt;1091-1098&lt;/pages&gt;&lt;volume&gt;1&lt;/volume&gt;&lt;number&gt;0&lt;/number&gt;&lt;keywords&gt;&lt;keyword&gt;Chilled&lt;/keyword&gt;&lt;keyword&gt;Superchilled&lt;/keyword&gt;&lt;keyword&gt;Haddock&lt;/keyword&gt;&lt;keyword&gt;LCA&lt;/keyword&gt;&lt;keyword&gt;Environmental impact&lt;/keyword&gt;&lt;keyword&gt;Production and Transport&lt;/keyword&gt;&lt;/keywords&gt;&lt;dates&gt;&lt;year&gt;2011&lt;/year&gt;&lt;pub-dates&gt;&lt;date&gt;//&lt;/date&gt;&lt;/pub-dates&gt;&lt;/dates&gt;&lt;isbn&gt;2211-601X&lt;/isbn&gt;&lt;urls&gt;&lt;related-urls&gt;&lt;url&gt;http://www.sciencedirect.com/science/article/pii/S2211601X11001647&lt;/url&gt;&lt;/related-urls&gt;&lt;/urls&gt;&lt;electronic-resource-num&gt;http://dx.doi.org/10.1016/j.profoo.2011.09.163&lt;/electronic-resource-num&gt;&lt;/record&gt;&lt;/Cite&gt;&lt;/EndNote&gt;</w:instrText>
      </w:r>
      <w:r w:rsidRPr="000A6F05">
        <w:rPr>
          <w:sz w:val="24"/>
        </w:rPr>
        <w:fldChar w:fldCharType="separate"/>
      </w:r>
      <w:hyperlink w:anchor="_ENREF_5" w:tooltip="Claussen, 2011 #7" w:history="1">
        <w:r w:rsidR="008F77AB" w:rsidRPr="000A6F05">
          <w:rPr>
            <w:noProof/>
            <w:sz w:val="24"/>
          </w:rPr>
          <w:t>Claussen et al. (2011</w:t>
        </w:r>
      </w:hyperlink>
      <w:r w:rsidR="00403F6A" w:rsidRPr="000A6F05">
        <w:rPr>
          <w:noProof/>
          <w:sz w:val="24"/>
        </w:rPr>
        <w:t>)</w:t>
      </w:r>
      <w:r w:rsidRPr="000A6F05">
        <w:rPr>
          <w:sz w:val="24"/>
        </w:rPr>
        <w:fldChar w:fldCharType="end"/>
      </w:r>
      <w:r w:rsidRPr="000A6F05">
        <w:rPr>
          <w:sz w:val="24"/>
        </w:rPr>
        <w:t xml:space="preserve"> and </w:t>
      </w:r>
      <w:r w:rsidRPr="000A6F05">
        <w:rPr>
          <w:sz w:val="24"/>
        </w:rPr>
        <w:fldChar w:fldCharType="begin"/>
      </w:r>
      <w:r w:rsidR="00403F6A" w:rsidRPr="000A6F05">
        <w:rPr>
          <w:sz w:val="24"/>
        </w:rPr>
        <w:instrText xml:space="preserve"> ADDIN EN.CITE &lt;EndNote&gt;&lt;Cite AuthorYear="1"&gt;&lt;Author&gt;Tassou&lt;/Author&gt;&lt;Year&gt;2007&lt;/Year&gt;&lt;RecNum&gt;29&lt;/RecNum&gt;&lt;DisplayText&gt;Tassou et al. (2007)&lt;/DisplayText&gt;&lt;record&gt;&lt;rec-number&gt;29&lt;/rec-number&gt;&lt;foreign-keys&gt;&lt;key app="EN" db-id="0wzzzxr91fdteke2p0tp59ejvve00s0edp09"&gt;29&lt;/key&gt;&lt;/foreign-keys&gt;&lt;ref-type name="Report"&gt;27&lt;/ref-type&gt;&lt;contributors&gt;&lt;authors&gt;&lt;author&gt;Tassou, S.A.&lt;/author&gt;&lt;author&gt;De-Lille, G.&lt;/author&gt;&lt;author&gt;Lewis, J.&lt;/author&gt;&lt;/authors&gt;&lt;/contributors&gt;&lt;titles&gt;&lt;title&gt;Food trasport refrigeration&lt;/title&gt;&lt;secondary-title&gt;part of Defra LINK project report, available online at http://www.grimsby.ac.uk/documents/defra/trns-refrigeenergy.pdf, accessed March 2014&lt;/secondary-title&gt;&lt;/titles&gt;&lt;dates&gt;&lt;year&gt;2007&lt;/year&gt;&lt;/dates&gt;&lt;urls&gt;&lt;/urls&gt;&lt;/record&gt;&lt;/Cite&gt;&lt;/EndNote&gt;</w:instrText>
      </w:r>
      <w:r w:rsidRPr="000A6F05">
        <w:rPr>
          <w:sz w:val="24"/>
        </w:rPr>
        <w:fldChar w:fldCharType="separate"/>
      </w:r>
      <w:hyperlink w:anchor="_ENREF_21" w:tooltip="Tassou, 2007 #29" w:history="1">
        <w:r w:rsidR="008F77AB" w:rsidRPr="000A6F05">
          <w:rPr>
            <w:noProof/>
            <w:sz w:val="24"/>
          </w:rPr>
          <w:t>Tassou et al. (2007</w:t>
        </w:r>
      </w:hyperlink>
      <w:r w:rsidR="00403F6A" w:rsidRPr="000A6F05">
        <w:rPr>
          <w:noProof/>
          <w:sz w:val="24"/>
        </w:rPr>
        <w:t>)</w:t>
      </w:r>
      <w:r w:rsidRPr="000A6F05">
        <w:rPr>
          <w:sz w:val="24"/>
        </w:rPr>
        <w:fldChar w:fldCharType="end"/>
      </w:r>
      <w:r w:rsidRPr="000A6F05">
        <w:rPr>
          <w:sz w:val="24"/>
        </w:rPr>
        <w:t>)</w:t>
      </w:r>
    </w:p>
    <w:p w:rsidR="00A02FE5" w:rsidRPr="000A6F05" w:rsidRDefault="00A02FE5" w:rsidP="00A02FE5">
      <w:pPr>
        <w:pStyle w:val="8ICRText"/>
        <w:spacing w:line="360" w:lineRule="auto"/>
        <w:rPr>
          <w:sz w:val="24"/>
        </w:rPr>
      </w:pPr>
      <w:r w:rsidRPr="000A6F05">
        <w:rPr>
          <w:sz w:val="24"/>
        </w:rPr>
        <w:t>After leaving the producer, the salmon is transported by lorry for 36 h. The salmon is ma</w:t>
      </w:r>
      <w:r w:rsidR="00AF0567" w:rsidRPr="000A6F05">
        <w:rPr>
          <w:sz w:val="24"/>
        </w:rPr>
        <w:t>intained at +2°C (chilled) or -1.7</w:t>
      </w:r>
      <w:r w:rsidRPr="000A6F05">
        <w:rPr>
          <w:sz w:val="24"/>
        </w:rPr>
        <w:t>°C (superchilled) in the vehicle. The SimaPro background process ‘Operation, lorry 28t, full/CH S’ was used</w:t>
      </w:r>
      <w:r w:rsidR="00E00D58" w:rsidRPr="000A6F05">
        <w:rPr>
          <w:sz w:val="24"/>
        </w:rPr>
        <w:t>. This process</w:t>
      </w:r>
      <w:r w:rsidRPr="000A6F05">
        <w:rPr>
          <w:sz w:val="24"/>
        </w:rPr>
        <w:t xml:space="preserve"> </w:t>
      </w:r>
      <w:r w:rsidR="00E00D58" w:rsidRPr="000A6F05">
        <w:rPr>
          <w:sz w:val="24"/>
        </w:rPr>
        <w:t xml:space="preserve">takes into account </w:t>
      </w:r>
      <w:r w:rsidRPr="000A6F05">
        <w:rPr>
          <w:sz w:val="24"/>
        </w:rPr>
        <w:t>the addit</w:t>
      </w:r>
      <w:r w:rsidR="00E00D58" w:rsidRPr="000A6F05">
        <w:rPr>
          <w:sz w:val="24"/>
        </w:rPr>
        <w:t>ional diesel required (kg/h) and exhaust gases emitted due to refrigeration</w:t>
      </w:r>
      <w:r w:rsidRPr="000A6F05">
        <w:rPr>
          <w:sz w:val="24"/>
        </w:rPr>
        <w:t xml:space="preserve">. </w:t>
      </w:r>
    </w:p>
    <w:p w:rsidR="00A02FE5" w:rsidRPr="000A6F05" w:rsidRDefault="00A02FE5" w:rsidP="00A02FE5">
      <w:pPr>
        <w:pStyle w:val="8ICRText"/>
        <w:spacing w:line="360" w:lineRule="auto"/>
        <w:rPr>
          <w:sz w:val="24"/>
        </w:rPr>
      </w:pPr>
      <w:r w:rsidRPr="000A6F05">
        <w:rPr>
          <w:i/>
          <w:sz w:val="24"/>
        </w:rPr>
        <w:t>For chilled salmon:</w:t>
      </w:r>
      <w:r w:rsidRPr="000A6F05">
        <w:rPr>
          <w:sz w:val="24"/>
        </w:rPr>
        <w:t xml:space="preserve"> </w:t>
      </w:r>
    </w:p>
    <w:p w:rsidR="00A02FE5" w:rsidRPr="000A6F05" w:rsidRDefault="00A02FE5" w:rsidP="00A02FE5">
      <w:pPr>
        <w:pStyle w:val="8ICRText"/>
        <w:numPr>
          <w:ilvl w:val="1"/>
          <w:numId w:val="17"/>
        </w:numPr>
        <w:spacing w:line="360" w:lineRule="auto"/>
        <w:ind w:left="1134" w:hanging="283"/>
        <w:rPr>
          <w:sz w:val="24"/>
        </w:rPr>
      </w:pPr>
      <w:r w:rsidRPr="000A6F05">
        <w:rPr>
          <w:sz w:val="24"/>
        </w:rPr>
        <w:t xml:space="preserve">Each lorry can transport 18 000 kg chilled salmon. So the transport time </w:t>
      </w:r>
      <w:r w:rsidR="002B10C2" w:rsidRPr="000A6F05">
        <w:rPr>
          <w:sz w:val="24"/>
        </w:rPr>
        <w:t>at</w:t>
      </w:r>
      <w:r w:rsidRPr="000A6F05">
        <w:rPr>
          <w:sz w:val="24"/>
        </w:rPr>
        <w:t xml:space="preserve">tributes for 1 kg salmon is: 36 h / 18 000 kg = 0.002 h (or 7.2 s) / kg salmon. </w:t>
      </w:r>
    </w:p>
    <w:p w:rsidR="00A02FE5" w:rsidRPr="000A6F05" w:rsidRDefault="00A02FE5" w:rsidP="00A02FE5">
      <w:pPr>
        <w:pStyle w:val="8ICRText"/>
        <w:numPr>
          <w:ilvl w:val="1"/>
          <w:numId w:val="17"/>
        </w:numPr>
        <w:spacing w:line="360" w:lineRule="auto"/>
        <w:ind w:left="1134" w:hanging="283"/>
        <w:rPr>
          <w:sz w:val="24"/>
        </w:rPr>
      </w:pPr>
      <w:r w:rsidRPr="000A6F05">
        <w:rPr>
          <w:sz w:val="24"/>
        </w:rPr>
        <w:fldChar w:fldCharType="begin"/>
      </w:r>
      <w:r w:rsidR="00403F6A" w:rsidRPr="000A6F05">
        <w:rPr>
          <w:sz w:val="24"/>
        </w:rPr>
        <w:instrText xml:space="preserve"> ADDIN EN.CITE &lt;EndNote&gt;&lt;Cite AuthorYear="1"&gt;&lt;Author&gt;Tassou&lt;/Author&gt;&lt;Year&gt;2007&lt;/Year&gt;&lt;RecNum&gt;29&lt;/RecNum&gt;&lt;DisplayText&gt;Tassou et al. (2007)&lt;/DisplayText&gt;&lt;record&gt;&lt;rec-number&gt;29&lt;/rec-number&gt;&lt;foreign-keys&gt;&lt;key app="EN" db-id="0wzzzxr91fdteke2p0tp59ejvve00s0edp09"&gt;29&lt;/key&gt;&lt;/foreign-keys&gt;&lt;ref-type name="Report"&gt;27&lt;/ref-type&gt;&lt;contributors&gt;&lt;authors&gt;&lt;author&gt;Tassou, S.A.&lt;/author&gt;&lt;author&gt;De-Lille, G.&lt;/author&gt;&lt;author&gt;Lewis, J.&lt;/author&gt;&lt;/authors&gt;&lt;/contributors&gt;&lt;titles&gt;&lt;title&gt;Food trasport refrigeration&lt;/title&gt;&lt;secondary-title&gt;part of Defra LINK project report, available online at http://www.grimsby.ac.uk/documents/defra/trns-refrigeenergy.pdf, accessed March 2014&lt;/secondary-title&gt;&lt;/titles&gt;&lt;dates&gt;&lt;year&gt;2007&lt;/year&gt;&lt;/dates&gt;&lt;urls&gt;&lt;/urls&gt;&lt;/record&gt;&lt;/Cite&gt;&lt;/EndNote&gt;</w:instrText>
      </w:r>
      <w:r w:rsidRPr="000A6F05">
        <w:rPr>
          <w:sz w:val="24"/>
        </w:rPr>
        <w:fldChar w:fldCharType="separate"/>
      </w:r>
      <w:hyperlink w:anchor="_ENREF_21" w:tooltip="Tassou, 2007 #29" w:history="1">
        <w:r w:rsidR="008F77AB" w:rsidRPr="000A6F05">
          <w:rPr>
            <w:noProof/>
            <w:sz w:val="24"/>
          </w:rPr>
          <w:t>Tassou et al. (2007</w:t>
        </w:r>
      </w:hyperlink>
      <w:r w:rsidR="00403F6A" w:rsidRPr="000A6F05">
        <w:rPr>
          <w:noProof/>
          <w:sz w:val="24"/>
        </w:rPr>
        <w:t>)</w:t>
      </w:r>
      <w:r w:rsidRPr="000A6F05">
        <w:rPr>
          <w:sz w:val="24"/>
        </w:rPr>
        <w:fldChar w:fldCharType="end"/>
      </w:r>
      <w:r w:rsidRPr="000A6F05">
        <w:rPr>
          <w:sz w:val="24"/>
        </w:rPr>
        <w:t xml:space="preserve"> suggested a part-load diesel use of 0.5 to 1.0 litres per hour, as the diesel density is 0.832 kg/l, the average of these figures would be 0.62 kg/h. </w:t>
      </w:r>
    </w:p>
    <w:p w:rsidR="00A02FE5" w:rsidRPr="000A6F05" w:rsidRDefault="00A02FE5" w:rsidP="00A02FE5">
      <w:pPr>
        <w:pStyle w:val="8ICRText"/>
        <w:spacing w:line="360" w:lineRule="auto"/>
        <w:rPr>
          <w:sz w:val="24"/>
        </w:rPr>
      </w:pPr>
      <w:r w:rsidRPr="000A6F05">
        <w:rPr>
          <w:i/>
          <w:sz w:val="24"/>
        </w:rPr>
        <w:lastRenderedPageBreak/>
        <w:t>For superchilled salmon:</w:t>
      </w:r>
      <w:r w:rsidRPr="000A6F05">
        <w:rPr>
          <w:sz w:val="24"/>
        </w:rPr>
        <w:t xml:space="preserve"> </w:t>
      </w:r>
    </w:p>
    <w:p w:rsidR="00A02FE5" w:rsidRPr="000A6F05" w:rsidRDefault="00A02FE5" w:rsidP="00A02FE5">
      <w:pPr>
        <w:pStyle w:val="8ICRText"/>
        <w:numPr>
          <w:ilvl w:val="1"/>
          <w:numId w:val="17"/>
        </w:numPr>
        <w:spacing w:line="360" w:lineRule="auto"/>
        <w:ind w:left="1134" w:hanging="283"/>
        <w:rPr>
          <w:sz w:val="24"/>
        </w:rPr>
      </w:pPr>
      <w:r w:rsidRPr="000A6F05">
        <w:rPr>
          <w:sz w:val="24"/>
        </w:rPr>
        <w:t xml:space="preserve">Each lorry can transport 23 400 kg superchilled salmon (the quantity is bigger than in chilled process because there is no ice to be transported). The transport time </w:t>
      </w:r>
      <w:r w:rsidR="002B10C2" w:rsidRPr="000A6F05">
        <w:rPr>
          <w:sz w:val="24"/>
        </w:rPr>
        <w:t xml:space="preserve">attributes </w:t>
      </w:r>
      <w:r w:rsidRPr="000A6F05">
        <w:rPr>
          <w:sz w:val="24"/>
        </w:rPr>
        <w:t xml:space="preserve">for 1 kg salmon is: 36 h / 23 400 kg = 0.0015 h (or 5.5 s) / kg salmon. </w:t>
      </w:r>
    </w:p>
    <w:p w:rsidR="00A02FE5" w:rsidRPr="000A6F05" w:rsidRDefault="00A02FE5" w:rsidP="00A02FE5">
      <w:pPr>
        <w:pStyle w:val="8ICRText"/>
        <w:numPr>
          <w:ilvl w:val="1"/>
          <w:numId w:val="17"/>
        </w:numPr>
        <w:spacing w:line="360" w:lineRule="auto"/>
        <w:ind w:left="1134" w:hanging="283"/>
        <w:rPr>
          <w:sz w:val="24"/>
        </w:rPr>
      </w:pPr>
      <w:r w:rsidRPr="000A6F05">
        <w:rPr>
          <w:sz w:val="24"/>
        </w:rPr>
        <w:t xml:space="preserve">The cold production is provided by a diesel machine which consumes a little more than that of chilled salmon:   0.64 kg/h. </w:t>
      </w:r>
    </w:p>
    <w:p w:rsidR="00A02FE5" w:rsidRPr="000A6F05" w:rsidRDefault="00A02FE5" w:rsidP="00AF0567">
      <w:pPr>
        <w:pStyle w:val="7ICRSubSubSectionHeadings"/>
        <w:numPr>
          <w:ilvl w:val="0"/>
          <w:numId w:val="24"/>
        </w:numPr>
        <w:spacing w:line="360" w:lineRule="auto"/>
        <w:rPr>
          <w:sz w:val="24"/>
        </w:rPr>
      </w:pPr>
      <w:r w:rsidRPr="000A6F05">
        <w:rPr>
          <w:sz w:val="24"/>
        </w:rPr>
        <w:t xml:space="preserve">Distribution centre storage </w:t>
      </w:r>
    </w:p>
    <w:p w:rsidR="00A02FE5" w:rsidRPr="000A6F05" w:rsidRDefault="00A02FE5" w:rsidP="00A02FE5">
      <w:pPr>
        <w:pStyle w:val="8ICRText"/>
        <w:spacing w:line="360" w:lineRule="auto"/>
        <w:rPr>
          <w:sz w:val="24"/>
        </w:rPr>
      </w:pPr>
      <w:r w:rsidRPr="000A6F05">
        <w:rPr>
          <w:sz w:val="24"/>
        </w:rPr>
        <w:t xml:space="preserve">The salmon is stored for 12h in the distribution centre. Although there may be scale factors, it was assumed for this comparative study that distribution centre cold stores are similar to the storage facilities in the production stage, so that for a duration of 12 hours, the energy use would be approximately 0.5 kJ/kg </w:t>
      </w:r>
      <w:r w:rsidRPr="000A6F05">
        <w:rPr>
          <w:i/>
          <w:sz w:val="24"/>
        </w:rPr>
        <w:t>for chilled salmon</w:t>
      </w:r>
      <w:r w:rsidRPr="000A6F05">
        <w:rPr>
          <w:sz w:val="24"/>
        </w:rPr>
        <w:t xml:space="preserve">, and 0.6 kJ/kg </w:t>
      </w:r>
      <w:r w:rsidRPr="000A6F05">
        <w:rPr>
          <w:i/>
          <w:sz w:val="24"/>
        </w:rPr>
        <w:t>for superchilled salmon</w:t>
      </w:r>
      <w:r w:rsidRPr="000A6F05">
        <w:rPr>
          <w:sz w:val="24"/>
        </w:rPr>
        <w:t>.</w:t>
      </w:r>
    </w:p>
    <w:p w:rsidR="00A02FE5" w:rsidRPr="000A6F05" w:rsidRDefault="00A02FE5" w:rsidP="00A02FE5">
      <w:pPr>
        <w:pStyle w:val="8ICRText"/>
        <w:spacing w:line="360" w:lineRule="auto"/>
        <w:rPr>
          <w:i/>
          <w:sz w:val="24"/>
          <w:u w:val="single"/>
        </w:rPr>
      </w:pPr>
    </w:p>
    <w:p w:rsidR="00A02FE5" w:rsidRPr="000A6F05" w:rsidRDefault="00A02FE5" w:rsidP="00A02FE5">
      <w:pPr>
        <w:pStyle w:val="8ICRText"/>
        <w:spacing w:line="360" w:lineRule="auto"/>
        <w:rPr>
          <w:i/>
          <w:sz w:val="24"/>
        </w:rPr>
      </w:pPr>
      <w:r w:rsidRPr="000A6F05">
        <w:rPr>
          <w:i/>
          <w:sz w:val="24"/>
          <w:u w:val="single"/>
        </w:rPr>
        <w:t>Note:</w:t>
      </w:r>
      <w:r w:rsidRPr="000A6F05">
        <w:rPr>
          <w:i/>
          <w:sz w:val="24"/>
        </w:rPr>
        <w:t xml:space="preserve"> After the distribution centre storage step, the superchilled salmon is assumed to have the same treatment as the chilled one.</w:t>
      </w:r>
    </w:p>
    <w:p w:rsidR="00A02FE5" w:rsidRPr="000A6F05" w:rsidRDefault="00A02FE5" w:rsidP="00AF0567">
      <w:pPr>
        <w:pStyle w:val="7ICRSubSubSectionHeadings"/>
        <w:numPr>
          <w:ilvl w:val="0"/>
          <w:numId w:val="24"/>
        </w:numPr>
        <w:spacing w:line="360" w:lineRule="auto"/>
        <w:rPr>
          <w:sz w:val="24"/>
        </w:rPr>
      </w:pPr>
      <w:r w:rsidRPr="000A6F05">
        <w:rPr>
          <w:sz w:val="24"/>
        </w:rPr>
        <w:t>2</w:t>
      </w:r>
      <w:r w:rsidRPr="000A6F05">
        <w:rPr>
          <w:sz w:val="24"/>
          <w:vertAlign w:val="superscript"/>
        </w:rPr>
        <w:t>nd</w:t>
      </w:r>
      <w:r w:rsidRPr="000A6F05">
        <w:rPr>
          <w:sz w:val="24"/>
        </w:rPr>
        <w:t xml:space="preserve"> transport by refrigerated vehicle</w:t>
      </w:r>
    </w:p>
    <w:p w:rsidR="00A02FE5" w:rsidRPr="000A6F05" w:rsidRDefault="00A02FE5" w:rsidP="00A02FE5">
      <w:pPr>
        <w:pStyle w:val="8ICRText"/>
        <w:spacing w:line="360" w:lineRule="auto"/>
        <w:rPr>
          <w:sz w:val="24"/>
        </w:rPr>
      </w:pPr>
      <w:r w:rsidRPr="000A6F05">
        <w:rPr>
          <w:sz w:val="24"/>
        </w:rPr>
        <w:t>After leaving the distribution centre storage, the salmon is trans</w:t>
      </w:r>
      <w:r w:rsidR="00AF0567" w:rsidRPr="000A6F05">
        <w:rPr>
          <w:sz w:val="24"/>
        </w:rPr>
        <w:t>ported by lorry for 3 h at +2°C</w:t>
      </w:r>
      <w:r w:rsidRPr="000A6F05">
        <w:rPr>
          <w:sz w:val="24"/>
        </w:rPr>
        <w:t>:</w:t>
      </w:r>
    </w:p>
    <w:p w:rsidR="00A02FE5" w:rsidRPr="000A6F05" w:rsidRDefault="00A02FE5" w:rsidP="00A02FE5">
      <w:pPr>
        <w:pStyle w:val="8ICRText"/>
        <w:numPr>
          <w:ilvl w:val="1"/>
          <w:numId w:val="17"/>
        </w:numPr>
        <w:spacing w:line="360" w:lineRule="auto"/>
        <w:ind w:left="1134" w:hanging="283"/>
        <w:rPr>
          <w:sz w:val="24"/>
        </w:rPr>
      </w:pPr>
      <w:r w:rsidRPr="000A6F05">
        <w:rPr>
          <w:sz w:val="24"/>
        </w:rPr>
        <w:t xml:space="preserve">Each lorry can transport 18 000 kg chilled salmon. So the transport time </w:t>
      </w:r>
      <w:r w:rsidR="002B10C2" w:rsidRPr="000A6F05">
        <w:rPr>
          <w:sz w:val="24"/>
        </w:rPr>
        <w:t xml:space="preserve">attributes </w:t>
      </w:r>
      <w:r w:rsidRPr="000A6F05">
        <w:rPr>
          <w:sz w:val="24"/>
        </w:rPr>
        <w:t xml:space="preserve">for 1 kg salmon is: 3 h / 18 000 kg = 0.0002 h (or 0.6 s) / kg salmon. </w:t>
      </w:r>
    </w:p>
    <w:p w:rsidR="000562E1" w:rsidRPr="000A6F05" w:rsidRDefault="00A02FE5" w:rsidP="0094240C">
      <w:pPr>
        <w:pStyle w:val="8ICRText"/>
        <w:numPr>
          <w:ilvl w:val="1"/>
          <w:numId w:val="17"/>
        </w:numPr>
        <w:spacing w:line="360" w:lineRule="auto"/>
        <w:ind w:left="1134" w:hanging="283"/>
        <w:rPr>
          <w:sz w:val="24"/>
        </w:rPr>
      </w:pPr>
      <w:r w:rsidRPr="000A6F05">
        <w:rPr>
          <w:sz w:val="24"/>
        </w:rPr>
        <w:t xml:space="preserve">The cold production is provided by a diesel machine which consumes 0.62 kg/h </w:t>
      </w:r>
    </w:p>
    <w:p w:rsidR="00A02FE5" w:rsidRPr="000A6F05" w:rsidRDefault="00A02FE5" w:rsidP="00AF0567">
      <w:pPr>
        <w:pStyle w:val="7ICRSubSubSectionHeadings"/>
        <w:numPr>
          <w:ilvl w:val="0"/>
          <w:numId w:val="24"/>
        </w:numPr>
        <w:spacing w:line="360" w:lineRule="auto"/>
        <w:rPr>
          <w:sz w:val="24"/>
        </w:rPr>
      </w:pPr>
      <w:r w:rsidRPr="000A6F05">
        <w:rPr>
          <w:sz w:val="24"/>
        </w:rPr>
        <w:t>Display cabinet</w:t>
      </w:r>
    </w:p>
    <w:p w:rsidR="00A02FE5" w:rsidRPr="000A6F05" w:rsidRDefault="00A02FE5" w:rsidP="00A02FE5">
      <w:pPr>
        <w:pStyle w:val="8ICRText"/>
        <w:spacing w:line="360" w:lineRule="auto"/>
        <w:rPr>
          <w:sz w:val="24"/>
        </w:rPr>
      </w:pPr>
      <w:r w:rsidRPr="000A6F05">
        <w:rPr>
          <w:sz w:val="24"/>
        </w:rPr>
        <w:t xml:space="preserve">A method for estimating typical retail display cabinet energy use was developed by </w:t>
      </w:r>
      <w:r w:rsidRPr="000A6F05">
        <w:rPr>
          <w:sz w:val="24"/>
        </w:rPr>
        <w:fldChar w:fldCharType="begin"/>
      </w:r>
      <w:r w:rsidR="00403F6A" w:rsidRPr="000A6F05">
        <w:rPr>
          <w:sz w:val="24"/>
        </w:rPr>
        <w:instrText xml:space="preserve"> ADDIN EN.CITE &lt;EndNote&gt;&lt;Cite AuthorYear="1"&gt;&lt;Author&gt;Brown&lt;/Author&gt;&lt;Year&gt;2014&lt;/Year&gt;&lt;RecNum&gt;25&lt;/RecNum&gt;&lt;DisplayText&gt;Brown (2014)&lt;/DisplayText&gt;&lt;record&gt;&lt;rec-number&gt;25&lt;/rec-number&gt;&lt;foreign-keys&gt;&lt;key app="EN" db-id="0wzzzxr91fdteke2p0tp59ejvve00s0edp09"&gt;25&lt;/key&gt;&lt;/foreign-keys&gt;&lt;ref-type name="Report"&gt;27&lt;/ref-type&gt;&lt;contributors&gt;&lt;authors&gt;&lt;author&gt;Brown, T.&lt;/author&gt;&lt;/authors&gt;&lt;/contributors&gt;&lt;titles&gt;&lt;title&gt;Report on quality and energy use of proposed technologies - superchilling&lt;/title&gt;&lt;secondary-title&gt;Frisbee European Project Deliverable D.5.1.1.4&lt;/secondary-title&gt;&lt;/titles&gt;&lt;dates&gt;&lt;year&gt;2014&lt;/year&gt;&lt;/dates&gt;&lt;urls&gt;&lt;/urls&gt;&lt;/record&gt;&lt;/Cite&gt;&lt;/EndNote&gt;</w:instrText>
      </w:r>
      <w:r w:rsidRPr="000A6F05">
        <w:rPr>
          <w:sz w:val="24"/>
        </w:rPr>
        <w:fldChar w:fldCharType="separate"/>
      </w:r>
      <w:hyperlink w:anchor="_ENREF_3" w:tooltip="Brown, 2014 #25" w:history="1">
        <w:r w:rsidR="008F77AB" w:rsidRPr="000A6F05">
          <w:rPr>
            <w:noProof/>
            <w:sz w:val="24"/>
          </w:rPr>
          <w:t>Brown (2014</w:t>
        </w:r>
      </w:hyperlink>
      <w:r w:rsidR="00403F6A" w:rsidRPr="000A6F05">
        <w:rPr>
          <w:noProof/>
          <w:sz w:val="24"/>
        </w:rPr>
        <w:t>)</w:t>
      </w:r>
      <w:r w:rsidRPr="000A6F05">
        <w:rPr>
          <w:sz w:val="24"/>
        </w:rPr>
        <w:fldChar w:fldCharType="end"/>
      </w:r>
      <w:r w:rsidRPr="000A6F05">
        <w:rPr>
          <w:sz w:val="24"/>
        </w:rPr>
        <w:t xml:space="preserve"> based on published Eurovent test data for various cabinet types and different temperature classifications. The energy values at these different temperatures were regressed to give a value at 5°C and a typical open-fronted multi-deck cabinet was selected for chilled foods. This type had a daily energy consumption of 10.4 kWh/m</w:t>
      </w:r>
      <w:r w:rsidRPr="000A6F05">
        <w:rPr>
          <w:sz w:val="24"/>
          <w:vertAlign w:val="superscript"/>
        </w:rPr>
        <w:t>2</w:t>
      </w:r>
      <w:r w:rsidRPr="000A6F05">
        <w:rPr>
          <w:sz w:val="24"/>
        </w:rPr>
        <w:t>, with a total display area of 5m</w:t>
      </w:r>
      <w:r w:rsidRPr="000A6F05">
        <w:rPr>
          <w:sz w:val="24"/>
          <w:vertAlign w:val="superscript"/>
        </w:rPr>
        <w:t>2</w:t>
      </w:r>
      <w:r w:rsidRPr="000A6F05">
        <w:rPr>
          <w:sz w:val="24"/>
        </w:rPr>
        <w:t xml:space="preserve"> and a gross volume of 5m</w:t>
      </w:r>
      <w:r w:rsidRPr="000A6F05">
        <w:rPr>
          <w:sz w:val="24"/>
          <w:vertAlign w:val="superscript"/>
        </w:rPr>
        <w:t>3</w:t>
      </w:r>
      <w:r w:rsidRPr="000A6F05">
        <w:rPr>
          <w:sz w:val="24"/>
        </w:rPr>
        <w:t xml:space="preserve">. It was assumed that 65% of the gross volume was usable (based on measurements of several common models) and that 50% of the remaining net volume would actually be stocked with food. Using a packed salmon density of 500kg/m3, this results in each cabinet holding 812.5 kg. The duration of display specified in the reference </w:t>
      </w:r>
      <w:r w:rsidRPr="000A6F05">
        <w:rPr>
          <w:sz w:val="24"/>
        </w:rPr>
        <w:lastRenderedPageBreak/>
        <w:t>cold chain is 96 hours, during which energy consumption would be 208 kWh. This is equivalent to 921.6 kJ/kg.</w:t>
      </w:r>
    </w:p>
    <w:p w:rsidR="00A02FE5" w:rsidRPr="000A6F05" w:rsidRDefault="00A02FE5" w:rsidP="00AF0567">
      <w:pPr>
        <w:pStyle w:val="7ICRSubSubSectionHeadings"/>
        <w:numPr>
          <w:ilvl w:val="0"/>
          <w:numId w:val="24"/>
        </w:numPr>
        <w:spacing w:line="360" w:lineRule="auto"/>
        <w:rPr>
          <w:sz w:val="24"/>
        </w:rPr>
      </w:pPr>
      <w:r w:rsidRPr="000A6F05">
        <w:rPr>
          <w:sz w:val="24"/>
        </w:rPr>
        <w:t>Transport by consumer</w:t>
      </w:r>
    </w:p>
    <w:p w:rsidR="00A02FE5" w:rsidRPr="000A6F05" w:rsidRDefault="00A02FE5" w:rsidP="00A02FE5">
      <w:pPr>
        <w:pStyle w:val="8ICRText"/>
        <w:spacing w:line="360" w:lineRule="auto"/>
        <w:rPr>
          <w:sz w:val="24"/>
        </w:rPr>
      </w:pPr>
      <w:r w:rsidRPr="000A6F05">
        <w:rPr>
          <w:sz w:val="24"/>
        </w:rPr>
        <w:t>Representing the journey from the supermarket to the consumer’s home, this block is unrefrigerated and therefore has no energy impact form a cold chain energy perspective. However, it would result in varying degrees of warming which would then have to be addressed by the domestic refrigerator.</w:t>
      </w:r>
    </w:p>
    <w:p w:rsidR="00A02FE5" w:rsidRPr="000A6F05" w:rsidRDefault="00A02FE5" w:rsidP="00AF0567">
      <w:pPr>
        <w:pStyle w:val="7ICRSubSubSectionHeadings"/>
        <w:numPr>
          <w:ilvl w:val="0"/>
          <w:numId w:val="24"/>
        </w:numPr>
        <w:spacing w:line="360" w:lineRule="auto"/>
        <w:rPr>
          <w:sz w:val="24"/>
        </w:rPr>
      </w:pPr>
      <w:r w:rsidRPr="000A6F05">
        <w:rPr>
          <w:sz w:val="24"/>
        </w:rPr>
        <w:t>Domestic fridge</w:t>
      </w:r>
    </w:p>
    <w:p w:rsidR="00A02FE5" w:rsidRPr="000A6F05" w:rsidRDefault="00A02FE5" w:rsidP="00A02FE5">
      <w:pPr>
        <w:pStyle w:val="8ICRText"/>
        <w:spacing w:line="360" w:lineRule="auto"/>
        <w:rPr>
          <w:sz w:val="24"/>
        </w:rPr>
      </w:pPr>
      <w:r w:rsidRPr="000A6F05">
        <w:rPr>
          <w:sz w:val="24"/>
        </w:rPr>
        <w:t>A method for estimating typical domestic refrigerator energy use based on the thresholds for Energy Efficiency Indices used in the Energy Labelling Scheme (see</w:t>
      </w:r>
      <w:r w:rsidR="0033355F" w:rsidRPr="000A6F05">
        <w:rPr>
          <w:sz w:val="24"/>
        </w:rPr>
        <w:t xml:space="preserve"> EU Directive 2010/30/EU and Commission Delegated Regulation Number 1060/2010</w:t>
      </w:r>
      <w:r w:rsidR="0033355F" w:rsidRPr="000A6F05">
        <w:rPr>
          <w:sz w:val="24"/>
        </w:rPr>
        <w:fldChar w:fldCharType="begin"/>
      </w:r>
      <w:r w:rsidR="0033355F" w:rsidRPr="000A6F05">
        <w:rPr>
          <w:sz w:val="24"/>
        </w:rPr>
        <w:instrText xml:space="preserve"> ADDIN EN.CITE &lt;EndNote&gt;&lt;Cite ExcludeAuth="1" ExcludeYear="1"&gt;&lt;RecNum&gt;45&lt;/RecNum&gt;&lt;record&gt;&lt;rec-number&gt;45&lt;/rec-number&gt;&lt;foreign-keys&gt;&lt;key app="EN" db-id="0wzzzxr91fdteke2p0tp59ejvve00s0edp09"&gt;45&lt;/key&gt;&lt;/foreign-keys&gt;&lt;ref-type name="Web Page"&gt;12&lt;/ref-type&gt;&lt;contributors&gt;&lt;/contributors&gt;&lt;titles&gt;&lt;title&gt;EU Directive 2010/30/EU and Commission Delegated Regulation Number 1060/2010; http://eur-lex.europa.eu/legal-content/EN/TXT/?uri=CELEX:32010R1060&lt;/title&gt;&lt;/titles&gt;&lt;dates&gt;&lt;/dates&gt;&lt;urls&gt;&lt;/urls&gt;&lt;/record&gt;&lt;/Cite&gt;&lt;/EndNote&gt;</w:instrText>
      </w:r>
      <w:r w:rsidR="0033355F" w:rsidRPr="000A6F05">
        <w:rPr>
          <w:sz w:val="24"/>
        </w:rPr>
        <w:fldChar w:fldCharType="end"/>
      </w:r>
      <w:r w:rsidRPr="000A6F05">
        <w:rPr>
          <w:sz w:val="24"/>
        </w:rPr>
        <w:t xml:space="preserve">) was developed by </w:t>
      </w:r>
      <w:r w:rsidRPr="000A6F05">
        <w:rPr>
          <w:sz w:val="24"/>
        </w:rPr>
        <w:fldChar w:fldCharType="begin"/>
      </w:r>
      <w:r w:rsidR="00403F6A" w:rsidRPr="000A6F05">
        <w:rPr>
          <w:sz w:val="24"/>
        </w:rPr>
        <w:instrText xml:space="preserve"> ADDIN EN.CITE &lt;EndNote&gt;&lt;Cite AuthorYear="1"&gt;&lt;Author&gt;Brown&lt;/Author&gt;&lt;Year&gt;2014&lt;/Year&gt;&lt;RecNum&gt;25&lt;/RecNum&gt;&lt;DisplayText&gt;Brown (2014)&lt;/DisplayText&gt;&lt;record&gt;&lt;rec-number&gt;25&lt;/rec-number&gt;&lt;foreign-keys&gt;&lt;key app="EN" db-id="0wzzzxr91fdteke2p0tp59ejvve00s0edp09"&gt;25&lt;/key&gt;&lt;/foreign-keys&gt;&lt;ref-type name="Report"&gt;27&lt;/ref-type&gt;&lt;contributors&gt;&lt;authors&gt;&lt;author&gt;Brown, T.&lt;/author&gt;&lt;/authors&gt;&lt;/contributors&gt;&lt;titles&gt;&lt;title&gt;Report on quality and energy use of proposed technologies - superchilling&lt;/title&gt;&lt;secondary-title&gt;Frisbee European Project Deliverable D.5.1.1.4&lt;/secondary-title&gt;&lt;/titles&gt;&lt;dates&gt;&lt;year&gt;2014&lt;/year&gt;&lt;/dates&gt;&lt;urls&gt;&lt;/urls&gt;&lt;/record&gt;&lt;/Cite&gt;&lt;/EndNote&gt;</w:instrText>
      </w:r>
      <w:r w:rsidRPr="000A6F05">
        <w:rPr>
          <w:sz w:val="24"/>
        </w:rPr>
        <w:fldChar w:fldCharType="separate"/>
      </w:r>
      <w:hyperlink w:anchor="_ENREF_3" w:tooltip="Brown, 2014 #25" w:history="1">
        <w:r w:rsidR="008F77AB" w:rsidRPr="000A6F05">
          <w:rPr>
            <w:noProof/>
            <w:sz w:val="24"/>
          </w:rPr>
          <w:t>Brown (2014</w:t>
        </w:r>
      </w:hyperlink>
      <w:r w:rsidR="00403F6A" w:rsidRPr="000A6F05">
        <w:rPr>
          <w:noProof/>
          <w:sz w:val="24"/>
        </w:rPr>
        <w:t>)</w:t>
      </w:r>
      <w:r w:rsidRPr="000A6F05">
        <w:rPr>
          <w:sz w:val="24"/>
        </w:rPr>
        <w:fldChar w:fldCharType="end"/>
      </w:r>
      <w:r w:rsidRPr="000A6F05">
        <w:rPr>
          <w:sz w:val="24"/>
        </w:rPr>
        <w:t xml:space="preserve">. A typical A+ rated domestic refrigerator with a net volume of 150 litres was chosen, which would have </w:t>
      </w:r>
      <w:r w:rsidR="00AF0567" w:rsidRPr="000A6F05">
        <w:rPr>
          <w:sz w:val="24"/>
        </w:rPr>
        <w:t>a threshold</w:t>
      </w:r>
      <w:r w:rsidRPr="000A6F05">
        <w:rPr>
          <w:sz w:val="24"/>
        </w:rPr>
        <w:t xml:space="preserve"> energy (i.e. the maximum allowed under A+) of 123.2 kWh/year. Assuming the appliance was on average 50% full, and that the packed salmon density was again 500kg/m3, and as chilled salmon is a relatively short shelf-life commodity, a domestic storage duration of 48 hours was chosen, during which 0.67kWh of energy would be used, equivalent to 64.8kJ/kg. </w:t>
      </w:r>
    </w:p>
    <w:p w:rsidR="00A02FE5" w:rsidRPr="000A6F05" w:rsidRDefault="00A02FE5" w:rsidP="00A02FE5">
      <w:pPr>
        <w:pStyle w:val="8ICRText"/>
        <w:spacing w:line="360" w:lineRule="auto"/>
        <w:rPr>
          <w:sz w:val="24"/>
        </w:rPr>
      </w:pPr>
    </w:p>
    <w:p w:rsidR="00A02FE5" w:rsidRPr="000A6F05" w:rsidRDefault="001A1E76" w:rsidP="00933651">
      <w:pPr>
        <w:pStyle w:val="7ICRSubSectionHeadings"/>
        <w:numPr>
          <w:ilvl w:val="1"/>
          <w:numId w:val="9"/>
        </w:numPr>
        <w:spacing w:line="360" w:lineRule="auto"/>
        <w:rPr>
          <w:sz w:val="24"/>
        </w:rPr>
      </w:pPr>
      <w:r w:rsidRPr="000A6F05">
        <w:rPr>
          <w:sz w:val="24"/>
        </w:rPr>
        <w:t>Making of the c</w:t>
      </w:r>
      <w:r w:rsidR="0094240C" w:rsidRPr="000A6F05">
        <w:rPr>
          <w:sz w:val="24"/>
        </w:rPr>
        <w:t xml:space="preserve">old chain </w:t>
      </w:r>
      <w:r w:rsidR="00A02FE5" w:rsidRPr="000A6F05">
        <w:rPr>
          <w:sz w:val="24"/>
        </w:rPr>
        <w:t xml:space="preserve"> </w:t>
      </w:r>
    </w:p>
    <w:p w:rsidR="00A02FE5" w:rsidRPr="000A6F05" w:rsidRDefault="00A02FE5" w:rsidP="00A02FE5">
      <w:pPr>
        <w:pStyle w:val="8ICRText"/>
        <w:spacing w:line="360" w:lineRule="auto"/>
        <w:rPr>
          <w:sz w:val="24"/>
        </w:rPr>
      </w:pPr>
      <w:r w:rsidRPr="000A6F05">
        <w:rPr>
          <w:sz w:val="24"/>
        </w:rPr>
        <w:t>The salmon cold chain was built using the collected data in LCI, its flowchart is presented in</w:t>
      </w:r>
      <w:r w:rsidR="00933651" w:rsidRPr="000A6F05">
        <w:rPr>
          <w:sz w:val="24"/>
        </w:rPr>
        <w:t xml:space="preserve"> Figure 2</w:t>
      </w:r>
      <w:r w:rsidRPr="000A6F05">
        <w:rPr>
          <w:sz w:val="24"/>
        </w:rPr>
        <w:t xml:space="preserve">: the lower step becomes one of the inputs of the higher step. In general, the chilled and superchilled cold chains use the same processes but with different quantity of materials and energy consumption. </w:t>
      </w:r>
      <w:r w:rsidR="001A1E76" w:rsidRPr="000A6F05">
        <w:rPr>
          <w:sz w:val="24"/>
        </w:rPr>
        <w:t xml:space="preserve">The </w:t>
      </w:r>
      <w:r w:rsidR="001F5626" w:rsidRPr="000A6F05">
        <w:rPr>
          <w:sz w:val="24"/>
        </w:rPr>
        <w:t>t</w:t>
      </w:r>
      <w:r w:rsidR="001A1E76" w:rsidRPr="000A6F05">
        <w:rPr>
          <w:sz w:val="24"/>
        </w:rPr>
        <w:t xml:space="preserve">able 2 presents the </w:t>
      </w:r>
      <w:r w:rsidR="001F5626" w:rsidRPr="000A6F05">
        <w:rPr>
          <w:sz w:val="24"/>
        </w:rPr>
        <w:t xml:space="preserve">comparison of material and energy inputs </w:t>
      </w:r>
      <w:r w:rsidR="00DF4916" w:rsidRPr="000A6F05">
        <w:rPr>
          <w:sz w:val="24"/>
        </w:rPr>
        <w:t xml:space="preserve">(for 1 kg salmon) </w:t>
      </w:r>
      <w:r w:rsidR="001F5626" w:rsidRPr="000A6F05">
        <w:rPr>
          <w:sz w:val="24"/>
        </w:rPr>
        <w:t>between chilled and superchilled cold chain</w:t>
      </w:r>
      <w:r w:rsidR="00DF4916" w:rsidRPr="000A6F05">
        <w:rPr>
          <w:sz w:val="24"/>
        </w:rPr>
        <w:t xml:space="preserve">: the superchilled cold chain needs more electricity (mostly because of the use of </w:t>
      </w:r>
      <w:r w:rsidR="00DF4916" w:rsidRPr="000A6F05">
        <w:rPr>
          <w:sz w:val="24"/>
          <w:lang w:val="en-US"/>
        </w:rPr>
        <w:t>contact blast chiller to cool down the salmon to superchilling condition) but less packaging material (EPS) and less diesel (for cooling during the transport).</w:t>
      </w:r>
    </w:p>
    <w:p w:rsidR="004F24E4" w:rsidRPr="000A6F05" w:rsidRDefault="004F24E4" w:rsidP="004F24E4">
      <w:pPr>
        <w:pStyle w:val="8ICRText"/>
        <w:spacing w:line="360" w:lineRule="auto"/>
        <w:rPr>
          <w:sz w:val="24"/>
        </w:rPr>
      </w:pPr>
      <w:r w:rsidRPr="000A6F05">
        <w:rPr>
          <w:sz w:val="24"/>
        </w:rPr>
        <w:t xml:space="preserve">The </w:t>
      </w:r>
      <w:r w:rsidR="00FF2AA6" w:rsidRPr="000A6F05">
        <w:rPr>
          <w:sz w:val="24"/>
        </w:rPr>
        <w:t>detailed electricity consumption in each</w:t>
      </w:r>
      <w:r w:rsidRPr="000A6F05">
        <w:rPr>
          <w:sz w:val="24"/>
        </w:rPr>
        <w:t xml:space="preserve"> st</w:t>
      </w:r>
      <w:r w:rsidR="00FF2AA6" w:rsidRPr="000A6F05">
        <w:rPr>
          <w:sz w:val="24"/>
        </w:rPr>
        <w:t>ep is reported</w:t>
      </w:r>
      <w:r w:rsidR="001F5626" w:rsidRPr="000A6F05">
        <w:rPr>
          <w:sz w:val="24"/>
        </w:rPr>
        <w:t xml:space="preserve"> in the t</w:t>
      </w:r>
      <w:r w:rsidR="001A1E76" w:rsidRPr="000A6F05">
        <w:rPr>
          <w:sz w:val="24"/>
        </w:rPr>
        <w:t>able 3</w:t>
      </w:r>
      <w:r w:rsidRPr="000A6F05">
        <w:rPr>
          <w:sz w:val="24"/>
        </w:rPr>
        <w:t xml:space="preserve">. </w:t>
      </w:r>
      <w:r w:rsidR="00FF2AA6" w:rsidRPr="000A6F05">
        <w:rPr>
          <w:sz w:val="24"/>
        </w:rPr>
        <w:t xml:space="preserve">The two steps that consume the most electricity are the production and the display cabinet. </w:t>
      </w:r>
      <w:r w:rsidR="00B92AE2" w:rsidRPr="000A6F05">
        <w:rPr>
          <w:sz w:val="24"/>
        </w:rPr>
        <w:t>In t</w:t>
      </w:r>
      <w:r w:rsidR="00FF2AA6" w:rsidRPr="000A6F05">
        <w:rPr>
          <w:sz w:val="24"/>
        </w:rPr>
        <w:t>he storage step</w:t>
      </w:r>
      <w:r w:rsidR="00B92AE2" w:rsidRPr="000A6F05">
        <w:rPr>
          <w:sz w:val="24"/>
        </w:rPr>
        <w:t>,</w:t>
      </w:r>
      <w:r w:rsidR="00FF2AA6" w:rsidRPr="000A6F05">
        <w:rPr>
          <w:sz w:val="24"/>
        </w:rPr>
        <w:t xml:space="preserve"> the </w:t>
      </w:r>
      <w:r w:rsidR="00B92AE2" w:rsidRPr="000A6F05">
        <w:rPr>
          <w:sz w:val="24"/>
        </w:rPr>
        <w:t>merchandise</w:t>
      </w:r>
      <w:r w:rsidR="00FF2AA6" w:rsidRPr="000A6F05">
        <w:rPr>
          <w:sz w:val="24"/>
        </w:rPr>
        <w:t xml:space="preserve"> is kept in huge quantity </w:t>
      </w:r>
      <w:r w:rsidR="00B92AE2" w:rsidRPr="000A6F05">
        <w:rPr>
          <w:sz w:val="24"/>
        </w:rPr>
        <w:t>so that it has</w:t>
      </w:r>
      <w:r w:rsidR="00FF2AA6" w:rsidRPr="000A6F05">
        <w:rPr>
          <w:sz w:val="24"/>
        </w:rPr>
        <w:t xml:space="preserve"> a low demand </w:t>
      </w:r>
      <w:r w:rsidR="00B92AE2" w:rsidRPr="000A6F05">
        <w:rPr>
          <w:sz w:val="24"/>
        </w:rPr>
        <w:t>in electricity</w:t>
      </w:r>
      <w:r w:rsidR="00FF2AA6" w:rsidRPr="000A6F05">
        <w:rPr>
          <w:sz w:val="24"/>
        </w:rPr>
        <w:t xml:space="preserve"> per 1 kg of product. </w:t>
      </w:r>
      <w:r w:rsidRPr="000A6F05">
        <w:rPr>
          <w:sz w:val="24"/>
        </w:rPr>
        <w:t xml:space="preserve">The refrigerant leakage is also considered in this study. The refrigerant type and % of leakage per year (data from </w:t>
      </w:r>
      <w:r w:rsidRPr="000A6F05">
        <w:rPr>
          <w:sz w:val="24"/>
        </w:rPr>
        <w:fldChar w:fldCharType="begin"/>
      </w:r>
      <w:r w:rsidRPr="000A6F05">
        <w:rPr>
          <w:sz w:val="24"/>
        </w:rPr>
        <w:instrText xml:space="preserve"> ADDIN EN.CITE &lt;EndNote&gt;&lt;Cite AuthorYear="1"&gt;&lt;Author&gt;Winther&lt;/Author&gt;&lt;Year&gt;2009&lt;/Year&gt;&lt;RecNum&gt;24&lt;/RecNum&gt;&lt;DisplayText&gt;Winther et al. (2009)&lt;/DisplayText&gt;&lt;record&gt;&lt;rec-number&gt;24&lt;/rec-number&gt;&lt;foreign-keys&gt;&lt;key app="EN" db-id="0wzzzxr91fdteke2p0tp59ejvve00s0edp09"&gt;24&lt;/key&gt;&lt;/foreign-keys&gt;&lt;ref-type name="Report"&gt;27&lt;/ref-type&gt;&lt;contributors&gt;&lt;authors&gt;&lt;author&gt;Winther, U.&lt;/author&gt;&lt;author&gt;Ziegler, F.&lt;/author&gt;&lt;author&gt;Skontorp Hognes, E.&lt;/author&gt;&lt;author&gt;Emanuelsson, A.&lt;/author&gt;&lt;author&gt;Sund, V.&lt;/author&gt;&lt;author&gt;Ellingsen, H.  &lt;/author&gt;&lt;/authors&gt;&lt;/contributors&gt;&lt;titles&gt;&lt;title&gt;Carbon footprint and energy use of Norwegian seafood proucts&lt;/title&gt;&lt;secondary-title&gt;SINTEF report ISBN 978-82-14-04925-1&lt;/secondary-title&gt;&lt;/titles&gt;&lt;dates&gt;&lt;year&gt;2009&lt;/year&gt;&lt;/dates&gt;&lt;urls&gt;&lt;/urls&gt;&lt;/record&gt;&lt;/Cite&gt;&lt;/EndNote&gt;</w:instrText>
      </w:r>
      <w:r w:rsidRPr="000A6F05">
        <w:rPr>
          <w:sz w:val="24"/>
        </w:rPr>
        <w:fldChar w:fldCharType="separate"/>
      </w:r>
      <w:hyperlink w:anchor="_ENREF_25" w:tooltip="Winther, 2009 #24" w:history="1">
        <w:r w:rsidR="008F77AB" w:rsidRPr="000A6F05">
          <w:rPr>
            <w:noProof/>
            <w:sz w:val="24"/>
          </w:rPr>
          <w:t>Winther et al. (2009</w:t>
        </w:r>
      </w:hyperlink>
      <w:r w:rsidRPr="000A6F05">
        <w:rPr>
          <w:noProof/>
          <w:sz w:val="24"/>
        </w:rPr>
        <w:t>)</w:t>
      </w:r>
      <w:r w:rsidRPr="000A6F05">
        <w:rPr>
          <w:sz w:val="24"/>
        </w:rPr>
        <w:fldChar w:fldCharType="end"/>
      </w:r>
      <w:r w:rsidRPr="000A6F05">
        <w:rPr>
          <w:sz w:val="24"/>
        </w:rPr>
        <w:t xml:space="preserve"> and </w:t>
      </w:r>
      <w:r w:rsidRPr="000A6F05">
        <w:rPr>
          <w:sz w:val="24"/>
        </w:rPr>
        <w:fldChar w:fldCharType="begin"/>
      </w:r>
      <w:r w:rsidRPr="000A6F05">
        <w:rPr>
          <w:sz w:val="24"/>
        </w:rPr>
        <w:instrText xml:space="preserve"> ADDIN EN.CITE &lt;EndNote&gt;&lt;Cite AuthorYear="1"&gt;&lt;Author&gt;van der Sluis&lt;/Author&gt;&lt;Year&gt;2012&lt;/Year&gt;&lt;RecNum&gt;20&lt;/RecNum&gt;&lt;DisplayText&gt;van der Sluis et al. (2012)&lt;/DisplayText&gt;&lt;record&gt;&lt;rec-number&gt;20&lt;/rec-number&gt;&lt;foreign-keys&gt;&lt;key app="EN" db-id="0wzzzxr91fdteke2p0tp59ejvve00s0edp09"&gt;20&lt;/key&gt;&lt;/foreign-keys&gt;&lt;ref-type name="Report"&gt;27&lt;/ref-type&gt;&lt;contributors&gt;&lt;authors&gt;&lt;author&gt;van der Sluis, S.M. &lt;/author&gt;&lt;author&gt;Wissink, E. &lt;/author&gt;&lt;author&gt;Hendriksen, L. &lt;/author&gt;&lt;/authors&gt;&lt;/contributors&gt;&lt;titles&gt;&lt;title&gt;Definition of reference cold chains using general assumptions, refined towards EU situation&lt;/title&gt;&lt;secondary-title&gt;Frisbee European Project Deliverable D3.1.1&lt;/secondary-title&gt;&lt;/titles&gt;&lt;periodical&gt;&lt;full-title&gt;Frisbee European Project Deliverable D3.1.1&lt;/full-title&gt;&lt;/periodical&gt;&lt;dates&gt;&lt;year&gt;2012&lt;/year&gt;&lt;/dates&gt;&lt;urls&gt;&lt;/urls&gt;&lt;/record&gt;&lt;/Cite&gt;&lt;/EndNote&gt;</w:instrText>
      </w:r>
      <w:r w:rsidRPr="000A6F05">
        <w:rPr>
          <w:sz w:val="24"/>
        </w:rPr>
        <w:fldChar w:fldCharType="separate"/>
      </w:r>
      <w:hyperlink w:anchor="_ENREF_24" w:tooltip="van der Sluis, 2012 #20" w:history="1">
        <w:r w:rsidR="008F77AB" w:rsidRPr="000A6F05">
          <w:rPr>
            <w:noProof/>
            <w:sz w:val="24"/>
          </w:rPr>
          <w:t>van der Sluis et al. (2012</w:t>
        </w:r>
      </w:hyperlink>
      <w:r w:rsidRPr="000A6F05">
        <w:rPr>
          <w:noProof/>
          <w:sz w:val="24"/>
        </w:rPr>
        <w:t>)</w:t>
      </w:r>
      <w:r w:rsidRPr="000A6F05">
        <w:rPr>
          <w:sz w:val="24"/>
        </w:rPr>
        <w:fldChar w:fldCharType="end"/>
      </w:r>
      <w:r w:rsidRPr="000A6F05">
        <w:rPr>
          <w:sz w:val="24"/>
        </w:rPr>
        <w:t xml:space="preserve">) are also </w:t>
      </w:r>
      <w:r w:rsidRPr="000A6F05">
        <w:rPr>
          <w:sz w:val="24"/>
        </w:rPr>
        <w:lastRenderedPageBreak/>
        <w:t>presented in Table 2. According to these data, only the production and distribution center storage steps use a natural refrigerant (NH</w:t>
      </w:r>
      <w:r w:rsidRPr="000A6F05">
        <w:rPr>
          <w:sz w:val="24"/>
          <w:vertAlign w:val="subscript"/>
        </w:rPr>
        <w:t>3</w:t>
      </w:r>
      <w:r w:rsidRPr="000A6F05">
        <w:rPr>
          <w:sz w:val="24"/>
        </w:rPr>
        <w:t xml:space="preserve">). The steps that have the highest percentage of leakage/year are transport (10%) and display cabinet (12%). </w:t>
      </w:r>
    </w:p>
    <w:p w:rsidR="008F77AB" w:rsidRPr="000A6F05" w:rsidRDefault="008F77AB" w:rsidP="004F24E4">
      <w:pPr>
        <w:pStyle w:val="8ICRText"/>
        <w:spacing w:line="360" w:lineRule="auto"/>
        <w:rPr>
          <w:sz w:val="24"/>
        </w:rPr>
      </w:pPr>
      <w:r w:rsidRPr="000A6F05">
        <w:rPr>
          <w:sz w:val="24"/>
        </w:rPr>
        <w:t>The LCA study was performed using SimaPro (version 7.3) with the CML 2 Baseline 2000 V2.05/ World 1990, one of the most widely used and acknowledged LCIA methods</w:t>
      </w:r>
      <w:r w:rsidRPr="000A6F05">
        <w:rPr>
          <w:sz w:val="24"/>
        </w:rPr>
        <w:fldChar w:fldCharType="begin"/>
      </w:r>
      <w:r w:rsidRPr="000A6F05">
        <w:rPr>
          <w:sz w:val="24"/>
        </w:rPr>
        <w:instrText xml:space="preserve"> ADDIN EN.CITE &lt;EndNote&gt;&lt;Cite ExcludeAuth="1" ExcludeYear="1"&gt;&lt;RecNum&gt;47&lt;/RecNum&gt;&lt;record&gt;&lt;rec-number&gt;47&lt;/rec-number&gt;&lt;foreign-keys&gt;&lt;key app="EN" db-id="0wzzzxr91fdteke2p0tp59ejvve00s0edp09"&gt;47&lt;/key&gt;&lt;/foreign-keys&gt;&lt;ref-type name="Report"&gt;27&lt;/ref-type&gt;&lt;contributors&gt;&lt;authors&gt;&lt;author&gt;SimaPro &lt;/author&gt;&lt;/authors&gt;&lt;/contributors&gt;&lt;titles&gt;&lt;title&gt; http://www.pre-sustainability.com/&lt;/title&gt;&lt;/titles&gt;&lt;dates&gt;&lt;year&gt;2012&lt;/year&gt;&lt;/dates&gt;&lt;urls&gt;&lt;/urls&gt;&lt;/record&gt;&lt;/Cite&gt;&lt;/EndNote&gt;</w:instrText>
      </w:r>
      <w:r w:rsidRPr="000A6F05">
        <w:rPr>
          <w:sz w:val="24"/>
        </w:rPr>
        <w:fldChar w:fldCharType="end"/>
      </w:r>
      <w:r w:rsidRPr="000A6F05">
        <w:rPr>
          <w:sz w:val="24"/>
        </w:rPr>
        <w:t xml:space="preserve">, developed by the Centre of Environmental Science of Leiden University </w:t>
      </w:r>
      <w:r w:rsidRPr="000A6F05">
        <w:rPr>
          <w:sz w:val="24"/>
        </w:rPr>
        <w:fldChar w:fldCharType="begin"/>
      </w:r>
      <w:r w:rsidRPr="000A6F05">
        <w:rPr>
          <w:sz w:val="24"/>
        </w:rPr>
        <w:instrText xml:space="preserve"> ADDIN EN.CITE &lt;EndNote&gt;&lt;Cite&gt;&lt;Author&gt;SimaPro&lt;/Author&gt;&lt;Year&gt;2012&lt;/Year&gt;&lt;RecNum&gt;47&lt;/RecNum&gt;&lt;DisplayText&gt;(SimaPro 2012)&lt;/DisplayText&gt;&lt;record&gt;&lt;rec-number&gt;47&lt;/rec-number&gt;&lt;foreign-keys&gt;&lt;key app="EN" db-id="0wzzzxr91fdteke2p0tp59ejvve00s0edp09"&gt;47&lt;/key&gt;&lt;/foreign-keys&gt;&lt;ref-type name="Report"&gt;27&lt;/ref-type&gt;&lt;contributors&gt;&lt;authors&gt;&lt;author&gt;SimaPro &lt;/author&gt;&lt;/authors&gt;&lt;/contributors&gt;&lt;titles&gt;&lt;title&gt; http://www.pre-sustainability.com/&lt;/title&gt;&lt;/titles&gt;&lt;dates&gt;&lt;year&gt;2012&lt;/year&gt;&lt;/dates&gt;&lt;urls&gt;&lt;/urls&gt;&lt;/record&gt;&lt;/Cite&gt;&lt;/EndNote&gt;</w:instrText>
      </w:r>
      <w:r w:rsidRPr="000A6F05">
        <w:rPr>
          <w:sz w:val="24"/>
        </w:rPr>
        <w:fldChar w:fldCharType="separate"/>
      </w:r>
      <w:r w:rsidRPr="000A6F05">
        <w:rPr>
          <w:noProof/>
          <w:sz w:val="24"/>
        </w:rPr>
        <w:t>(</w:t>
      </w:r>
      <w:hyperlink w:anchor="_ENREF_20" w:tooltip="SimaPro, 2012 #47" w:history="1">
        <w:r w:rsidRPr="000A6F05">
          <w:rPr>
            <w:noProof/>
            <w:sz w:val="24"/>
          </w:rPr>
          <w:t>SimaPro 2012</w:t>
        </w:r>
      </w:hyperlink>
      <w:r w:rsidRPr="000A6F05">
        <w:rPr>
          <w:noProof/>
          <w:sz w:val="24"/>
        </w:rPr>
        <w:t>)</w:t>
      </w:r>
      <w:r w:rsidRPr="000A6F05">
        <w:rPr>
          <w:sz w:val="24"/>
        </w:rPr>
        <w:fldChar w:fldCharType="end"/>
      </w:r>
      <w:r w:rsidRPr="000A6F05">
        <w:rPr>
          <w:sz w:val="24"/>
        </w:rPr>
        <w:t xml:space="preserve">. The impact category indicators, included in this method, were: abiotic depletion, ozone depletion potential, global warming potential, marine aquatic ecotoxicity, fresh water aquatic ecotoxicity, terrestrial ecotoxicity, human toxicity, photochemical oxidation, acidification, and eutrophication. </w:t>
      </w:r>
    </w:p>
    <w:p w:rsidR="0078424F" w:rsidRPr="000A6F05" w:rsidRDefault="0078424F" w:rsidP="004F24E4">
      <w:pPr>
        <w:pStyle w:val="8ICRText"/>
        <w:spacing w:line="360" w:lineRule="auto"/>
        <w:rPr>
          <w:sz w:val="24"/>
        </w:rPr>
      </w:pPr>
    </w:p>
    <w:p w:rsidR="00762BBC" w:rsidRPr="000A6F05" w:rsidRDefault="009F2EB3" w:rsidP="000562E1">
      <w:pPr>
        <w:pStyle w:val="ListParagraph"/>
        <w:numPr>
          <w:ilvl w:val="0"/>
          <w:numId w:val="9"/>
        </w:numPr>
        <w:tabs>
          <w:tab w:val="left" w:pos="0"/>
        </w:tabs>
        <w:spacing w:line="360" w:lineRule="auto"/>
        <w:rPr>
          <w:b/>
          <w:lang w:val="en-GB"/>
        </w:rPr>
      </w:pPr>
      <w:r w:rsidRPr="000A6F05">
        <w:rPr>
          <w:b/>
          <w:lang w:val="en-GB"/>
        </w:rPr>
        <w:t>Results and discussion</w:t>
      </w:r>
    </w:p>
    <w:p w:rsidR="0094240C" w:rsidRPr="000A6F05" w:rsidRDefault="0094240C" w:rsidP="0094240C">
      <w:pPr>
        <w:tabs>
          <w:tab w:val="left" w:pos="0"/>
        </w:tabs>
        <w:spacing w:line="360" w:lineRule="auto"/>
        <w:jc w:val="both"/>
        <w:rPr>
          <w:rFonts w:eastAsia="MS Mincho"/>
          <w:bCs w:val="0"/>
          <w:lang w:val="en-GB"/>
        </w:rPr>
      </w:pPr>
      <w:r w:rsidRPr="000A6F05">
        <w:rPr>
          <w:rFonts w:eastAsia="MS Mincho"/>
          <w:bCs w:val="0"/>
          <w:lang w:val="en-GB"/>
        </w:rPr>
        <w:t>The LCA calculations are based on the compilation of the amounts of materials and energy used and the emissions associated with processes. The latter are multiplied with characterisation factors proportional to their power to cause environmental impact. One specific emission is chosen as the reference and the result is presented in equivalents with regard to the impact of the reference substance.</w:t>
      </w:r>
    </w:p>
    <w:p w:rsidR="00A02FE5" w:rsidRPr="000A6F05" w:rsidRDefault="002733FF" w:rsidP="002733FF">
      <w:pPr>
        <w:pStyle w:val="7ICRSubSectionHeadings"/>
        <w:numPr>
          <w:ilvl w:val="1"/>
          <w:numId w:val="9"/>
        </w:numPr>
        <w:spacing w:line="360" w:lineRule="auto"/>
        <w:rPr>
          <w:sz w:val="24"/>
          <w:lang w:val="en-US"/>
        </w:rPr>
      </w:pPr>
      <w:r w:rsidRPr="000A6F05">
        <w:rPr>
          <w:sz w:val="24"/>
          <w:lang w:val="en-US"/>
        </w:rPr>
        <w:t>Comparison between chilled and superchilled salmon cold chain</w:t>
      </w:r>
    </w:p>
    <w:p w:rsidR="002733FF" w:rsidRPr="000A6F05" w:rsidRDefault="002733FF" w:rsidP="002733FF">
      <w:pPr>
        <w:pStyle w:val="8ICRText"/>
        <w:spacing w:line="360" w:lineRule="auto"/>
        <w:rPr>
          <w:rFonts w:eastAsia="Times New Roman"/>
          <w:sz w:val="24"/>
          <w:lang w:val="en-US"/>
        </w:rPr>
      </w:pPr>
      <w:r w:rsidRPr="000A6F05">
        <w:rPr>
          <w:rFonts w:eastAsia="Times New Roman"/>
          <w:sz w:val="24"/>
          <w:lang w:val="en-US"/>
        </w:rPr>
        <w:t>The impact of chilled and superchilled salmon cold chain was assessed and compared. The results (</w:t>
      </w:r>
      <w:r w:rsidR="00B40454" w:rsidRPr="000A6F05">
        <w:rPr>
          <w:rFonts w:eastAsia="Times New Roman"/>
          <w:sz w:val="24"/>
          <w:lang w:val="en-US"/>
        </w:rPr>
        <w:t>Table 4</w:t>
      </w:r>
      <w:r w:rsidRPr="000A6F05">
        <w:rPr>
          <w:rFonts w:eastAsia="Times New Roman"/>
          <w:sz w:val="24"/>
          <w:lang w:val="en-US"/>
        </w:rPr>
        <w:t xml:space="preserve"> and Figure 3) show a net improvement in term of environmental impacts of superchilled cold chain compared to chilled one, with a diminution of about 20% in most of the categories: </w:t>
      </w:r>
      <w:r w:rsidR="00B40454" w:rsidRPr="000A6F05">
        <w:rPr>
          <w:rFonts w:eastAsia="Times New Roman"/>
          <w:sz w:val="24"/>
          <w:lang w:val="en-US"/>
        </w:rPr>
        <w:t xml:space="preserve">abiotic depletion, </w:t>
      </w:r>
      <w:r w:rsidRPr="000A6F05">
        <w:rPr>
          <w:rFonts w:eastAsia="Times New Roman"/>
          <w:sz w:val="24"/>
          <w:lang w:val="en-US"/>
        </w:rPr>
        <w:t>global warming (GWP100), ozone layer depletion (ODP),</w:t>
      </w:r>
      <w:r w:rsidR="00B40454" w:rsidRPr="000A6F05">
        <w:rPr>
          <w:rFonts w:eastAsia="Times New Roman"/>
          <w:sz w:val="24"/>
          <w:lang w:val="en-US"/>
        </w:rPr>
        <w:t xml:space="preserve"> photochemical oxidation,</w:t>
      </w:r>
      <w:r w:rsidRPr="000A6F05">
        <w:rPr>
          <w:rFonts w:eastAsia="Times New Roman"/>
          <w:sz w:val="24"/>
          <w:lang w:val="en-US"/>
        </w:rPr>
        <w:t xml:space="preserve"> acidification</w:t>
      </w:r>
      <w:r w:rsidR="00B40454" w:rsidRPr="000A6F05">
        <w:rPr>
          <w:rFonts w:eastAsia="Times New Roman"/>
          <w:sz w:val="24"/>
          <w:lang w:val="en-US"/>
        </w:rPr>
        <w:t xml:space="preserve"> and eutrophication</w:t>
      </w:r>
      <w:r w:rsidR="00BC10E9" w:rsidRPr="000A6F05">
        <w:rPr>
          <w:rFonts w:eastAsia="Times New Roman"/>
          <w:sz w:val="24"/>
          <w:lang w:val="en-US"/>
        </w:rPr>
        <w:t>.</w:t>
      </w:r>
    </w:p>
    <w:p w:rsidR="002733FF" w:rsidRPr="000A6F05" w:rsidRDefault="002733FF" w:rsidP="002733FF">
      <w:pPr>
        <w:pStyle w:val="7ICRSubSectionHeadings"/>
        <w:numPr>
          <w:ilvl w:val="1"/>
          <w:numId w:val="9"/>
        </w:numPr>
        <w:spacing w:line="360" w:lineRule="auto"/>
        <w:rPr>
          <w:rFonts w:eastAsia="Times New Roman"/>
          <w:sz w:val="24"/>
          <w:lang w:val="en-US"/>
        </w:rPr>
      </w:pPr>
      <w:r w:rsidRPr="000A6F05">
        <w:rPr>
          <w:sz w:val="24"/>
        </w:rPr>
        <w:t>Impact of cold chain steps</w:t>
      </w:r>
    </w:p>
    <w:p w:rsidR="000562E1" w:rsidRPr="000A6F05" w:rsidRDefault="00F23054" w:rsidP="002733FF">
      <w:pPr>
        <w:tabs>
          <w:tab w:val="left" w:pos="0"/>
        </w:tabs>
        <w:spacing w:line="360" w:lineRule="auto"/>
        <w:jc w:val="both"/>
        <w:rPr>
          <w:lang w:val="en-GB"/>
        </w:rPr>
      </w:pPr>
      <w:r w:rsidRPr="000A6F05">
        <w:rPr>
          <w:lang w:val="en-US"/>
        </w:rPr>
        <w:t xml:space="preserve">The </w:t>
      </w:r>
      <w:r w:rsidR="00431342" w:rsidRPr="000A6F05">
        <w:rPr>
          <w:lang w:val="en-GB"/>
        </w:rPr>
        <w:t>contribution</w:t>
      </w:r>
      <w:r w:rsidR="00457E3B" w:rsidRPr="000A6F05">
        <w:rPr>
          <w:lang w:val="en-GB"/>
        </w:rPr>
        <w:t xml:space="preserve"> of each</w:t>
      </w:r>
      <w:r w:rsidR="00E21ACF" w:rsidRPr="000A6F05">
        <w:rPr>
          <w:lang w:val="en-GB"/>
        </w:rPr>
        <w:t xml:space="preserve"> step on different categories of impact </w:t>
      </w:r>
      <w:r w:rsidR="002733FF" w:rsidRPr="000A6F05">
        <w:rPr>
          <w:lang w:val="en-GB"/>
        </w:rPr>
        <w:t xml:space="preserve">is presented in Figure 4. </w:t>
      </w:r>
      <w:r w:rsidR="00457E3B" w:rsidRPr="000A6F05">
        <w:rPr>
          <w:lang w:val="en-GB"/>
        </w:rPr>
        <w:t xml:space="preserve">It is noted that </w:t>
      </w:r>
      <w:r w:rsidR="00D55417" w:rsidRPr="000A6F05">
        <w:rPr>
          <w:lang w:val="en-GB"/>
        </w:rPr>
        <w:t>the downstream steps (2</w:t>
      </w:r>
      <w:r w:rsidR="00D55417" w:rsidRPr="000A6F05">
        <w:rPr>
          <w:vertAlign w:val="superscript"/>
          <w:lang w:val="en-GB"/>
        </w:rPr>
        <w:t>nd</w:t>
      </w:r>
      <w:r w:rsidR="00D55417" w:rsidRPr="000A6F05">
        <w:rPr>
          <w:lang w:val="en-GB"/>
        </w:rPr>
        <w:t xml:space="preserve"> </w:t>
      </w:r>
      <w:r w:rsidR="00457E3B" w:rsidRPr="000A6F05">
        <w:rPr>
          <w:lang w:val="en-GB"/>
        </w:rPr>
        <w:t xml:space="preserve">transport, display cabinet and domestic fridge) are assumed to be the same for the chilled and superchilled cold chains, they present the same impact. </w:t>
      </w:r>
      <w:r w:rsidR="00D55417" w:rsidRPr="000A6F05">
        <w:rPr>
          <w:lang w:val="en-GB"/>
        </w:rPr>
        <w:t>Compared to other steps, the 1</w:t>
      </w:r>
      <w:r w:rsidR="00D55417" w:rsidRPr="000A6F05">
        <w:rPr>
          <w:vertAlign w:val="superscript"/>
          <w:lang w:val="en-GB"/>
        </w:rPr>
        <w:t>st</w:t>
      </w:r>
      <w:r w:rsidR="00D55417" w:rsidRPr="000A6F05">
        <w:rPr>
          <w:lang w:val="en-GB"/>
        </w:rPr>
        <w:t xml:space="preserve"> </w:t>
      </w:r>
      <w:r w:rsidR="002733FF" w:rsidRPr="000A6F05">
        <w:rPr>
          <w:lang w:val="en-GB"/>
        </w:rPr>
        <w:t xml:space="preserve">transport has the most important influence on </w:t>
      </w:r>
      <w:r w:rsidR="00E21ACF" w:rsidRPr="000A6F05">
        <w:rPr>
          <w:lang w:val="en-GB"/>
        </w:rPr>
        <w:t xml:space="preserve">3 categories: global warming, </w:t>
      </w:r>
      <w:r w:rsidR="00D55417" w:rsidRPr="000A6F05">
        <w:rPr>
          <w:lang w:val="en-US"/>
        </w:rPr>
        <w:t>ozone layer depletion and acidification</w:t>
      </w:r>
      <w:r w:rsidR="00D55417" w:rsidRPr="000A6F05">
        <w:rPr>
          <w:lang w:val="en-GB"/>
        </w:rPr>
        <w:t xml:space="preserve"> </w:t>
      </w:r>
      <w:r w:rsidR="002733FF" w:rsidRPr="000A6F05">
        <w:rPr>
          <w:lang w:val="en-GB"/>
        </w:rPr>
        <w:t>because of the use of diesel</w:t>
      </w:r>
      <w:r w:rsidR="00D55417" w:rsidRPr="000A6F05">
        <w:rPr>
          <w:lang w:val="en-GB"/>
        </w:rPr>
        <w:t>. T</w:t>
      </w:r>
      <w:r w:rsidR="002733FF" w:rsidRPr="000A6F05">
        <w:rPr>
          <w:lang w:val="en-GB"/>
        </w:rPr>
        <w:t xml:space="preserve">he production step has the greatest impact on the human toxicity </w:t>
      </w:r>
      <w:r w:rsidR="00D55417" w:rsidRPr="000A6F05">
        <w:rPr>
          <w:lang w:val="en-GB"/>
        </w:rPr>
        <w:t xml:space="preserve">and </w:t>
      </w:r>
      <w:r w:rsidR="00D55417" w:rsidRPr="000A6F05">
        <w:rPr>
          <w:lang w:val="en-US"/>
        </w:rPr>
        <w:t xml:space="preserve">photochemical oxidation </w:t>
      </w:r>
      <w:r w:rsidR="002733FF" w:rsidRPr="000A6F05">
        <w:rPr>
          <w:lang w:val="en-GB"/>
        </w:rPr>
        <w:t xml:space="preserve">because of the use of many natural and technical inputs, the expanded polystyrene EPS for packaging in particular. </w:t>
      </w:r>
      <w:r w:rsidR="00D55417" w:rsidRPr="000A6F05">
        <w:rPr>
          <w:lang w:val="en-GB"/>
        </w:rPr>
        <w:t>The display cabinet</w:t>
      </w:r>
      <w:r w:rsidRPr="000A6F05">
        <w:rPr>
          <w:lang w:val="en-GB"/>
        </w:rPr>
        <w:t xml:space="preserve"> which consumes the most electricity (Table 3)</w:t>
      </w:r>
      <w:r w:rsidR="00D55417" w:rsidRPr="000A6F05">
        <w:rPr>
          <w:lang w:val="en-GB"/>
        </w:rPr>
        <w:t xml:space="preserve"> has the greatest influence in marine aquatic ecotoxicity, terrestrial ecotoxicity and </w:t>
      </w:r>
      <w:r w:rsidR="00D55417" w:rsidRPr="000A6F05">
        <w:rPr>
          <w:lang w:val="en-GB"/>
        </w:rPr>
        <w:lastRenderedPageBreak/>
        <w:t>fresh water aquatic ecotoxicity (the same level as the 1</w:t>
      </w:r>
      <w:r w:rsidR="00D55417" w:rsidRPr="000A6F05">
        <w:rPr>
          <w:vertAlign w:val="superscript"/>
          <w:lang w:val="en-GB"/>
        </w:rPr>
        <w:t>st</w:t>
      </w:r>
      <w:r w:rsidR="00D55417" w:rsidRPr="000A6F05">
        <w:rPr>
          <w:lang w:val="en-GB"/>
        </w:rPr>
        <w:t xml:space="preserve"> </w:t>
      </w:r>
      <w:r w:rsidRPr="000A6F05">
        <w:rPr>
          <w:lang w:val="en-GB"/>
        </w:rPr>
        <w:t>transport)</w:t>
      </w:r>
      <w:r w:rsidR="00D55417" w:rsidRPr="000A6F05">
        <w:rPr>
          <w:lang w:val="en-GB"/>
        </w:rPr>
        <w:t xml:space="preserve">. </w:t>
      </w:r>
      <w:r w:rsidR="002733FF" w:rsidRPr="000A6F05">
        <w:rPr>
          <w:lang w:val="en-GB"/>
        </w:rPr>
        <w:t>In general, the distribution centre, the 2nd transport and the domestic fridge have small impacts</w:t>
      </w:r>
      <w:r w:rsidR="00D55417" w:rsidRPr="000A6F05">
        <w:rPr>
          <w:lang w:val="en-GB"/>
        </w:rPr>
        <w:t>.</w:t>
      </w:r>
      <w:r w:rsidRPr="000A6F05">
        <w:rPr>
          <w:lang w:val="en-GB"/>
        </w:rPr>
        <w:t xml:space="preserve"> </w:t>
      </w:r>
      <w:r w:rsidR="002733FF" w:rsidRPr="000A6F05">
        <w:rPr>
          <w:lang w:val="en-GB"/>
        </w:rPr>
        <w:t xml:space="preserve"> </w:t>
      </w:r>
    </w:p>
    <w:p w:rsidR="002733FF" w:rsidRPr="000A6F05" w:rsidRDefault="001A081C" w:rsidP="001A081C">
      <w:pPr>
        <w:tabs>
          <w:tab w:val="left" w:pos="0"/>
        </w:tabs>
        <w:spacing w:line="360" w:lineRule="auto"/>
        <w:jc w:val="both"/>
        <w:rPr>
          <w:lang w:val="en-GB"/>
        </w:rPr>
      </w:pPr>
      <w:r w:rsidRPr="000A6F05">
        <w:rPr>
          <w:lang w:val="en-GB"/>
        </w:rPr>
        <w:t>Compared to the chilled cold chain, the superchilled one presents an important diminution of the environmental impact in both production and 1st transport steps. This diminution is mainly due to the augmentation of available volume for transportation and the reduction of the quantity of needed EPS for packaging. It is to be emphasized that the production and 1st transport steps have the greatest environmental impact and energy consumption in the</w:t>
      </w:r>
      <w:r w:rsidR="00F23054" w:rsidRPr="000A6F05">
        <w:rPr>
          <w:lang w:val="en-GB"/>
        </w:rPr>
        <w:t xml:space="preserve"> cold chain. As shown in Table 5</w:t>
      </w:r>
      <w:r w:rsidRPr="000A6F05">
        <w:rPr>
          <w:lang w:val="en-GB"/>
        </w:rPr>
        <w:t>, they represent from 36.2 to 90.2% of the cold chain total impact for chilled salmon and from 30.8 to 87.9% for superchilled salmon.</w:t>
      </w:r>
      <w:r w:rsidR="00F23054" w:rsidRPr="000A6F05">
        <w:rPr>
          <w:lang w:val="en-GB"/>
        </w:rPr>
        <w:t xml:space="preserve"> It is observed that the </w:t>
      </w:r>
      <w:r w:rsidR="00284C19" w:rsidRPr="000A6F05">
        <w:rPr>
          <w:lang w:val="en-GB"/>
        </w:rPr>
        <w:t xml:space="preserve">categories in which the production and 1st transport steps </w:t>
      </w:r>
      <w:r w:rsidR="0083402A" w:rsidRPr="000A6F05">
        <w:rPr>
          <w:lang w:val="en-GB"/>
        </w:rPr>
        <w:t>present the less impact are also the categories in which the display cabi</w:t>
      </w:r>
      <w:r w:rsidR="004D31D7" w:rsidRPr="000A6F05">
        <w:rPr>
          <w:lang w:val="en-GB"/>
        </w:rPr>
        <w:t xml:space="preserve">net has the greatest influence, </w:t>
      </w:r>
      <w:r w:rsidR="0083402A" w:rsidRPr="000A6F05">
        <w:rPr>
          <w:lang w:val="en-GB"/>
        </w:rPr>
        <w:t xml:space="preserve">i.e. marine aquatic ecotoxicity, terrestrial ecotoxicity and </w:t>
      </w:r>
      <w:r w:rsidR="004D31D7" w:rsidRPr="000A6F05">
        <w:rPr>
          <w:lang w:val="en-GB"/>
        </w:rPr>
        <w:t>fresh water aquatic ecotoxicity</w:t>
      </w:r>
      <w:r w:rsidR="0083402A" w:rsidRPr="000A6F05">
        <w:rPr>
          <w:lang w:val="en-GB"/>
        </w:rPr>
        <w:t>.</w:t>
      </w:r>
    </w:p>
    <w:p w:rsidR="00923730" w:rsidRPr="000A6F05" w:rsidRDefault="00923730" w:rsidP="001A081C">
      <w:pPr>
        <w:tabs>
          <w:tab w:val="left" w:pos="0"/>
        </w:tabs>
        <w:spacing w:line="360" w:lineRule="auto"/>
        <w:jc w:val="both"/>
        <w:rPr>
          <w:lang w:val="en-GB"/>
        </w:rPr>
      </w:pPr>
    </w:p>
    <w:p w:rsidR="002733FF" w:rsidRPr="000A6F05" w:rsidRDefault="00887F7A" w:rsidP="00923730">
      <w:pPr>
        <w:pStyle w:val="ListParagraph"/>
        <w:numPr>
          <w:ilvl w:val="1"/>
          <w:numId w:val="9"/>
        </w:numPr>
        <w:tabs>
          <w:tab w:val="left" w:pos="0"/>
        </w:tabs>
        <w:spacing w:line="360" w:lineRule="auto"/>
        <w:rPr>
          <w:b/>
          <w:lang w:val="en-GB"/>
        </w:rPr>
      </w:pPr>
      <w:r w:rsidRPr="000A6F05">
        <w:rPr>
          <w:b/>
          <w:lang w:val="en-GB"/>
        </w:rPr>
        <w:t xml:space="preserve"> Other solutions for cold chain improvement</w:t>
      </w:r>
    </w:p>
    <w:p w:rsidR="0082614A" w:rsidRPr="000A6F05" w:rsidRDefault="004A24F2" w:rsidP="004A24F2">
      <w:pPr>
        <w:tabs>
          <w:tab w:val="left" w:pos="0"/>
        </w:tabs>
        <w:spacing w:line="360" w:lineRule="auto"/>
        <w:jc w:val="both"/>
        <w:rPr>
          <w:lang w:val="en-GB"/>
        </w:rPr>
      </w:pPr>
      <w:r w:rsidRPr="000A6F05">
        <w:rPr>
          <w:lang w:val="en-GB"/>
        </w:rPr>
        <w:t>The results of the section 3.2 show that the 3 steps that have the greatest environmental impact</w:t>
      </w:r>
      <w:r w:rsidR="0082614A" w:rsidRPr="000A6F05">
        <w:rPr>
          <w:lang w:val="en-GB"/>
        </w:rPr>
        <w:t>s</w:t>
      </w:r>
      <w:r w:rsidRPr="000A6F05">
        <w:rPr>
          <w:lang w:val="en-GB"/>
        </w:rPr>
        <w:t xml:space="preserve"> are: production, 1</w:t>
      </w:r>
      <w:r w:rsidRPr="000A6F05">
        <w:rPr>
          <w:vertAlign w:val="superscript"/>
          <w:lang w:val="en-GB"/>
        </w:rPr>
        <w:t>st</w:t>
      </w:r>
      <w:r w:rsidRPr="000A6F05">
        <w:rPr>
          <w:lang w:val="en-GB"/>
        </w:rPr>
        <w:t xml:space="preserve"> transport and display cabinet. </w:t>
      </w:r>
      <w:r w:rsidR="0082614A" w:rsidRPr="000A6F05">
        <w:rPr>
          <w:lang w:val="en-GB"/>
        </w:rPr>
        <w:t>Thus, some solutions to reduc</w:t>
      </w:r>
      <w:r w:rsidR="00B3572F" w:rsidRPr="000A6F05">
        <w:rPr>
          <w:lang w:val="en-GB"/>
        </w:rPr>
        <w:t>e these impacts can be proposed as follows.</w:t>
      </w:r>
    </w:p>
    <w:p w:rsidR="00122EB5" w:rsidRPr="000A6F05" w:rsidRDefault="00122EB5" w:rsidP="004A24F2">
      <w:pPr>
        <w:tabs>
          <w:tab w:val="left" w:pos="0"/>
        </w:tabs>
        <w:spacing w:line="360" w:lineRule="auto"/>
        <w:jc w:val="both"/>
        <w:rPr>
          <w:lang w:val="en-GB"/>
        </w:rPr>
      </w:pPr>
    </w:p>
    <w:p w:rsidR="00935F64" w:rsidRPr="000A6F05" w:rsidRDefault="00935F64" w:rsidP="00935F64">
      <w:pPr>
        <w:pStyle w:val="ListParagraph"/>
        <w:numPr>
          <w:ilvl w:val="0"/>
          <w:numId w:val="29"/>
        </w:numPr>
        <w:tabs>
          <w:tab w:val="left" w:pos="0"/>
        </w:tabs>
        <w:spacing w:line="360" w:lineRule="auto"/>
        <w:jc w:val="both"/>
        <w:rPr>
          <w:lang w:val="en-GB"/>
        </w:rPr>
      </w:pPr>
      <w:r w:rsidRPr="000A6F05">
        <w:rPr>
          <w:lang w:val="en-GB"/>
        </w:rPr>
        <w:t>Reducing</w:t>
      </w:r>
      <w:r w:rsidR="0082614A" w:rsidRPr="000A6F05">
        <w:rPr>
          <w:lang w:val="en-GB"/>
        </w:rPr>
        <w:t xml:space="preserve"> the quantity of EPS in the production </w:t>
      </w:r>
      <w:r w:rsidRPr="000A6F05">
        <w:rPr>
          <w:lang w:val="en-GB"/>
        </w:rPr>
        <w:t>step or using</w:t>
      </w:r>
      <w:r w:rsidR="00523B75" w:rsidRPr="000A6F05">
        <w:rPr>
          <w:lang w:val="en-GB"/>
        </w:rPr>
        <w:t xml:space="preserve"> more </w:t>
      </w:r>
      <w:r w:rsidR="00251325" w:rsidRPr="000A6F05">
        <w:rPr>
          <w:lang w:val="en-GB"/>
        </w:rPr>
        <w:t>environmentally</w:t>
      </w:r>
      <w:r w:rsidR="00523B75" w:rsidRPr="000A6F05">
        <w:rPr>
          <w:lang w:val="en-GB"/>
        </w:rPr>
        <w:t xml:space="preserve"> friendly materials</w:t>
      </w:r>
    </w:p>
    <w:p w:rsidR="00935F64" w:rsidRPr="000A6F05" w:rsidRDefault="00251325" w:rsidP="00935F64">
      <w:pPr>
        <w:tabs>
          <w:tab w:val="left" w:pos="0"/>
        </w:tabs>
        <w:spacing w:line="360" w:lineRule="auto"/>
        <w:jc w:val="both"/>
        <w:rPr>
          <w:lang w:val="en-GB"/>
        </w:rPr>
      </w:pPr>
      <w:r w:rsidRPr="000A6F05">
        <w:rPr>
          <w:lang w:val="en-GB"/>
        </w:rPr>
        <w:t xml:space="preserve">However, this solution can be applied only </w:t>
      </w:r>
      <w:r w:rsidR="00684AF4" w:rsidRPr="000A6F05">
        <w:rPr>
          <w:lang w:val="en-GB"/>
        </w:rPr>
        <w:t>if the “</w:t>
      </w:r>
      <w:r w:rsidR="007816FB" w:rsidRPr="000A6F05">
        <w:rPr>
          <w:lang w:val="en-GB"/>
        </w:rPr>
        <w:t>new</w:t>
      </w:r>
      <w:r w:rsidR="00684AF4" w:rsidRPr="000A6F05">
        <w:rPr>
          <w:lang w:val="en-GB"/>
        </w:rPr>
        <w:t>” box can assure the insulation of the product during transport</w:t>
      </w:r>
      <w:r w:rsidRPr="000A6F05">
        <w:rPr>
          <w:lang w:val="en-GB"/>
        </w:rPr>
        <w:t>.</w:t>
      </w:r>
      <w:r w:rsidR="006A5778" w:rsidRPr="000A6F05">
        <w:rPr>
          <w:lang w:val="en-GB"/>
        </w:rPr>
        <w:t xml:space="preserve"> </w:t>
      </w:r>
      <w:r w:rsidR="006A5778" w:rsidRPr="000A6F05">
        <w:rPr>
          <w:lang w:val="en-GB"/>
        </w:rPr>
        <w:fldChar w:fldCharType="begin"/>
      </w:r>
      <w:r w:rsidR="006A5778" w:rsidRPr="000A6F05">
        <w:rPr>
          <w:lang w:val="en-GB"/>
        </w:rPr>
        <w:instrText xml:space="preserve"> ADDIN EN.CITE &lt;EndNote&gt;&lt;Cite AuthorYear="1"&gt;&lt;Author&gt;Margeirsson&lt;/Author&gt;&lt;Year&gt;2012&lt;/Year&gt;&lt;RecNum&gt;42&lt;/RecNum&gt;&lt;DisplayText&gt;Margeirsson et al. (2012)&lt;/DisplayText&gt;&lt;record&gt;&lt;rec-number&gt;42&lt;/rec-number&gt;&lt;foreign-keys&gt;&lt;key app="EN" db-id="0wzzzxr91fdteke2p0tp59ejvve00s0edp09"&gt;42&lt;/key&gt;&lt;/foreign-keys&gt;&lt;ref-type name="Journal Article"&gt;17&lt;/ref-type&gt;&lt;contributors&gt;&lt;authors&gt;&lt;author&gt;Margeirsson, Björn&lt;/author&gt;&lt;author&gt;Lauzon, Hélène L.&lt;/author&gt;&lt;author&gt;Pálsson, Halldór&lt;/author&gt;&lt;author&gt;Popov, Viktor&lt;/author&gt;&lt;author&gt;Gospavic, Radovan&lt;/author&gt;&lt;author&gt;Jónsson, Magnús Þór&lt;/author&gt;&lt;author&gt;Sigurgísladóttir, Sjöfn&lt;/author&gt;&lt;author&gt;Arason, Sigurjón&lt;/author&gt;&lt;/authors&gt;&lt;/contributors&gt;&lt;titles&gt;&lt;title&gt;Temperature fluctuations and quality deterioration of chilled cod (Gadus morhua) fillets packaged in different boxes stored on pallets under dynamic temperature conditions&lt;/title&gt;&lt;secondary-title&gt;International Journal of Refrigeration&lt;/secondary-title&gt;&lt;/titles&gt;&lt;periodical&gt;&lt;full-title&gt;International Journal of Refrigeration&lt;/full-title&gt;&lt;/periodical&gt;&lt;pages&gt;187-201&lt;/pages&gt;&lt;volume&gt;35&lt;/volume&gt;&lt;number&gt;1&lt;/number&gt;&lt;keywords&gt;&lt;keyword&gt;Fish&lt;/keyword&gt;&lt;keyword&gt;Temperature variation&lt;/keyword&gt;&lt;keyword&gt;Packaging&lt;/keyword&gt;&lt;keyword&gt;Pallet&lt;/keyword&gt;&lt;keyword&gt;Insulation&lt;/keyword&gt;&lt;keyword&gt;Storage life&lt;/keyword&gt;&lt;keyword&gt;clésPoisson&lt;/keyword&gt;&lt;keyword&gt;Variation de température&lt;/keyword&gt;&lt;keyword&gt;Palette&lt;/keyword&gt;&lt;keyword&gt;Isolation&lt;/keyword&gt;&lt;keyword&gt;Durée de conservation&lt;/keyword&gt;&lt;/keywords&gt;&lt;dates&gt;&lt;year&gt;2012&lt;/year&gt;&lt;pub-dates&gt;&lt;date&gt;1//&lt;/date&gt;&lt;/pub-dates&gt;&lt;/dates&gt;&lt;isbn&gt;0140-7007&lt;/isbn&gt;&lt;urls&gt;&lt;related-urls&gt;&lt;url&gt;http://www.sciencedirect.com/science/article/pii/S0140700711002222&lt;/url&gt;&lt;/related-urls&gt;&lt;/urls&gt;&lt;electronic-resource-num&gt;http://dx.doi.org/10.1016/j.ijrefrig.2011.09.006&lt;/electronic-resource-num&gt;&lt;/record&gt;&lt;/Cite&gt;&lt;/EndNote&gt;</w:instrText>
      </w:r>
      <w:r w:rsidR="006A5778" w:rsidRPr="000A6F05">
        <w:rPr>
          <w:lang w:val="en-GB"/>
        </w:rPr>
        <w:fldChar w:fldCharType="separate"/>
      </w:r>
      <w:hyperlink w:anchor="_ENREF_15" w:tooltip="Margeirsson, 2012 #42" w:history="1">
        <w:r w:rsidR="008F77AB" w:rsidRPr="000A6F05">
          <w:rPr>
            <w:noProof/>
            <w:lang w:val="en-GB"/>
          </w:rPr>
          <w:t>Margeirsson et al. (2012</w:t>
        </w:r>
      </w:hyperlink>
      <w:r w:rsidR="006A5778" w:rsidRPr="000A6F05">
        <w:rPr>
          <w:noProof/>
          <w:lang w:val="en-GB"/>
        </w:rPr>
        <w:t>)</w:t>
      </w:r>
      <w:r w:rsidR="006A5778" w:rsidRPr="000A6F05">
        <w:rPr>
          <w:lang w:val="en-GB"/>
        </w:rPr>
        <w:fldChar w:fldCharType="end"/>
      </w:r>
      <w:r w:rsidR="00684AF4" w:rsidRPr="000A6F05">
        <w:rPr>
          <w:lang w:val="en-GB"/>
        </w:rPr>
        <w:t xml:space="preserve"> have</w:t>
      </w:r>
      <w:r w:rsidR="006A5778" w:rsidRPr="000A6F05">
        <w:rPr>
          <w:lang w:val="en-GB"/>
        </w:rPr>
        <w:t xml:space="preserve"> </w:t>
      </w:r>
      <w:r w:rsidRPr="000A6F05">
        <w:rPr>
          <w:lang w:val="en-GB"/>
        </w:rPr>
        <w:t>compared the use of EPS box and a</w:t>
      </w:r>
      <w:r w:rsidRPr="000A6F05">
        <w:rPr>
          <w:lang w:val="en-US"/>
        </w:rPr>
        <w:t xml:space="preserve"> </w:t>
      </w:r>
      <w:r w:rsidRPr="000A6F05">
        <w:rPr>
          <w:lang w:val="en-GB"/>
        </w:rPr>
        <w:t xml:space="preserve">more environmentally friendly corrugated plastic (CP) box </w:t>
      </w:r>
      <w:r w:rsidR="00684AF4" w:rsidRPr="000A6F05">
        <w:rPr>
          <w:lang w:val="en-GB"/>
        </w:rPr>
        <w:t xml:space="preserve">and observed that although better insulating performance of EPS than of CP was confirmed, similar storage life was observed for fish stored in the two box types under variable temperature. Thermal insulation of different types of EPS boxes and a box-in-box type cardboard prototype </w:t>
      </w:r>
      <w:r w:rsidR="007816FB" w:rsidRPr="000A6F05">
        <w:rPr>
          <w:lang w:val="en-GB"/>
        </w:rPr>
        <w:t xml:space="preserve">for chilled seafood transport </w:t>
      </w:r>
      <w:r w:rsidR="00684AF4" w:rsidRPr="000A6F05">
        <w:rPr>
          <w:lang w:val="en-GB"/>
        </w:rPr>
        <w:t xml:space="preserve">were studied by </w:t>
      </w:r>
      <w:r w:rsidR="00684AF4" w:rsidRPr="000A6F05">
        <w:rPr>
          <w:lang w:val="en-GB"/>
        </w:rPr>
        <w:fldChar w:fldCharType="begin"/>
      </w:r>
      <w:r w:rsidR="00684AF4" w:rsidRPr="000A6F05">
        <w:rPr>
          <w:lang w:val="en-GB"/>
        </w:rPr>
        <w:instrText xml:space="preserve"> ADDIN EN.CITE &lt;EndNote&gt;&lt;Cite AuthorYear="1"&gt;&lt;Author&gt;Navaranjan&lt;/Author&gt;&lt;Year&gt;2013&lt;/Year&gt;&lt;RecNum&gt;43&lt;/RecNum&gt;&lt;DisplayText&gt;Navaranjan et al. (2013)&lt;/DisplayText&gt;&lt;record&gt;&lt;rec-number&gt;43&lt;/rec-number&gt;&lt;foreign-keys&gt;&lt;key app="EN" db-id="0wzzzxr91fdteke2p0tp59ejvve00s0edp09"&gt;43&lt;/key&gt;&lt;/foreign-keys&gt;&lt;ref-type name="Journal Article"&gt;17&lt;/ref-type&gt;&lt;contributors&gt;&lt;authors&gt;&lt;author&gt;Navaranjan, Namasivayam&lt;/author&gt;&lt;author&gt;Fletcher, Graham C.&lt;/author&gt;&lt;author&gt;Summers, Graeme&lt;/author&gt;&lt;author&gt;Parr, Robin&lt;/author&gt;&lt;author&gt;Anderson, Ross&lt;/author&gt;&lt;/authors&gt;&lt;/contributors&gt;&lt;titles&gt;&lt;title&gt;Thermal insulation requirements and new cardboard packaging for chilled seafood exports&lt;/title&gt;&lt;secondary-title&gt;Journal of Food Engineering&lt;/secondary-title&gt;&lt;/titles&gt;&lt;periodical&gt;&lt;full-title&gt;Journal of Food Engineering&lt;/full-title&gt;&lt;/periodical&gt;&lt;pages&gt;395-403&lt;/pages&gt;&lt;volume&gt;119&lt;/volume&gt;&lt;number&gt;3&lt;/number&gt;&lt;keywords&gt;&lt;keyword&gt;Thermal resistance&lt;/keyword&gt;&lt;keyword&gt;Expanded polystyrene box&lt;/keyword&gt;&lt;keyword&gt;Cardboard box&lt;/keyword&gt;&lt;keyword&gt;Fish quality&lt;/keyword&gt;&lt;/keywords&gt;&lt;dates&gt;&lt;year&gt;2013&lt;/year&gt;&lt;pub-dates&gt;&lt;date&gt;12//&lt;/date&gt;&lt;/pub-dates&gt;&lt;/dates&gt;&lt;isbn&gt;0260-8774&lt;/isbn&gt;&lt;urls&gt;&lt;related-urls&gt;&lt;url&gt;http://www.sciencedirect.com/science/article/pii/S0260877413002835&lt;/url&gt;&lt;/related-urls&gt;&lt;/urls&gt;&lt;electronic-resource-num&gt;http://dx.doi.org/10.1016/j.jfoodeng.2013.05.042&lt;/electronic-resource-num&gt;&lt;/record&gt;&lt;/Cite&gt;&lt;/EndNote&gt;</w:instrText>
      </w:r>
      <w:r w:rsidR="00684AF4" w:rsidRPr="000A6F05">
        <w:rPr>
          <w:lang w:val="en-GB"/>
        </w:rPr>
        <w:fldChar w:fldCharType="separate"/>
      </w:r>
      <w:hyperlink w:anchor="_ENREF_17" w:tooltip="Navaranjan, 2013 #43" w:history="1">
        <w:r w:rsidR="008F77AB" w:rsidRPr="000A6F05">
          <w:rPr>
            <w:noProof/>
            <w:lang w:val="en-GB"/>
          </w:rPr>
          <w:t>Navaranjan et al. (2013</w:t>
        </w:r>
      </w:hyperlink>
      <w:r w:rsidR="00684AF4" w:rsidRPr="000A6F05">
        <w:rPr>
          <w:noProof/>
          <w:lang w:val="en-GB"/>
        </w:rPr>
        <w:t>)</w:t>
      </w:r>
      <w:r w:rsidR="00684AF4" w:rsidRPr="000A6F05">
        <w:rPr>
          <w:lang w:val="en-GB"/>
        </w:rPr>
        <w:fldChar w:fldCharType="end"/>
      </w:r>
      <w:r w:rsidR="00B3572F" w:rsidRPr="000A6F05">
        <w:rPr>
          <w:lang w:val="en-GB"/>
        </w:rPr>
        <w:t>. T</w:t>
      </w:r>
      <w:r w:rsidR="007816FB" w:rsidRPr="000A6F05">
        <w:rPr>
          <w:lang w:val="en-GB"/>
        </w:rPr>
        <w:t>hey suggested that</w:t>
      </w:r>
      <w:r w:rsidR="007816FB" w:rsidRPr="000A6F05">
        <w:rPr>
          <w:lang w:val="en-US"/>
        </w:rPr>
        <w:t xml:space="preserve"> </w:t>
      </w:r>
      <w:r w:rsidR="007816FB" w:rsidRPr="000A6F05">
        <w:rPr>
          <w:lang w:val="en-GB"/>
        </w:rPr>
        <w:t xml:space="preserve">lower insulation properties than standard EPS boxes </w:t>
      </w:r>
      <w:r w:rsidR="00AD7185" w:rsidRPr="000A6F05">
        <w:rPr>
          <w:lang w:val="en-GB"/>
        </w:rPr>
        <w:t xml:space="preserve">(40% diminution of mass for the same volume) </w:t>
      </w:r>
      <w:r w:rsidR="007816FB" w:rsidRPr="000A6F05">
        <w:rPr>
          <w:lang w:val="en-GB"/>
        </w:rPr>
        <w:t xml:space="preserve">could be used for fish transport. In order to evaluate the potential of </w:t>
      </w:r>
      <w:r w:rsidR="000F710D" w:rsidRPr="000A6F05">
        <w:rPr>
          <w:lang w:val="en-GB"/>
        </w:rPr>
        <w:t xml:space="preserve">this solution, two scenarios are studied: </w:t>
      </w:r>
    </w:p>
    <w:p w:rsidR="00935F64" w:rsidRPr="000A6F05" w:rsidRDefault="00AD7185" w:rsidP="00935F64">
      <w:pPr>
        <w:pStyle w:val="ListParagraph"/>
        <w:numPr>
          <w:ilvl w:val="0"/>
          <w:numId w:val="18"/>
        </w:numPr>
        <w:tabs>
          <w:tab w:val="left" w:pos="0"/>
        </w:tabs>
        <w:spacing w:line="360" w:lineRule="auto"/>
        <w:jc w:val="both"/>
        <w:rPr>
          <w:lang w:val="en-GB"/>
        </w:rPr>
      </w:pPr>
      <w:r w:rsidRPr="000A6F05">
        <w:rPr>
          <w:lang w:val="en-GB"/>
        </w:rPr>
        <w:t>S1</w:t>
      </w:r>
      <w:r w:rsidR="00935F64" w:rsidRPr="000A6F05">
        <w:rPr>
          <w:lang w:val="en-GB"/>
        </w:rPr>
        <w:t xml:space="preserve">: in this scenario, the quantity of EPS is reduced </w:t>
      </w:r>
      <w:r w:rsidR="00613344" w:rsidRPr="000A6F05">
        <w:rPr>
          <w:lang w:val="en-GB"/>
        </w:rPr>
        <w:t xml:space="preserve">of </w:t>
      </w:r>
      <w:r w:rsidRPr="000A6F05">
        <w:rPr>
          <w:lang w:val="en-GB"/>
        </w:rPr>
        <w:t>4</w:t>
      </w:r>
      <w:r w:rsidR="00935F64" w:rsidRPr="000A6F05">
        <w:rPr>
          <w:lang w:val="en-GB"/>
        </w:rPr>
        <w:t>0%</w:t>
      </w:r>
    </w:p>
    <w:p w:rsidR="00523B75" w:rsidRPr="000A6F05" w:rsidRDefault="00D23F1B" w:rsidP="00935F64">
      <w:pPr>
        <w:pStyle w:val="ListParagraph"/>
        <w:numPr>
          <w:ilvl w:val="0"/>
          <w:numId w:val="18"/>
        </w:numPr>
        <w:tabs>
          <w:tab w:val="left" w:pos="0"/>
        </w:tabs>
        <w:spacing w:line="360" w:lineRule="auto"/>
        <w:jc w:val="both"/>
        <w:rPr>
          <w:lang w:val="en-GB"/>
        </w:rPr>
      </w:pPr>
      <w:r w:rsidRPr="000A6F05">
        <w:rPr>
          <w:lang w:val="en-GB"/>
        </w:rPr>
        <w:t>S2</w:t>
      </w:r>
      <w:r w:rsidR="00935F64" w:rsidRPr="000A6F05">
        <w:rPr>
          <w:lang w:val="en-GB"/>
        </w:rPr>
        <w:t>: in this scenario, the EPS is replaced by the CP, the same quantity is used</w:t>
      </w:r>
      <w:r w:rsidR="00613344" w:rsidRPr="000A6F05">
        <w:rPr>
          <w:lang w:val="en-GB"/>
        </w:rPr>
        <w:t xml:space="preserve"> (</w:t>
      </w:r>
      <w:r w:rsidR="00935F64" w:rsidRPr="000A6F05">
        <w:rPr>
          <w:lang w:val="en-GB"/>
        </w:rPr>
        <w:t xml:space="preserve">the EPS and CP boxes in the study carried out by </w:t>
      </w:r>
      <w:r w:rsidR="00935F64" w:rsidRPr="000A6F05">
        <w:rPr>
          <w:lang w:val="en-GB"/>
        </w:rPr>
        <w:fldChar w:fldCharType="begin"/>
      </w:r>
      <w:r w:rsidR="00935F64" w:rsidRPr="000A6F05">
        <w:rPr>
          <w:lang w:val="en-GB"/>
        </w:rPr>
        <w:instrText xml:space="preserve"> ADDIN EN.CITE &lt;EndNote&gt;&lt;Cite AuthorYear="1"&gt;&lt;Author&gt;Margeirsson&lt;/Author&gt;&lt;Year&gt;2012&lt;/Year&gt;&lt;RecNum&gt;42&lt;/RecNum&gt;&lt;DisplayText&gt;Margeirsson et al. (2012)&lt;/DisplayText&gt;&lt;record&gt;&lt;rec-number&gt;42&lt;/rec-number&gt;&lt;foreign-keys&gt;&lt;key app="EN" db-id="0wzzzxr91fdteke2p0tp59ejvve00s0edp09"&gt;42&lt;/key&gt;&lt;/foreign-keys&gt;&lt;ref-type name="Journal Article"&gt;17&lt;/ref-type&gt;&lt;contributors&gt;&lt;authors&gt;&lt;author&gt;Margeirsson, Björn&lt;/author&gt;&lt;author&gt;Lauzon, Hélène L.&lt;/author&gt;&lt;author&gt;Pálsson, Halldór&lt;/author&gt;&lt;author&gt;Popov, Viktor&lt;/author&gt;&lt;author&gt;Gospavic, Radovan&lt;/author&gt;&lt;author&gt;Jónsson, Magnús Þór&lt;/author&gt;&lt;author&gt;Sigurgísladóttir, Sjöfn&lt;/author&gt;&lt;author&gt;Arason, Sigurjón&lt;/author&gt;&lt;/authors&gt;&lt;/contributors&gt;&lt;titles&gt;&lt;title&gt;Temperature fluctuations and quality deterioration of chilled cod (Gadus morhua) fillets packaged in different boxes stored on pallets under dynamic temperature conditions&lt;/title&gt;&lt;secondary-title&gt;International Journal of Refrigeration&lt;/secondary-title&gt;&lt;/titles&gt;&lt;periodical&gt;&lt;full-title&gt;International Journal of Refrigeration&lt;/full-title&gt;&lt;/periodical&gt;&lt;pages&gt;187-201&lt;/pages&gt;&lt;volume&gt;35&lt;/volume&gt;&lt;number&gt;1&lt;/number&gt;&lt;keywords&gt;&lt;keyword&gt;Fish&lt;/keyword&gt;&lt;keyword&gt;Temperature variation&lt;/keyword&gt;&lt;keyword&gt;Packaging&lt;/keyword&gt;&lt;keyword&gt;Pallet&lt;/keyword&gt;&lt;keyword&gt;Insulation&lt;/keyword&gt;&lt;keyword&gt;Storage life&lt;/keyword&gt;&lt;keyword&gt;clésPoisson&lt;/keyword&gt;&lt;keyword&gt;Variation de température&lt;/keyword&gt;&lt;keyword&gt;Palette&lt;/keyword&gt;&lt;keyword&gt;Isolation&lt;/keyword&gt;&lt;keyword&gt;Durée de conservation&lt;/keyword&gt;&lt;/keywords&gt;&lt;dates&gt;&lt;year&gt;2012&lt;/year&gt;&lt;pub-dates&gt;&lt;date&gt;1//&lt;/date&gt;&lt;/pub-dates&gt;&lt;/dates&gt;&lt;isbn&gt;0140-7007&lt;/isbn&gt;&lt;urls&gt;&lt;related-urls&gt;&lt;url&gt;http://www.sciencedirect.com/science/article/pii/S0140700711002222&lt;/url&gt;&lt;/related-urls&gt;&lt;/urls&gt;&lt;electronic-resource-num&gt;http://dx.doi.org/10.1016/j.ijrefrig.2011.09.006&lt;/electronic-resource-num&gt;&lt;/record&gt;&lt;/Cite&gt;&lt;/EndNote&gt;</w:instrText>
      </w:r>
      <w:r w:rsidR="00935F64" w:rsidRPr="000A6F05">
        <w:rPr>
          <w:lang w:val="en-GB"/>
        </w:rPr>
        <w:fldChar w:fldCharType="separate"/>
      </w:r>
      <w:hyperlink w:anchor="_ENREF_15" w:tooltip="Margeirsson, 2012 #42" w:history="1">
        <w:r w:rsidR="008F77AB" w:rsidRPr="000A6F05">
          <w:rPr>
            <w:noProof/>
            <w:lang w:val="en-GB"/>
          </w:rPr>
          <w:t>Margeirsson et al. (2012</w:t>
        </w:r>
      </w:hyperlink>
      <w:r w:rsidR="00935F64" w:rsidRPr="000A6F05">
        <w:rPr>
          <w:noProof/>
          <w:lang w:val="en-GB"/>
        </w:rPr>
        <w:t>)</w:t>
      </w:r>
      <w:r w:rsidR="00935F64" w:rsidRPr="000A6F05">
        <w:rPr>
          <w:lang w:val="en-GB"/>
        </w:rPr>
        <w:fldChar w:fldCharType="end"/>
      </w:r>
      <w:r w:rsidR="00935F64" w:rsidRPr="000A6F05">
        <w:rPr>
          <w:lang w:val="en-GB"/>
        </w:rPr>
        <w:t xml:space="preserve"> had the nearly same mass</w:t>
      </w:r>
      <w:r w:rsidR="00613344" w:rsidRPr="000A6F05">
        <w:rPr>
          <w:lang w:val="en-GB"/>
        </w:rPr>
        <w:t xml:space="preserve">: </w:t>
      </w:r>
      <w:r w:rsidR="00935F64" w:rsidRPr="000A6F05">
        <w:rPr>
          <w:lang w:val="en-GB"/>
        </w:rPr>
        <w:t>171 g and 178 g respectively for 3 kg of fish).</w:t>
      </w:r>
      <w:r w:rsidR="007816FB" w:rsidRPr="000A6F05">
        <w:rPr>
          <w:lang w:val="en-GB"/>
        </w:rPr>
        <w:t xml:space="preserve">  </w:t>
      </w:r>
    </w:p>
    <w:p w:rsidR="00613344" w:rsidRPr="000A6F05" w:rsidRDefault="00613344" w:rsidP="00613344">
      <w:pPr>
        <w:tabs>
          <w:tab w:val="left" w:pos="0"/>
        </w:tabs>
        <w:spacing w:line="360" w:lineRule="auto"/>
        <w:ind w:left="360"/>
        <w:jc w:val="both"/>
        <w:rPr>
          <w:lang w:val="en-GB"/>
        </w:rPr>
      </w:pPr>
    </w:p>
    <w:p w:rsidR="0083402A" w:rsidRPr="000A6F05" w:rsidRDefault="00935F64" w:rsidP="00935F64">
      <w:pPr>
        <w:pStyle w:val="ListParagraph"/>
        <w:numPr>
          <w:ilvl w:val="0"/>
          <w:numId w:val="29"/>
        </w:numPr>
        <w:tabs>
          <w:tab w:val="left" w:pos="0"/>
        </w:tabs>
        <w:spacing w:line="360" w:lineRule="auto"/>
        <w:jc w:val="both"/>
        <w:rPr>
          <w:lang w:val="en-GB"/>
        </w:rPr>
      </w:pPr>
      <w:r w:rsidRPr="000A6F05">
        <w:rPr>
          <w:lang w:val="en-GB"/>
        </w:rPr>
        <w:t>Reducing</w:t>
      </w:r>
      <w:r w:rsidR="00523B75" w:rsidRPr="000A6F05">
        <w:rPr>
          <w:lang w:val="en-GB"/>
        </w:rPr>
        <w:t xml:space="preserve"> the distance of the 1</w:t>
      </w:r>
      <w:r w:rsidR="00523B75" w:rsidRPr="000A6F05">
        <w:rPr>
          <w:vertAlign w:val="superscript"/>
          <w:lang w:val="en-GB"/>
        </w:rPr>
        <w:t>st</w:t>
      </w:r>
      <w:r w:rsidR="00523B75" w:rsidRPr="000A6F05">
        <w:rPr>
          <w:lang w:val="en-GB"/>
        </w:rPr>
        <w:t xml:space="preserve"> transport</w:t>
      </w:r>
      <w:r w:rsidR="004A24F2" w:rsidRPr="000A6F05">
        <w:rPr>
          <w:lang w:val="en-GB"/>
        </w:rPr>
        <w:t xml:space="preserve"> </w:t>
      </w:r>
    </w:p>
    <w:p w:rsidR="00C224A4" w:rsidRPr="000A6F05" w:rsidRDefault="00613344" w:rsidP="00935F64">
      <w:pPr>
        <w:tabs>
          <w:tab w:val="left" w:pos="0"/>
        </w:tabs>
        <w:spacing w:line="360" w:lineRule="auto"/>
        <w:jc w:val="both"/>
        <w:rPr>
          <w:lang w:val="en-US"/>
        </w:rPr>
      </w:pPr>
      <w:r w:rsidRPr="000A6F05">
        <w:rPr>
          <w:lang w:val="en-US"/>
        </w:rPr>
        <w:t>In the reference cold chain</w:t>
      </w:r>
      <w:r w:rsidR="00122EB5" w:rsidRPr="000A6F05">
        <w:rPr>
          <w:lang w:val="en-US"/>
        </w:rPr>
        <w:t xml:space="preserve"> (section 2)</w:t>
      </w:r>
      <w:r w:rsidRPr="000A6F05">
        <w:rPr>
          <w:lang w:val="en-US"/>
        </w:rPr>
        <w:t xml:space="preserve">, the first transport corresponds to a distance of about 2160 km and a duration of 36h. This distance </w:t>
      </w:r>
      <w:r w:rsidR="00C224A4" w:rsidRPr="000A6F05">
        <w:rPr>
          <w:lang w:val="en-US"/>
        </w:rPr>
        <w:t>is close to th</w:t>
      </w:r>
      <w:r w:rsidR="00B3572F" w:rsidRPr="000A6F05">
        <w:rPr>
          <w:lang w:val="en-US"/>
        </w:rPr>
        <w:t>e distance between Oslo and Monaco</w:t>
      </w:r>
      <w:r w:rsidR="00C224A4" w:rsidRPr="000A6F05">
        <w:rPr>
          <w:lang w:val="en-US"/>
        </w:rPr>
        <w:t xml:space="preserve"> for example. In the third </w:t>
      </w:r>
      <w:r w:rsidR="00AD7185" w:rsidRPr="000A6F05">
        <w:rPr>
          <w:lang w:val="en-US"/>
        </w:rPr>
        <w:t>scenarios, shorter distance is</w:t>
      </w:r>
      <w:r w:rsidR="00C224A4" w:rsidRPr="000A6F05">
        <w:rPr>
          <w:lang w:val="en-US"/>
        </w:rPr>
        <w:t xml:space="preserve"> considered:</w:t>
      </w:r>
    </w:p>
    <w:p w:rsidR="00935F64" w:rsidRPr="000A6F05" w:rsidRDefault="00D23F1B" w:rsidP="00C224A4">
      <w:pPr>
        <w:pStyle w:val="ListParagraph"/>
        <w:numPr>
          <w:ilvl w:val="0"/>
          <w:numId w:val="18"/>
        </w:numPr>
        <w:tabs>
          <w:tab w:val="left" w:pos="0"/>
        </w:tabs>
        <w:spacing w:line="360" w:lineRule="auto"/>
        <w:jc w:val="both"/>
        <w:rPr>
          <w:lang w:val="en-US"/>
        </w:rPr>
      </w:pPr>
      <w:r w:rsidRPr="000A6F05">
        <w:rPr>
          <w:lang w:val="en-US"/>
        </w:rPr>
        <w:t>S3</w:t>
      </w:r>
      <w:r w:rsidR="00C224A4" w:rsidRPr="000A6F05">
        <w:rPr>
          <w:lang w:val="en-US"/>
        </w:rPr>
        <w:t xml:space="preserve">: </w:t>
      </w:r>
      <w:r w:rsidR="00C224A4" w:rsidRPr="000A6F05">
        <w:rPr>
          <w:lang w:val="en-GB"/>
        </w:rPr>
        <w:t xml:space="preserve">in this scenario, </w:t>
      </w:r>
      <w:r w:rsidR="00122EB5" w:rsidRPr="000A6F05">
        <w:rPr>
          <w:lang w:val="en-GB"/>
        </w:rPr>
        <w:t>the distance is re</w:t>
      </w:r>
      <w:r w:rsidR="00AD7185" w:rsidRPr="000A6F05">
        <w:rPr>
          <w:lang w:val="en-GB"/>
        </w:rPr>
        <w:t>duced of 4</w:t>
      </w:r>
      <w:r w:rsidR="00122EB5" w:rsidRPr="000A6F05">
        <w:rPr>
          <w:lang w:val="en-GB"/>
        </w:rPr>
        <w:t xml:space="preserve">0%, </w:t>
      </w:r>
      <w:r w:rsidR="00C224A4" w:rsidRPr="000A6F05">
        <w:rPr>
          <w:lang w:val="en-GB"/>
        </w:rPr>
        <w:t>a dista</w:t>
      </w:r>
      <w:r w:rsidR="00C65EBC" w:rsidRPr="000A6F05">
        <w:rPr>
          <w:lang w:val="en-GB"/>
        </w:rPr>
        <w:t>nce of 1296</w:t>
      </w:r>
      <w:r w:rsidR="00122EB5" w:rsidRPr="000A6F05">
        <w:rPr>
          <w:lang w:val="en-GB"/>
        </w:rPr>
        <w:t xml:space="preserve"> km is considered</w:t>
      </w:r>
      <w:r w:rsidR="00C65EBC" w:rsidRPr="000A6F05">
        <w:rPr>
          <w:lang w:val="en-GB"/>
        </w:rPr>
        <w:t xml:space="preserve">. </w:t>
      </w:r>
    </w:p>
    <w:p w:rsidR="00122EB5" w:rsidRPr="000A6F05" w:rsidRDefault="00122EB5" w:rsidP="00122EB5">
      <w:pPr>
        <w:pStyle w:val="ListParagraph"/>
        <w:tabs>
          <w:tab w:val="left" w:pos="0"/>
        </w:tabs>
        <w:spacing w:line="360" w:lineRule="auto"/>
        <w:jc w:val="both"/>
        <w:rPr>
          <w:lang w:val="en-US"/>
        </w:rPr>
      </w:pPr>
    </w:p>
    <w:p w:rsidR="00523B75" w:rsidRPr="000A6F05" w:rsidRDefault="00613344" w:rsidP="00935F64">
      <w:pPr>
        <w:pStyle w:val="ListParagraph"/>
        <w:numPr>
          <w:ilvl w:val="0"/>
          <w:numId w:val="29"/>
        </w:numPr>
        <w:tabs>
          <w:tab w:val="left" w:pos="0"/>
        </w:tabs>
        <w:spacing w:line="360" w:lineRule="auto"/>
        <w:jc w:val="both"/>
        <w:rPr>
          <w:lang w:val="en-GB"/>
        </w:rPr>
      </w:pPr>
      <w:r w:rsidRPr="000A6F05">
        <w:rPr>
          <w:lang w:val="en-GB"/>
        </w:rPr>
        <w:t>Reducing</w:t>
      </w:r>
      <w:r w:rsidR="00523B75" w:rsidRPr="000A6F05">
        <w:rPr>
          <w:lang w:val="en-GB"/>
        </w:rPr>
        <w:t xml:space="preserve"> the electricity consumption of the display cabinet</w:t>
      </w:r>
    </w:p>
    <w:p w:rsidR="006A5778" w:rsidRPr="000A6F05" w:rsidRDefault="00122EB5" w:rsidP="006A5778">
      <w:pPr>
        <w:tabs>
          <w:tab w:val="left" w:pos="0"/>
        </w:tabs>
        <w:spacing w:line="360" w:lineRule="auto"/>
        <w:jc w:val="both"/>
        <w:rPr>
          <w:lang w:val="en-US"/>
        </w:rPr>
      </w:pPr>
      <w:r w:rsidRPr="000A6F05">
        <w:rPr>
          <w:lang w:val="en-GB"/>
        </w:rPr>
        <w:t xml:space="preserve">In the reference cold chain (section 2), </w:t>
      </w:r>
      <w:r w:rsidR="00B3572F" w:rsidRPr="000A6F05">
        <w:rPr>
          <w:lang w:val="en-GB"/>
        </w:rPr>
        <w:t xml:space="preserve">the type of the display cabinet is </w:t>
      </w:r>
      <w:r w:rsidRPr="000A6F05">
        <w:rPr>
          <w:lang w:val="en-GB"/>
        </w:rPr>
        <w:t xml:space="preserve">an </w:t>
      </w:r>
      <w:r w:rsidR="00B3572F" w:rsidRPr="000A6F05">
        <w:rPr>
          <w:lang w:val="en-US"/>
        </w:rPr>
        <w:t>open-fronted one</w:t>
      </w:r>
      <w:r w:rsidRPr="000A6F05">
        <w:rPr>
          <w:lang w:val="en-US"/>
        </w:rPr>
        <w:t xml:space="preserve">. </w:t>
      </w:r>
      <w:r w:rsidR="004D31D7" w:rsidRPr="000A6F05">
        <w:rPr>
          <w:lang w:val="en-US"/>
        </w:rPr>
        <w:t>It was</w:t>
      </w:r>
      <w:r w:rsidRPr="000A6F05">
        <w:rPr>
          <w:lang w:val="en-US"/>
        </w:rPr>
        <w:t xml:space="preserve"> shown by </w:t>
      </w:r>
      <w:r w:rsidRPr="000A6F05">
        <w:rPr>
          <w:lang w:val="en-US"/>
        </w:rPr>
        <w:fldChar w:fldCharType="begin"/>
      </w:r>
      <w:r w:rsidRPr="000A6F05">
        <w:rPr>
          <w:lang w:val="en-US"/>
        </w:rPr>
        <w:instrText xml:space="preserve"> ADDIN EN.CITE &lt;EndNote&gt;&lt;Cite AuthorYear="1"&gt;&lt;Author&gt;Evans&lt;/Author&gt;&lt;Year&gt;2007&lt;/Year&gt;&lt;RecNum&gt;49&lt;/RecNum&gt;&lt;DisplayText&gt;Evans et al. (2007)&lt;/DisplayText&gt;&lt;record&gt;&lt;rec-number&gt;49&lt;/rec-number&gt;&lt;foreign-keys&gt;&lt;key app="EN" db-id="0wzzzxr91fdteke2p0tp59ejvve00s0edp09"&gt;49&lt;/key&gt;&lt;/foreign-keys&gt;&lt;ref-type name="Journal Article"&gt;17&lt;/ref-type&gt;&lt;contributors&gt;&lt;authors&gt;&lt;author&gt;Evans, J. A.&lt;/author&gt;&lt;author&gt;Scarcelli, S.&lt;/author&gt;&lt;author&gt;Swain, M. V. L.&lt;/author&gt;&lt;/authors&gt;&lt;/contributors&gt;&lt;titles&gt;&lt;title&gt;Temperature and energy performance of refrigerated retail display and commercial catering cabinets under test conditions&lt;/title&gt;&lt;secondary-title&gt;International Journal of Refrigeration&lt;/secondary-title&gt;&lt;/titles&gt;&lt;periodical&gt;&lt;full-title&gt;International Journal of Refrigeration&lt;/full-title&gt;&lt;/periodical&gt;&lt;pages&gt;398-408&lt;/pages&gt;&lt;volume&gt;30&lt;/volume&gt;&lt;number&gt;3&lt;/number&gt;&lt;keywords&gt;&lt;keyword&gt;Refrigeration&lt;/keyword&gt;&lt;keyword&gt;Commercial application&lt;/keyword&gt;&lt;keyword&gt;Display cabinet&lt;/keyword&gt;&lt;keyword&gt;Test&lt;/keyword&gt;&lt;keyword&gt;Measurement&lt;/keyword&gt;&lt;keyword&gt;Performance&lt;/keyword&gt;&lt;keyword&gt;Temperature&lt;/keyword&gt;&lt;keyword&gt;Energy consumptionés&lt;/keyword&gt;&lt;keyword&gt;Froid&lt;/keyword&gt;&lt;keyword&gt;Application commerciale&lt;/keyword&gt;&lt;keyword&gt;Meuble de vente&lt;/keyword&gt;&lt;keyword&gt;Essai&lt;/keyword&gt;&lt;keyword&gt;Mesure&lt;/keyword&gt;&lt;keyword&gt;Température&lt;/keyword&gt;&lt;keyword&gt;Consommation d&amp;apos;énergie&lt;/keyword&gt;&lt;/keywords&gt;&lt;dates&gt;&lt;year&gt;2007&lt;/year&gt;&lt;pub-dates&gt;&lt;date&gt;5//&lt;/date&gt;&lt;/pub-dates&gt;&lt;/dates&gt;&lt;isbn&gt;0140-7007&lt;/isbn&gt;&lt;urls&gt;&lt;related-urls&gt;&lt;url&gt;http://www.sciencedirect.com/science/article/pii/S0140700706002118&lt;/url&gt;&lt;/related-urls&gt;&lt;/urls&gt;&lt;electronic-resource-num&gt;http://dx.doi.org/10.1016/j.ijrefrig.2006.10.006&lt;/electronic-resource-num&gt;&lt;/record&gt;&lt;/Cite&gt;&lt;/EndNote&gt;</w:instrText>
      </w:r>
      <w:r w:rsidRPr="000A6F05">
        <w:rPr>
          <w:lang w:val="en-US"/>
        </w:rPr>
        <w:fldChar w:fldCharType="separate"/>
      </w:r>
      <w:hyperlink w:anchor="_ENREF_11" w:tooltip="Evans, 2007 #49" w:history="1">
        <w:r w:rsidR="008F77AB" w:rsidRPr="000A6F05">
          <w:rPr>
            <w:noProof/>
            <w:lang w:val="en-US"/>
          </w:rPr>
          <w:t>Evans et al. (2007</w:t>
        </w:r>
      </w:hyperlink>
      <w:r w:rsidRPr="000A6F05">
        <w:rPr>
          <w:noProof/>
          <w:lang w:val="en-US"/>
        </w:rPr>
        <w:t>)</w:t>
      </w:r>
      <w:r w:rsidRPr="000A6F05">
        <w:rPr>
          <w:lang w:val="en-US"/>
        </w:rPr>
        <w:fldChar w:fldCharType="end"/>
      </w:r>
      <w:r w:rsidRPr="000A6F05">
        <w:rPr>
          <w:lang w:val="en-US"/>
        </w:rPr>
        <w:t xml:space="preserve"> that </w:t>
      </w:r>
      <w:r w:rsidR="00A97FA6" w:rsidRPr="000A6F05">
        <w:rPr>
          <w:lang w:val="en-US"/>
        </w:rPr>
        <w:t xml:space="preserve">the energy consumption of the display cabinet can be significantly reduced by using </w:t>
      </w:r>
      <w:r w:rsidR="004D31D7" w:rsidRPr="000A6F05">
        <w:rPr>
          <w:lang w:val="en-US"/>
        </w:rPr>
        <w:t xml:space="preserve">the cabinet equipped with doors: 35% of reduction was observed. </w:t>
      </w:r>
    </w:p>
    <w:p w:rsidR="004D31D7" w:rsidRPr="000A6F05" w:rsidRDefault="00C65EBC" w:rsidP="006A5778">
      <w:pPr>
        <w:pStyle w:val="ListParagraph"/>
        <w:numPr>
          <w:ilvl w:val="0"/>
          <w:numId w:val="18"/>
        </w:numPr>
        <w:tabs>
          <w:tab w:val="left" w:pos="0"/>
        </w:tabs>
        <w:spacing w:line="360" w:lineRule="auto"/>
        <w:jc w:val="both"/>
        <w:rPr>
          <w:lang w:val="en-US"/>
        </w:rPr>
      </w:pPr>
      <w:r w:rsidRPr="000A6F05">
        <w:rPr>
          <w:lang w:val="en-US"/>
        </w:rPr>
        <w:t>S4</w:t>
      </w:r>
      <w:r w:rsidR="004D31D7" w:rsidRPr="000A6F05">
        <w:rPr>
          <w:lang w:val="en-US"/>
        </w:rPr>
        <w:t xml:space="preserve">: </w:t>
      </w:r>
      <w:r w:rsidR="004D31D7" w:rsidRPr="000A6F05">
        <w:rPr>
          <w:lang w:val="en-GB"/>
        </w:rPr>
        <w:t>in this scenario, the electric</w:t>
      </w:r>
      <w:r w:rsidRPr="000A6F05">
        <w:rPr>
          <w:lang w:val="en-GB"/>
        </w:rPr>
        <w:t>ity consumption is reduced of 35</w:t>
      </w:r>
      <w:r w:rsidR="004D31D7" w:rsidRPr="000A6F05">
        <w:rPr>
          <w:lang w:val="en-GB"/>
        </w:rPr>
        <w:t xml:space="preserve">% for the display cabinet which corresponds to 599 kJ/kg salmon. </w:t>
      </w:r>
    </w:p>
    <w:p w:rsidR="001A6B40" w:rsidRPr="000A6F05" w:rsidRDefault="001A6B40" w:rsidP="001A6B40">
      <w:pPr>
        <w:tabs>
          <w:tab w:val="left" w:pos="0"/>
        </w:tabs>
        <w:spacing w:line="360" w:lineRule="auto"/>
        <w:jc w:val="both"/>
        <w:rPr>
          <w:lang w:val="en-US"/>
        </w:rPr>
      </w:pPr>
    </w:p>
    <w:p w:rsidR="00923730" w:rsidRPr="000A6F05" w:rsidRDefault="001A6B40" w:rsidP="001A6B40">
      <w:pPr>
        <w:tabs>
          <w:tab w:val="left" w:pos="0"/>
        </w:tabs>
        <w:spacing w:line="360" w:lineRule="auto"/>
        <w:jc w:val="both"/>
        <w:rPr>
          <w:lang w:val="en-US"/>
        </w:rPr>
      </w:pPr>
      <w:r w:rsidRPr="000A6F05">
        <w:rPr>
          <w:lang w:val="en-US"/>
        </w:rPr>
        <w:t xml:space="preserve">In order to compare </w:t>
      </w:r>
      <w:r w:rsidR="00B17D7E" w:rsidRPr="000A6F05">
        <w:rPr>
          <w:lang w:val="en-US"/>
        </w:rPr>
        <w:t>these solutions, the environmental impacts obtained from each scenario are c</w:t>
      </w:r>
      <w:r w:rsidR="003C6611" w:rsidRPr="000A6F05">
        <w:rPr>
          <w:lang w:val="en-US"/>
        </w:rPr>
        <w:t>ompared</w:t>
      </w:r>
      <w:r w:rsidR="00B17D7E" w:rsidRPr="000A6F05">
        <w:rPr>
          <w:lang w:val="en-US"/>
        </w:rPr>
        <w:t xml:space="preserve"> to the results of the reference superchilled cold chain i</w:t>
      </w:r>
      <w:r w:rsidRPr="000A6F05">
        <w:rPr>
          <w:lang w:val="en-US"/>
        </w:rPr>
        <w:t>n Figure 5. For each scenario, only one parameter is changed, the others are taken from the reference superchilled cold chain. Except the scenario 2 (replace</w:t>
      </w:r>
      <w:r w:rsidR="003C1C1D" w:rsidRPr="000A6F05">
        <w:rPr>
          <w:lang w:val="en-US"/>
        </w:rPr>
        <w:t xml:space="preserve">ment of </w:t>
      </w:r>
      <w:r w:rsidRPr="000A6F05">
        <w:rPr>
          <w:lang w:val="en-US"/>
        </w:rPr>
        <w:t>EPS by CP)</w:t>
      </w:r>
      <w:r w:rsidR="003C6611" w:rsidRPr="000A6F05">
        <w:rPr>
          <w:lang w:val="en-US"/>
        </w:rPr>
        <w:t xml:space="preserve"> in which the impacts </w:t>
      </w:r>
      <w:r w:rsidR="00FF47B0" w:rsidRPr="000A6F05">
        <w:rPr>
          <w:lang w:val="en-US"/>
        </w:rPr>
        <w:t>concerning</w:t>
      </w:r>
      <w:r w:rsidR="003C6611" w:rsidRPr="000A6F05">
        <w:rPr>
          <w:lang w:val="en-US"/>
        </w:rPr>
        <w:t xml:space="preserve"> terrestrial ecotoxicity, </w:t>
      </w:r>
      <w:r w:rsidR="003C6611" w:rsidRPr="000A6F05">
        <w:rPr>
          <w:color w:val="000000"/>
          <w:lang w:val="en-US"/>
        </w:rPr>
        <w:t>photochemical oxidation and acidification</w:t>
      </w:r>
      <w:r w:rsidR="003C6611" w:rsidRPr="000A6F05">
        <w:rPr>
          <w:lang w:val="en-US"/>
        </w:rPr>
        <w:t xml:space="preserve"> are increased, all the three other scenarios present a better performance in all categories compared to the reference superchilled cold chain. </w:t>
      </w:r>
      <w:r w:rsidR="00FF47B0" w:rsidRPr="000A6F05">
        <w:rPr>
          <w:lang w:val="en-US"/>
        </w:rPr>
        <w:t xml:space="preserve">This result showed that the corrugated plastic (CP) is not totally more </w:t>
      </w:r>
      <w:r w:rsidR="00FF47B0" w:rsidRPr="000A6F05">
        <w:rPr>
          <w:lang w:val="en-GB"/>
        </w:rPr>
        <w:t xml:space="preserve">environmentally friendly than the EPS but further study is needed to confirm this. The scenario 1 (reduction 40% of EPS) </w:t>
      </w:r>
      <w:r w:rsidR="00B44C45" w:rsidRPr="000A6F05">
        <w:rPr>
          <w:lang w:val="en-GB"/>
        </w:rPr>
        <w:t>allows a diminution of</w:t>
      </w:r>
      <w:r w:rsidR="00FF47B0" w:rsidRPr="000A6F05">
        <w:rPr>
          <w:lang w:val="en-GB"/>
        </w:rPr>
        <w:t xml:space="preserve"> more than 20% of the impacts concerning abiotic depletion and human toxicity. The scenario 3 (reduction 40% of the 1</w:t>
      </w:r>
      <w:r w:rsidR="00FF47B0" w:rsidRPr="000A6F05">
        <w:rPr>
          <w:vertAlign w:val="superscript"/>
          <w:lang w:val="en-GB"/>
        </w:rPr>
        <w:t>st</w:t>
      </w:r>
      <w:r w:rsidR="00FF47B0" w:rsidRPr="000A6F05">
        <w:rPr>
          <w:lang w:val="en-GB"/>
        </w:rPr>
        <w:t xml:space="preserve"> transport distance) presents the best performance </w:t>
      </w:r>
      <w:r w:rsidR="00C7206C" w:rsidRPr="000A6F05">
        <w:rPr>
          <w:lang w:val="en-GB"/>
        </w:rPr>
        <w:t xml:space="preserve">(around 20% of reduction) </w:t>
      </w:r>
      <w:r w:rsidR="00FF47B0" w:rsidRPr="000A6F05">
        <w:rPr>
          <w:lang w:val="en-GB"/>
        </w:rPr>
        <w:t>concerning the reduction of global warming, ozone layer deple</w:t>
      </w:r>
      <w:r w:rsidR="00C7206C" w:rsidRPr="000A6F05">
        <w:rPr>
          <w:lang w:val="en-GB"/>
        </w:rPr>
        <w:t>tion, acidification and eutrophication. The scenario 4 (reduction 35% of the electricity consumption in the display cabinet) a</w:t>
      </w:r>
      <w:r w:rsidR="00B44C45" w:rsidRPr="000A6F05">
        <w:rPr>
          <w:lang w:val="en-GB"/>
        </w:rPr>
        <w:t>llows the greatest</w:t>
      </w:r>
      <w:r w:rsidR="00C7206C" w:rsidRPr="000A6F05">
        <w:rPr>
          <w:lang w:val="en-GB"/>
        </w:rPr>
        <w:t xml:space="preserve"> diminution of fresh water aquatic ecotoxicity, marine aquatic ecotoxicity and terrestrial ecotoxicity. </w:t>
      </w:r>
      <w:r w:rsidR="00936C93" w:rsidRPr="000A6F05">
        <w:rPr>
          <w:lang w:val="en-GB"/>
        </w:rPr>
        <w:t>It can be expected that the combination of the solutions (S1, S3 and S4) can produce an even greater reduction of environmental impacts.</w:t>
      </w:r>
    </w:p>
    <w:p w:rsidR="004D31D7" w:rsidRPr="000A6F05" w:rsidRDefault="004D31D7" w:rsidP="00A02FE5">
      <w:pPr>
        <w:tabs>
          <w:tab w:val="left" w:pos="0"/>
        </w:tabs>
        <w:spacing w:line="360" w:lineRule="auto"/>
        <w:rPr>
          <w:lang w:val="en-US"/>
        </w:rPr>
      </w:pPr>
    </w:p>
    <w:p w:rsidR="003C1C1D" w:rsidRPr="000A6F05" w:rsidRDefault="003C1C1D" w:rsidP="00A02FE5">
      <w:pPr>
        <w:tabs>
          <w:tab w:val="left" w:pos="0"/>
        </w:tabs>
        <w:spacing w:line="360" w:lineRule="auto"/>
        <w:rPr>
          <w:lang w:val="en-US"/>
        </w:rPr>
      </w:pPr>
    </w:p>
    <w:p w:rsidR="00282991" w:rsidRPr="000A6F05" w:rsidRDefault="00282991" w:rsidP="000562E1">
      <w:pPr>
        <w:pStyle w:val="ListParagraph"/>
        <w:numPr>
          <w:ilvl w:val="0"/>
          <w:numId w:val="9"/>
        </w:numPr>
        <w:tabs>
          <w:tab w:val="left" w:pos="0"/>
        </w:tabs>
        <w:spacing w:line="360" w:lineRule="auto"/>
        <w:rPr>
          <w:b/>
          <w:lang w:val="en-GB"/>
        </w:rPr>
      </w:pPr>
      <w:r w:rsidRPr="000A6F05">
        <w:rPr>
          <w:b/>
          <w:lang w:val="en-GB"/>
        </w:rPr>
        <w:lastRenderedPageBreak/>
        <w:t>Conclusions</w:t>
      </w:r>
    </w:p>
    <w:p w:rsidR="00F5729D" w:rsidRPr="000A6F05" w:rsidRDefault="001A081C" w:rsidP="00DC1D7D">
      <w:pPr>
        <w:tabs>
          <w:tab w:val="left" w:pos="0"/>
        </w:tabs>
        <w:spacing w:line="360" w:lineRule="auto"/>
        <w:jc w:val="both"/>
        <w:rPr>
          <w:color w:val="000000"/>
          <w:lang w:val="en-GB"/>
        </w:rPr>
      </w:pPr>
      <w:r w:rsidRPr="000A6F05">
        <w:rPr>
          <w:color w:val="000000"/>
          <w:lang w:val="en-GB"/>
        </w:rPr>
        <w:t>Life Cycle Assessment (LCA) was applied to the chilling and superchilling salmon cold chains in order to compare these two processes and study their environmental impact. The superchilling cold chain presents an important improvement (diminution of about 20% in most of the categories) compared to the chilled one. This improvement is mainly due to the reduction of the quantity of needed EPS for packaging and the augmentation of available volume for transportation in superchilled case since no ice is needed.</w:t>
      </w:r>
      <w:r w:rsidR="00C9186D" w:rsidRPr="000A6F05">
        <w:rPr>
          <w:color w:val="000000"/>
          <w:lang w:val="en-GB"/>
        </w:rPr>
        <w:t xml:space="preserve"> The three steps that have the most important impacts are: production, 1</w:t>
      </w:r>
      <w:r w:rsidR="00C9186D" w:rsidRPr="000A6F05">
        <w:rPr>
          <w:color w:val="000000"/>
          <w:vertAlign w:val="superscript"/>
          <w:lang w:val="en-GB"/>
        </w:rPr>
        <w:t>st</w:t>
      </w:r>
      <w:r w:rsidR="00C9186D" w:rsidRPr="000A6F05">
        <w:rPr>
          <w:color w:val="000000"/>
          <w:lang w:val="en-GB"/>
        </w:rPr>
        <w:t xml:space="preserve"> transport and display cabinet.</w:t>
      </w:r>
      <w:r w:rsidR="00B44C45" w:rsidRPr="000A6F05">
        <w:rPr>
          <w:color w:val="000000"/>
          <w:lang w:val="en-GB"/>
        </w:rPr>
        <w:t xml:space="preserve"> </w:t>
      </w:r>
      <w:r w:rsidR="0081244F" w:rsidRPr="000A6F05">
        <w:rPr>
          <w:color w:val="000000"/>
          <w:lang w:val="en-GB"/>
        </w:rPr>
        <w:t>Furthermore, 4 solutions to improve the environmental performance</w:t>
      </w:r>
      <w:r w:rsidR="003C1C1D" w:rsidRPr="000A6F05">
        <w:rPr>
          <w:color w:val="000000"/>
          <w:lang w:val="en-GB"/>
        </w:rPr>
        <w:t>s</w:t>
      </w:r>
      <w:r w:rsidR="0081244F" w:rsidRPr="000A6F05">
        <w:rPr>
          <w:color w:val="000000"/>
          <w:lang w:val="en-GB"/>
        </w:rPr>
        <w:t xml:space="preserve"> of the salmon cold chain are studied. While the replacement of EPS by the corrugated plastic (CP) does not show improvement in all categories, the reduction of the quantity of EPS, of the 1</w:t>
      </w:r>
      <w:r w:rsidR="0081244F" w:rsidRPr="000A6F05">
        <w:rPr>
          <w:color w:val="000000"/>
          <w:vertAlign w:val="superscript"/>
          <w:lang w:val="en-GB"/>
        </w:rPr>
        <w:t>st</w:t>
      </w:r>
      <w:r w:rsidR="0081244F" w:rsidRPr="000A6F05">
        <w:rPr>
          <w:color w:val="000000"/>
          <w:lang w:val="en-GB"/>
        </w:rPr>
        <w:t xml:space="preserve"> transport distance and of the electricity consumption of the display cabinet are good solutions to reduce the cold chain environmental impacts. </w:t>
      </w:r>
    </w:p>
    <w:p w:rsidR="00E302D4" w:rsidRPr="000A6F05" w:rsidRDefault="00E302D4" w:rsidP="00DC1D7D">
      <w:pPr>
        <w:tabs>
          <w:tab w:val="left" w:pos="0"/>
        </w:tabs>
        <w:rPr>
          <w:lang w:val="en-GB"/>
        </w:rPr>
      </w:pPr>
    </w:p>
    <w:p w:rsidR="00F5729D" w:rsidRPr="000A6F05" w:rsidRDefault="00F5729D" w:rsidP="00B359E8">
      <w:pPr>
        <w:tabs>
          <w:tab w:val="left" w:pos="1800"/>
          <w:tab w:val="left" w:pos="4320"/>
          <w:tab w:val="left" w:pos="7020"/>
        </w:tabs>
        <w:spacing w:line="480" w:lineRule="auto"/>
        <w:rPr>
          <w:rFonts w:eastAsia="Arial Unicode MS"/>
          <w:b/>
          <w:lang w:val="en-GB"/>
        </w:rPr>
      </w:pPr>
      <w:r w:rsidRPr="000A6F05">
        <w:rPr>
          <w:rFonts w:eastAsia="Arial Unicode MS"/>
          <w:b/>
          <w:lang w:val="en-GB"/>
        </w:rPr>
        <w:t>ACKNOWLEDGEMENT</w:t>
      </w:r>
      <w:r w:rsidR="00B359E8" w:rsidRPr="000A6F05">
        <w:rPr>
          <w:rFonts w:eastAsia="Arial Unicode MS"/>
          <w:b/>
          <w:lang w:val="en-GB"/>
        </w:rPr>
        <w:t>S</w:t>
      </w:r>
    </w:p>
    <w:p w:rsidR="00C67559" w:rsidRPr="000A6F05" w:rsidRDefault="00F5729D" w:rsidP="00F5729D">
      <w:pPr>
        <w:tabs>
          <w:tab w:val="left" w:pos="0"/>
        </w:tabs>
        <w:spacing w:line="360" w:lineRule="auto"/>
        <w:jc w:val="both"/>
        <w:rPr>
          <w:lang w:val="en-GB"/>
        </w:rPr>
      </w:pPr>
      <w:r w:rsidRPr="000A6F05">
        <w:rPr>
          <w:lang w:val="en-GB"/>
        </w:rPr>
        <w:t>The research leading to this result has received funding from European Community's Seventh Framework Programme (FP7/2007-2013) under the grant agreement n° 245288.</w:t>
      </w:r>
      <w:r w:rsidR="00C67559" w:rsidRPr="000A6F05">
        <w:rPr>
          <w:lang w:val="en-GB"/>
        </w:rPr>
        <w:br w:type="page"/>
      </w:r>
    </w:p>
    <w:p w:rsidR="000A243A" w:rsidRPr="000A6F05" w:rsidRDefault="00C67559" w:rsidP="00A02FE5">
      <w:pPr>
        <w:tabs>
          <w:tab w:val="left" w:pos="0"/>
        </w:tabs>
        <w:rPr>
          <w:b/>
          <w:lang w:val="en-US"/>
        </w:rPr>
      </w:pPr>
      <w:r w:rsidRPr="000A6F05">
        <w:rPr>
          <w:b/>
          <w:lang w:val="en-US"/>
        </w:rPr>
        <w:lastRenderedPageBreak/>
        <w:t>References</w:t>
      </w:r>
    </w:p>
    <w:p w:rsidR="00A02FE5" w:rsidRPr="000A6F05" w:rsidRDefault="00A02FE5" w:rsidP="001448F6">
      <w:pPr>
        <w:rPr>
          <w:lang w:val="en-US"/>
        </w:rPr>
      </w:pPr>
    </w:p>
    <w:p w:rsidR="008F77AB" w:rsidRPr="000A6F05" w:rsidRDefault="00A02FE5" w:rsidP="008F77AB">
      <w:pPr>
        <w:jc w:val="both"/>
        <w:rPr>
          <w:noProof/>
          <w:lang w:val="en-US"/>
        </w:rPr>
      </w:pPr>
      <w:r w:rsidRPr="000A6F05">
        <w:rPr>
          <w:lang w:val="en-GB"/>
        </w:rPr>
        <w:fldChar w:fldCharType="begin"/>
      </w:r>
      <w:r w:rsidRPr="000A6F05">
        <w:rPr>
          <w:lang w:val="en-US"/>
        </w:rPr>
        <w:instrText xml:space="preserve"> ADDIN EN.REFLIST </w:instrText>
      </w:r>
      <w:r w:rsidRPr="000A6F05">
        <w:rPr>
          <w:lang w:val="en-GB"/>
        </w:rPr>
        <w:fldChar w:fldCharType="separate"/>
      </w:r>
      <w:bookmarkStart w:id="0" w:name="_ENREF_1"/>
      <w:r w:rsidR="008F77AB" w:rsidRPr="000A6F05">
        <w:rPr>
          <w:noProof/>
          <w:lang w:val="en-US"/>
        </w:rPr>
        <w:t xml:space="preserve">EU Directive 2010/30/EU and Commission Delegated Regulation Number 1060/2010; </w:t>
      </w:r>
      <w:hyperlink r:id="rId9" w:history="1">
        <w:r w:rsidR="008F77AB" w:rsidRPr="000A6F05">
          <w:rPr>
            <w:rStyle w:val="Hyperlink"/>
            <w:noProof/>
            <w:lang w:val="en-US"/>
          </w:rPr>
          <w:t>http://eur-lex.europa.eu/legal-content/EN/TXT/?uri=CELEX:32010R1060</w:t>
        </w:r>
        <w:bookmarkEnd w:id="0"/>
      </w:hyperlink>
    </w:p>
    <w:p w:rsidR="008F77AB" w:rsidRPr="000A6F05" w:rsidRDefault="008F77AB" w:rsidP="008F77AB">
      <w:pPr>
        <w:jc w:val="both"/>
        <w:rPr>
          <w:noProof/>
          <w:lang w:val="en-US"/>
        </w:rPr>
      </w:pPr>
      <w:bookmarkStart w:id="1" w:name="_ENREF_2"/>
      <w:r w:rsidRPr="000A6F05">
        <w:rPr>
          <w:noProof/>
          <w:lang w:val="en-US"/>
        </w:rPr>
        <w:t>Ardente, F.,Mathieux, F. 2014. Environmental assessment of the durability of energy-using products: method and application.</w:t>
      </w:r>
      <w:r w:rsidRPr="000A6F05">
        <w:rPr>
          <w:i/>
          <w:noProof/>
          <w:lang w:val="en-US"/>
        </w:rPr>
        <w:t xml:space="preserve"> </w:t>
      </w:r>
      <w:r w:rsidRPr="000A6F05">
        <w:rPr>
          <w:noProof/>
          <w:lang w:val="en-US"/>
        </w:rPr>
        <w:t>Journal of Cleaner Production. 74.0, 62-73.</w:t>
      </w:r>
      <w:bookmarkEnd w:id="1"/>
    </w:p>
    <w:p w:rsidR="008F77AB" w:rsidRPr="000A6F05" w:rsidRDefault="008F77AB" w:rsidP="008F77AB">
      <w:pPr>
        <w:jc w:val="both"/>
        <w:rPr>
          <w:noProof/>
          <w:lang w:val="en-US"/>
        </w:rPr>
      </w:pPr>
      <w:bookmarkStart w:id="2" w:name="_ENREF_3"/>
      <w:r w:rsidRPr="000A6F05">
        <w:rPr>
          <w:noProof/>
          <w:lang w:val="en-US"/>
        </w:rPr>
        <w:t>Brown, T. 2014. Report on quality and energy use of proposed technologies - superchilling.</w:t>
      </w:r>
      <w:r w:rsidRPr="000A6F05">
        <w:rPr>
          <w:i/>
          <w:noProof/>
          <w:lang w:val="en-US"/>
        </w:rPr>
        <w:t xml:space="preserve"> </w:t>
      </w:r>
      <w:r w:rsidRPr="000A6F05">
        <w:rPr>
          <w:noProof/>
          <w:lang w:val="en-US"/>
        </w:rPr>
        <w:t>Frisbee European Project Deliverable D.5.1.1.4.</w:t>
      </w:r>
      <w:bookmarkEnd w:id="2"/>
    </w:p>
    <w:p w:rsidR="008F77AB" w:rsidRPr="000A6F05" w:rsidRDefault="008F77AB" w:rsidP="008F77AB">
      <w:pPr>
        <w:jc w:val="both"/>
        <w:rPr>
          <w:noProof/>
          <w:lang w:val="en-US"/>
        </w:rPr>
      </w:pPr>
      <w:bookmarkStart w:id="3" w:name="_ENREF_4"/>
      <w:r w:rsidRPr="000A6F05">
        <w:rPr>
          <w:noProof/>
          <w:lang w:val="en-US"/>
        </w:rPr>
        <w:t>Claussen, I. C. 2011. Superchilling Concepts Enabling Safe, High Quality and Long Term Storage of Foods.</w:t>
      </w:r>
      <w:r w:rsidRPr="000A6F05">
        <w:rPr>
          <w:i/>
          <w:noProof/>
          <w:lang w:val="en-US"/>
        </w:rPr>
        <w:t xml:space="preserve"> </w:t>
      </w:r>
      <w:r w:rsidRPr="000A6F05">
        <w:rPr>
          <w:noProof/>
          <w:lang w:val="en-US"/>
        </w:rPr>
        <w:t>Procedia Food Science. 1.0, 1907-1909.</w:t>
      </w:r>
      <w:bookmarkEnd w:id="3"/>
    </w:p>
    <w:p w:rsidR="008F77AB" w:rsidRPr="000A6F05" w:rsidRDefault="008F77AB" w:rsidP="008F77AB">
      <w:pPr>
        <w:jc w:val="both"/>
        <w:rPr>
          <w:noProof/>
          <w:lang w:val="en-US"/>
        </w:rPr>
      </w:pPr>
      <w:bookmarkStart w:id="4" w:name="_ENREF_5"/>
      <w:r w:rsidRPr="000A6F05">
        <w:rPr>
          <w:noProof/>
          <w:lang w:val="en-US"/>
        </w:rPr>
        <w:t>Claussen, I. C., Indergård, E.,Grinde, M. 2011. Comparative Life Cycle Assessment (LCA) of production and transport of chilled versus superchilled haddock (Melanogrammus aeglefinus) fillets from Norway to France.</w:t>
      </w:r>
      <w:r w:rsidRPr="000A6F05">
        <w:rPr>
          <w:i/>
          <w:noProof/>
          <w:lang w:val="en-US"/>
        </w:rPr>
        <w:t xml:space="preserve"> </w:t>
      </w:r>
      <w:r w:rsidRPr="000A6F05">
        <w:rPr>
          <w:noProof/>
          <w:lang w:val="en-US"/>
        </w:rPr>
        <w:t>Procedia Food Science. 1.0, 1091-1098.</w:t>
      </w:r>
      <w:bookmarkEnd w:id="4"/>
    </w:p>
    <w:p w:rsidR="008F77AB" w:rsidRPr="000A6F05" w:rsidRDefault="008F77AB" w:rsidP="008F77AB">
      <w:pPr>
        <w:jc w:val="both"/>
        <w:rPr>
          <w:noProof/>
          <w:lang w:val="en-US"/>
        </w:rPr>
      </w:pPr>
      <w:bookmarkStart w:id="5" w:name="_ENREF_6"/>
      <w:r w:rsidRPr="000A6F05">
        <w:rPr>
          <w:noProof/>
          <w:lang w:val="en-US"/>
        </w:rPr>
        <w:t>Coulomb, D. 2008. Refrigeration and cold chain serving the global food industry and creating a better future: two key IIR challenges for improved health and environment.</w:t>
      </w:r>
      <w:r w:rsidRPr="000A6F05">
        <w:rPr>
          <w:i/>
          <w:noProof/>
          <w:lang w:val="en-US"/>
        </w:rPr>
        <w:t xml:space="preserve"> </w:t>
      </w:r>
      <w:r w:rsidRPr="000A6F05">
        <w:rPr>
          <w:noProof/>
          <w:lang w:val="en-US"/>
        </w:rPr>
        <w:t>Trends in Food Science &amp; Technology. 19.8, 413-417.</w:t>
      </w:r>
      <w:bookmarkEnd w:id="5"/>
    </w:p>
    <w:p w:rsidR="008F77AB" w:rsidRPr="000A6F05" w:rsidRDefault="008F77AB" w:rsidP="008F77AB">
      <w:pPr>
        <w:jc w:val="both"/>
        <w:rPr>
          <w:noProof/>
          <w:lang w:val="en-US"/>
        </w:rPr>
      </w:pPr>
      <w:bookmarkStart w:id="6" w:name="_ENREF_7"/>
      <w:r w:rsidRPr="000A6F05">
        <w:rPr>
          <w:noProof/>
          <w:lang w:val="en-US"/>
        </w:rPr>
        <w:t>Denham, F. C., Biswas, W. K., Solah, V. A.,Howieson, J. R. 2015b. Greenhouse gas emissions from a Western Australian finfish supply chain.</w:t>
      </w:r>
      <w:r w:rsidRPr="000A6F05">
        <w:rPr>
          <w:i/>
          <w:noProof/>
          <w:lang w:val="en-US"/>
        </w:rPr>
        <w:t xml:space="preserve"> </w:t>
      </w:r>
      <w:r w:rsidRPr="000A6F05">
        <w:rPr>
          <w:noProof/>
          <w:lang w:val="en-US"/>
        </w:rPr>
        <w:t>Journal of Cleaner Production.0.</w:t>
      </w:r>
      <w:bookmarkEnd w:id="6"/>
    </w:p>
    <w:p w:rsidR="008F77AB" w:rsidRPr="000A6F05" w:rsidRDefault="008F77AB" w:rsidP="008F77AB">
      <w:pPr>
        <w:jc w:val="both"/>
        <w:rPr>
          <w:noProof/>
          <w:lang w:val="en-US"/>
        </w:rPr>
      </w:pPr>
      <w:bookmarkStart w:id="7" w:name="_ENREF_8"/>
      <w:r w:rsidRPr="000A6F05">
        <w:rPr>
          <w:noProof/>
          <w:lang w:val="en-US"/>
        </w:rPr>
        <w:t>Denham, F. C., Howieson, Janet R., Solah, V. A.,Biswas, W. K. 2015a. Environmental supply chain management in the seafood industry: past, present and future approaches.</w:t>
      </w:r>
      <w:r w:rsidRPr="000A6F05">
        <w:rPr>
          <w:i/>
          <w:noProof/>
          <w:lang w:val="en-US"/>
        </w:rPr>
        <w:t xml:space="preserve"> </w:t>
      </w:r>
      <w:r w:rsidRPr="000A6F05">
        <w:rPr>
          <w:noProof/>
          <w:lang w:val="en-US"/>
        </w:rPr>
        <w:t>Journal of Cleaner Production. 90.0, 82-90.</w:t>
      </w:r>
      <w:bookmarkEnd w:id="7"/>
    </w:p>
    <w:p w:rsidR="008F77AB" w:rsidRPr="000A6F05" w:rsidRDefault="008F77AB" w:rsidP="008F77AB">
      <w:pPr>
        <w:jc w:val="both"/>
        <w:rPr>
          <w:noProof/>
          <w:lang w:val="en-US"/>
        </w:rPr>
      </w:pPr>
      <w:bookmarkStart w:id="8" w:name="_ENREF_9"/>
      <w:r w:rsidRPr="000A6F05">
        <w:rPr>
          <w:noProof/>
          <w:lang w:val="en-US"/>
        </w:rPr>
        <w:t>Duun, A. S.,Rustad, T. 2007. Quality changes during superchilled storage of cod (Gadus morhua) fillets.</w:t>
      </w:r>
      <w:r w:rsidRPr="000A6F05">
        <w:rPr>
          <w:i/>
          <w:noProof/>
          <w:lang w:val="en-US"/>
        </w:rPr>
        <w:t xml:space="preserve"> </w:t>
      </w:r>
      <w:r w:rsidRPr="000A6F05">
        <w:rPr>
          <w:noProof/>
          <w:lang w:val="en-US"/>
        </w:rPr>
        <w:t>Food Chemistry. 105.3, 1067-1075.</w:t>
      </w:r>
      <w:bookmarkEnd w:id="8"/>
    </w:p>
    <w:p w:rsidR="008F77AB" w:rsidRPr="000A6F05" w:rsidRDefault="008F77AB" w:rsidP="008F77AB">
      <w:pPr>
        <w:jc w:val="both"/>
        <w:rPr>
          <w:noProof/>
          <w:lang w:val="en-US"/>
        </w:rPr>
      </w:pPr>
      <w:bookmarkStart w:id="9" w:name="_ENREF_10"/>
      <w:r w:rsidRPr="000A6F05">
        <w:rPr>
          <w:noProof/>
          <w:lang w:val="en-US"/>
        </w:rPr>
        <w:t>Evans, J. A., Foster, A. M., Huet, J. M., Reinholdt, L., Fikiin, K., Zilio, C., Houska, M., Landfeld, A., Bond, C., Scheurs, M.,van Sambeeck, T. W. M. 2014. Specific energy consumption values for various refrigerated food cold stores.</w:t>
      </w:r>
      <w:r w:rsidRPr="000A6F05">
        <w:rPr>
          <w:i/>
          <w:noProof/>
          <w:lang w:val="en-US"/>
        </w:rPr>
        <w:t xml:space="preserve"> </w:t>
      </w:r>
      <w:r w:rsidRPr="000A6F05">
        <w:rPr>
          <w:noProof/>
          <w:lang w:val="en-US"/>
        </w:rPr>
        <w:t>Energy and Buildings. 74.0, 141-151.</w:t>
      </w:r>
      <w:bookmarkEnd w:id="9"/>
    </w:p>
    <w:p w:rsidR="008F77AB" w:rsidRPr="000A6F05" w:rsidRDefault="008F77AB" w:rsidP="008F77AB">
      <w:pPr>
        <w:jc w:val="both"/>
        <w:rPr>
          <w:noProof/>
          <w:lang w:val="en-US"/>
        </w:rPr>
      </w:pPr>
      <w:bookmarkStart w:id="10" w:name="_ENREF_11"/>
      <w:r w:rsidRPr="000A6F05">
        <w:rPr>
          <w:noProof/>
          <w:lang w:val="en-US"/>
        </w:rPr>
        <w:t>Evans, J. A., Scarcelli, S.,Swain, M. V. L. 2007. Temperature and energy performance of refrigerated retail display and commercial catering cabinets under test conditions.</w:t>
      </w:r>
      <w:r w:rsidRPr="000A6F05">
        <w:rPr>
          <w:i/>
          <w:noProof/>
          <w:lang w:val="en-US"/>
        </w:rPr>
        <w:t xml:space="preserve"> </w:t>
      </w:r>
      <w:r w:rsidRPr="000A6F05">
        <w:rPr>
          <w:noProof/>
          <w:lang w:val="en-US"/>
        </w:rPr>
        <w:t>International Journal of Refrigeration. 30.3, 398-408.</w:t>
      </w:r>
      <w:bookmarkEnd w:id="10"/>
    </w:p>
    <w:p w:rsidR="008F77AB" w:rsidRPr="000A6F05" w:rsidRDefault="008F77AB" w:rsidP="008F77AB">
      <w:pPr>
        <w:jc w:val="both"/>
        <w:rPr>
          <w:noProof/>
          <w:lang w:val="en-US"/>
        </w:rPr>
      </w:pPr>
      <w:bookmarkStart w:id="11" w:name="_ENREF_12"/>
      <w:r w:rsidRPr="000A6F05">
        <w:rPr>
          <w:noProof/>
          <w:lang w:val="en-US"/>
        </w:rPr>
        <w:t>ISO_14044. 2006. Environmental Management – Life Cycle Assessment – Requirements and Guidelines.</w:t>
      </w:r>
      <w:r w:rsidRPr="000A6F05">
        <w:rPr>
          <w:i/>
          <w:noProof/>
          <w:lang w:val="en-US"/>
        </w:rPr>
        <w:t xml:space="preserve"> </w:t>
      </w:r>
      <w:r w:rsidRPr="000A6F05">
        <w:rPr>
          <w:noProof/>
          <w:lang w:val="en-US"/>
        </w:rPr>
        <w:t>International Organisation for Standardisation (ISO), Geneva (2006).</w:t>
      </w:r>
      <w:bookmarkEnd w:id="11"/>
    </w:p>
    <w:p w:rsidR="008F77AB" w:rsidRPr="000A6F05" w:rsidRDefault="008F77AB" w:rsidP="008F77AB">
      <w:pPr>
        <w:jc w:val="both"/>
        <w:rPr>
          <w:noProof/>
          <w:lang w:val="en-US"/>
        </w:rPr>
      </w:pPr>
      <w:bookmarkStart w:id="12" w:name="_ENREF_13"/>
      <w:r w:rsidRPr="000A6F05">
        <w:rPr>
          <w:noProof/>
          <w:lang w:val="en-US"/>
        </w:rPr>
        <w:t>Kaale, L. D., Eikevik, T. M., Rustad, T.,Nordtvedt, T. S. 2014. Changes in water holding capacity and drip loss of Atlantic salmon (Salmo salar) muscle during superchilled storage.</w:t>
      </w:r>
      <w:r w:rsidRPr="000A6F05">
        <w:rPr>
          <w:i/>
          <w:noProof/>
          <w:lang w:val="en-US"/>
        </w:rPr>
        <w:t xml:space="preserve"> </w:t>
      </w:r>
      <w:r w:rsidRPr="000A6F05">
        <w:rPr>
          <w:noProof/>
          <w:lang w:val="en-US"/>
        </w:rPr>
        <w:t>LWT - Food Science and Technology. 55.2, 528-535.</w:t>
      </w:r>
      <w:bookmarkEnd w:id="12"/>
    </w:p>
    <w:p w:rsidR="008F77AB" w:rsidRPr="000A6F05" w:rsidRDefault="008F77AB" w:rsidP="008F77AB">
      <w:pPr>
        <w:jc w:val="both"/>
        <w:rPr>
          <w:noProof/>
          <w:lang w:val="en-US"/>
        </w:rPr>
      </w:pPr>
      <w:bookmarkStart w:id="13" w:name="_ENREF_14"/>
      <w:r w:rsidRPr="000A6F05">
        <w:rPr>
          <w:noProof/>
          <w:lang w:val="en-US"/>
        </w:rPr>
        <w:t>Kaale, L. D., Eikevik, T. M., Rustad, T., Nordtvedt, T. S., Bardal, T.,Kjørsvik, E. 2013. Ice crystal development in pre-rigor Atlantic salmon fillets during superchilling process and following storage.</w:t>
      </w:r>
      <w:r w:rsidRPr="000A6F05">
        <w:rPr>
          <w:i/>
          <w:noProof/>
          <w:lang w:val="en-US"/>
        </w:rPr>
        <w:t xml:space="preserve"> </w:t>
      </w:r>
      <w:r w:rsidRPr="000A6F05">
        <w:rPr>
          <w:noProof/>
          <w:lang w:val="en-US"/>
        </w:rPr>
        <w:t>Food Control. 31.2, 491-498.</w:t>
      </w:r>
      <w:bookmarkEnd w:id="13"/>
    </w:p>
    <w:p w:rsidR="008F77AB" w:rsidRPr="000A6F05" w:rsidRDefault="008F77AB" w:rsidP="008F77AB">
      <w:pPr>
        <w:jc w:val="both"/>
        <w:rPr>
          <w:noProof/>
          <w:lang w:val="en-US"/>
        </w:rPr>
      </w:pPr>
      <w:bookmarkStart w:id="14" w:name="_ENREF_15"/>
      <w:r w:rsidRPr="000A6F05">
        <w:rPr>
          <w:noProof/>
          <w:lang w:val="en-US"/>
        </w:rPr>
        <w:t>Margeirsson, B., Lauzon, H. L., Pálsson, H., Popov, V., Gospavic, R., Jónsson, M. Þ., Sigurgísladóttir, S.,Arason, S. 2012. Temperature fluctuations and quality deterioration of chilled cod (Gadus morhua) fillets packaged in different boxes stored on pallets under dynamic temperature conditions.</w:t>
      </w:r>
      <w:r w:rsidRPr="000A6F05">
        <w:rPr>
          <w:i/>
          <w:noProof/>
          <w:lang w:val="en-US"/>
        </w:rPr>
        <w:t xml:space="preserve"> </w:t>
      </w:r>
      <w:r w:rsidRPr="000A6F05">
        <w:rPr>
          <w:noProof/>
          <w:lang w:val="en-US"/>
        </w:rPr>
        <w:t>International Journal of Refrigeration. 35.1, 187-201.</w:t>
      </w:r>
      <w:bookmarkEnd w:id="14"/>
    </w:p>
    <w:p w:rsidR="008F77AB" w:rsidRPr="000A6F05" w:rsidRDefault="008F77AB" w:rsidP="008F77AB">
      <w:pPr>
        <w:jc w:val="both"/>
        <w:rPr>
          <w:noProof/>
          <w:lang w:val="en-US"/>
        </w:rPr>
      </w:pPr>
      <w:bookmarkStart w:id="15" w:name="_ENREF_16"/>
      <w:r w:rsidRPr="000A6F05">
        <w:rPr>
          <w:noProof/>
          <w:lang w:val="en-US"/>
        </w:rPr>
        <w:t>Maykot, R., Weber, G. C.,Maciel, R. A. 2004. Using the TEWI methodology to evaluate alternative refrigeration technologies. International Refrigeration and Air Conditioning Conference. Purdue, USA</w:t>
      </w:r>
      <w:bookmarkEnd w:id="15"/>
    </w:p>
    <w:p w:rsidR="008F77AB" w:rsidRPr="000A6F05" w:rsidRDefault="008F77AB" w:rsidP="008F77AB">
      <w:pPr>
        <w:jc w:val="both"/>
        <w:rPr>
          <w:noProof/>
          <w:lang w:val="en-US"/>
        </w:rPr>
      </w:pPr>
      <w:bookmarkStart w:id="16" w:name="_ENREF_17"/>
      <w:r w:rsidRPr="000A6F05">
        <w:rPr>
          <w:noProof/>
          <w:lang w:val="en-US"/>
        </w:rPr>
        <w:t>Navaranjan, N., Fletcher, G. C., Summers, G., Parr, R.,Anderson, R. 2013. Thermal insulation requirements and new cardboard packaging for chilled seafood exports.</w:t>
      </w:r>
      <w:r w:rsidRPr="000A6F05">
        <w:rPr>
          <w:i/>
          <w:noProof/>
          <w:lang w:val="en-US"/>
        </w:rPr>
        <w:t xml:space="preserve"> </w:t>
      </w:r>
      <w:r w:rsidRPr="000A6F05">
        <w:rPr>
          <w:noProof/>
          <w:lang w:val="en-US"/>
        </w:rPr>
        <w:t>Journal of Food Engineering. 119.3, 395-403.</w:t>
      </w:r>
      <w:bookmarkEnd w:id="16"/>
    </w:p>
    <w:p w:rsidR="008F77AB" w:rsidRPr="000A6F05" w:rsidRDefault="008F77AB" w:rsidP="008F77AB">
      <w:pPr>
        <w:jc w:val="both"/>
        <w:rPr>
          <w:noProof/>
          <w:lang w:val="en-US"/>
        </w:rPr>
      </w:pPr>
      <w:bookmarkStart w:id="17" w:name="_ENREF_18"/>
      <w:r w:rsidRPr="000A6F05">
        <w:rPr>
          <w:noProof/>
          <w:lang w:val="en-US"/>
        </w:rPr>
        <w:t xml:space="preserve">Pelletier, N., Tyedmers, P., Sonesson, U., Scholz, A., Ziegler, F., Flysjo, A., Kruse, S., Cancino, B.,Silverman, H. 2009. Not All Salmon Are Created Equal: Life Cycle Assessment </w:t>
      </w:r>
      <w:r w:rsidRPr="000A6F05">
        <w:rPr>
          <w:noProof/>
          <w:lang w:val="en-US"/>
        </w:rPr>
        <w:lastRenderedPageBreak/>
        <w:t>(LCA) of Global Salmon Farming Systems.</w:t>
      </w:r>
      <w:r w:rsidRPr="000A6F05">
        <w:rPr>
          <w:i/>
          <w:noProof/>
          <w:lang w:val="en-US"/>
        </w:rPr>
        <w:t xml:space="preserve"> </w:t>
      </w:r>
      <w:r w:rsidRPr="000A6F05">
        <w:rPr>
          <w:noProof/>
          <w:lang w:val="en-US"/>
        </w:rPr>
        <w:t>Environmental Science &amp; Technology. 43.23, 8730-8736.</w:t>
      </w:r>
      <w:bookmarkEnd w:id="17"/>
    </w:p>
    <w:p w:rsidR="008F77AB" w:rsidRPr="000A6F05" w:rsidRDefault="008F77AB" w:rsidP="008F77AB">
      <w:pPr>
        <w:jc w:val="both"/>
        <w:rPr>
          <w:noProof/>
          <w:lang w:val="en-US"/>
        </w:rPr>
      </w:pPr>
      <w:bookmarkStart w:id="18" w:name="_ENREF_19"/>
      <w:r w:rsidRPr="000A6F05">
        <w:rPr>
          <w:noProof/>
          <w:lang w:val="en-US"/>
        </w:rPr>
        <w:t>Schmidt Rivera, X. C., Espinoza Orias, N.,Azapagic, A. 2014. Life cycle environmental impacts of convenience food: Comparison of ready and home-made meals.</w:t>
      </w:r>
      <w:r w:rsidRPr="000A6F05">
        <w:rPr>
          <w:i/>
          <w:noProof/>
          <w:lang w:val="en-US"/>
        </w:rPr>
        <w:t xml:space="preserve"> </w:t>
      </w:r>
      <w:r w:rsidRPr="000A6F05">
        <w:rPr>
          <w:noProof/>
          <w:lang w:val="en-US"/>
        </w:rPr>
        <w:t>Journal of Cleaner Production. 73.0, 294-309.</w:t>
      </w:r>
      <w:bookmarkEnd w:id="18"/>
    </w:p>
    <w:p w:rsidR="008F77AB" w:rsidRPr="000A6F05" w:rsidRDefault="008F77AB" w:rsidP="008F77AB">
      <w:pPr>
        <w:jc w:val="both"/>
        <w:rPr>
          <w:noProof/>
          <w:lang w:val="en-US"/>
        </w:rPr>
      </w:pPr>
      <w:bookmarkStart w:id="19" w:name="_ENREF_20"/>
      <w:r w:rsidRPr="000A6F05">
        <w:rPr>
          <w:noProof/>
          <w:lang w:val="en-US"/>
        </w:rPr>
        <w:t xml:space="preserve">SimaPro. 2012. </w:t>
      </w:r>
      <w:hyperlink r:id="rId10" w:history="1">
        <w:r w:rsidRPr="000A6F05">
          <w:rPr>
            <w:rStyle w:val="Hyperlink"/>
            <w:noProof/>
            <w:lang w:val="en-US"/>
          </w:rPr>
          <w:t>http://www.pre-sustainability.com/</w:t>
        </w:r>
      </w:hyperlink>
      <w:r w:rsidRPr="000A6F05">
        <w:rPr>
          <w:noProof/>
          <w:lang w:val="en-US"/>
        </w:rPr>
        <w:t>.</w:t>
      </w:r>
      <w:bookmarkEnd w:id="19"/>
    </w:p>
    <w:p w:rsidR="008F77AB" w:rsidRPr="000A6F05" w:rsidRDefault="008F77AB" w:rsidP="008F77AB">
      <w:pPr>
        <w:jc w:val="both"/>
        <w:rPr>
          <w:noProof/>
          <w:lang w:val="en-US"/>
        </w:rPr>
      </w:pPr>
      <w:bookmarkStart w:id="20" w:name="_ENREF_21"/>
      <w:r w:rsidRPr="000A6F05">
        <w:rPr>
          <w:noProof/>
          <w:lang w:val="en-US"/>
        </w:rPr>
        <w:t>Tassou, S. A., De-Lille, G.,Lewis, J. 2007. Food trasport refrigeration.</w:t>
      </w:r>
      <w:r w:rsidRPr="000A6F05">
        <w:rPr>
          <w:i/>
          <w:noProof/>
          <w:lang w:val="en-US"/>
        </w:rPr>
        <w:t xml:space="preserve"> </w:t>
      </w:r>
      <w:r w:rsidRPr="000A6F05">
        <w:rPr>
          <w:noProof/>
          <w:lang w:val="en-US"/>
        </w:rPr>
        <w:t xml:space="preserve">part of Defra LINK project report, available online at </w:t>
      </w:r>
      <w:hyperlink r:id="rId11" w:history="1">
        <w:r w:rsidRPr="000A6F05">
          <w:rPr>
            <w:rStyle w:val="Hyperlink"/>
            <w:noProof/>
            <w:lang w:val="en-US"/>
          </w:rPr>
          <w:t>http://www.grimsby.ac.uk/documents/defra/trns-refrigeenergy.pdf</w:t>
        </w:r>
      </w:hyperlink>
      <w:r w:rsidRPr="000A6F05">
        <w:rPr>
          <w:noProof/>
          <w:lang w:val="en-US"/>
        </w:rPr>
        <w:t>, accessed March 2014.</w:t>
      </w:r>
      <w:bookmarkEnd w:id="20"/>
    </w:p>
    <w:p w:rsidR="008F77AB" w:rsidRPr="000A6F05" w:rsidRDefault="008F77AB" w:rsidP="008F77AB">
      <w:pPr>
        <w:jc w:val="both"/>
        <w:rPr>
          <w:noProof/>
          <w:lang w:val="en-US"/>
        </w:rPr>
      </w:pPr>
      <w:bookmarkStart w:id="21" w:name="_ENREF_22"/>
      <w:r w:rsidRPr="000A6F05">
        <w:rPr>
          <w:noProof/>
          <w:lang w:val="en-US"/>
        </w:rPr>
        <w:t>Thrane, M. 2004, Environmental impacts from Danish fish products, hot spots and environmental policies, Doctoral dissertation, Dept. of Development and Planning, Aalborg University, Aalborg, Denmark.</w:t>
      </w:r>
      <w:bookmarkEnd w:id="21"/>
    </w:p>
    <w:p w:rsidR="008F77AB" w:rsidRPr="000A6F05" w:rsidRDefault="008F77AB" w:rsidP="008F77AB">
      <w:pPr>
        <w:jc w:val="both"/>
        <w:rPr>
          <w:noProof/>
          <w:lang w:val="en-US"/>
        </w:rPr>
      </w:pPr>
      <w:bookmarkStart w:id="22" w:name="_ENREF_23"/>
      <w:r w:rsidRPr="000A6F05">
        <w:rPr>
          <w:noProof/>
          <w:lang w:val="en-US"/>
        </w:rPr>
        <w:t>Udo de Haes, H. A.,Heijungs, R. 2007. Life-cycle assessment for energy analysis and management.</w:t>
      </w:r>
      <w:r w:rsidRPr="000A6F05">
        <w:rPr>
          <w:i/>
          <w:noProof/>
          <w:lang w:val="en-US"/>
        </w:rPr>
        <w:t xml:space="preserve"> </w:t>
      </w:r>
      <w:r w:rsidRPr="000A6F05">
        <w:rPr>
          <w:noProof/>
          <w:lang w:val="en-US"/>
        </w:rPr>
        <w:t>Applied Energy. 84.7–8, 817-827.</w:t>
      </w:r>
      <w:bookmarkEnd w:id="22"/>
    </w:p>
    <w:p w:rsidR="008F77AB" w:rsidRPr="000A6F05" w:rsidRDefault="008F77AB" w:rsidP="008F77AB">
      <w:pPr>
        <w:jc w:val="both"/>
        <w:rPr>
          <w:noProof/>
          <w:lang w:val="en-US"/>
        </w:rPr>
      </w:pPr>
      <w:bookmarkStart w:id="23" w:name="_ENREF_24"/>
      <w:r w:rsidRPr="000A6F05">
        <w:rPr>
          <w:noProof/>
          <w:lang w:val="en-US"/>
        </w:rPr>
        <w:t>van der Sluis, S. M., Wissink, E.,Hendriksen, L. 2012. Definition of reference cold chains using general assumptions, refined towards EU situation.</w:t>
      </w:r>
      <w:r w:rsidRPr="000A6F05">
        <w:rPr>
          <w:i/>
          <w:noProof/>
          <w:lang w:val="en-US"/>
        </w:rPr>
        <w:t xml:space="preserve"> </w:t>
      </w:r>
      <w:r w:rsidRPr="000A6F05">
        <w:rPr>
          <w:noProof/>
          <w:lang w:val="en-US"/>
        </w:rPr>
        <w:t>Frisbee European Project Deliverable D3.1.1.</w:t>
      </w:r>
      <w:bookmarkEnd w:id="23"/>
    </w:p>
    <w:p w:rsidR="008F77AB" w:rsidRPr="000A6F05" w:rsidRDefault="008F77AB" w:rsidP="008F77AB">
      <w:pPr>
        <w:jc w:val="both"/>
        <w:rPr>
          <w:noProof/>
          <w:lang w:val="en-US"/>
        </w:rPr>
      </w:pPr>
      <w:bookmarkStart w:id="24" w:name="_ENREF_25"/>
      <w:r w:rsidRPr="000A6F05">
        <w:rPr>
          <w:noProof/>
          <w:lang w:val="en-US"/>
        </w:rPr>
        <w:t>Winther, U., Ziegler, F., Skontorp Hognes, E., Emanuelsson, A., Sund, V.,Ellingsen, H. 2009. Carbon footprint and energy use of Norwegian seafood proucts.</w:t>
      </w:r>
      <w:r w:rsidRPr="000A6F05">
        <w:rPr>
          <w:i/>
          <w:noProof/>
          <w:lang w:val="en-US"/>
        </w:rPr>
        <w:t xml:space="preserve"> </w:t>
      </w:r>
      <w:r w:rsidRPr="000A6F05">
        <w:rPr>
          <w:noProof/>
          <w:lang w:val="en-US"/>
        </w:rPr>
        <w:t>SINTEF report ISBN 978-82-14-04925-1.</w:t>
      </w:r>
      <w:bookmarkEnd w:id="24"/>
    </w:p>
    <w:p w:rsidR="008F77AB" w:rsidRPr="000A6F05" w:rsidRDefault="008F77AB" w:rsidP="008F77AB">
      <w:pPr>
        <w:jc w:val="both"/>
        <w:rPr>
          <w:noProof/>
          <w:lang w:val="en-US"/>
        </w:rPr>
      </w:pPr>
      <w:bookmarkStart w:id="25" w:name="_ENREF_26"/>
      <w:r w:rsidRPr="000A6F05">
        <w:rPr>
          <w:noProof/>
          <w:lang w:val="en-US"/>
        </w:rPr>
        <w:t>Wu, X., Hu, S.,Mo, S. 2013. Carbon footprint model for evaluating the global warming impact of food transport refrigeration systems.</w:t>
      </w:r>
      <w:r w:rsidRPr="000A6F05">
        <w:rPr>
          <w:i/>
          <w:noProof/>
          <w:lang w:val="en-US"/>
        </w:rPr>
        <w:t xml:space="preserve"> </w:t>
      </w:r>
      <w:r w:rsidRPr="000A6F05">
        <w:rPr>
          <w:noProof/>
          <w:lang w:val="en-US"/>
        </w:rPr>
        <w:t>Journal of Cleaner Production. 54.0, 115-124.</w:t>
      </w:r>
      <w:bookmarkEnd w:id="25"/>
    </w:p>
    <w:p w:rsidR="008F77AB" w:rsidRPr="000A6F05" w:rsidRDefault="008F77AB" w:rsidP="008F77AB">
      <w:pPr>
        <w:jc w:val="both"/>
        <w:rPr>
          <w:noProof/>
          <w:lang w:val="en-US"/>
        </w:rPr>
      </w:pPr>
    </w:p>
    <w:p w:rsidR="000A6F05" w:rsidRDefault="00A02FE5" w:rsidP="000A6F05">
      <w:pPr>
        <w:rPr>
          <w:lang w:val="en-US"/>
        </w:rPr>
      </w:pPr>
      <w:r w:rsidRPr="000A6F05">
        <w:rPr>
          <w:lang w:val="en-GB"/>
        </w:rPr>
        <w:lastRenderedPageBreak/>
        <w:fldChar w:fldCharType="end"/>
      </w:r>
      <w:r w:rsidR="000A6F05">
        <w:rPr>
          <w:noProof/>
          <w:lang w:val="en-GB" w:eastAsia="en-GB"/>
        </w:rPr>
        <w:drawing>
          <wp:inline distT="0" distB="0" distL="0" distR="0" wp14:anchorId="49734C41" wp14:editId="67413A32">
            <wp:extent cx="5623978" cy="809805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26064" cy="8101058"/>
                    </a:xfrm>
                    <a:prstGeom prst="rect">
                      <a:avLst/>
                    </a:prstGeom>
                    <a:noFill/>
                  </pic:spPr>
                </pic:pic>
              </a:graphicData>
            </a:graphic>
          </wp:inline>
        </w:drawing>
      </w:r>
    </w:p>
    <w:p w:rsidR="000A6F05" w:rsidRDefault="000A6F05" w:rsidP="000A6F05">
      <w:pPr>
        <w:rPr>
          <w:lang w:val="en-US"/>
        </w:rPr>
      </w:pPr>
      <w:r>
        <w:rPr>
          <w:lang w:val="en-US"/>
        </w:rPr>
        <w:t xml:space="preserve">Figure 1: Scope of the study - chilled and superchilled salmon cold chain  </w:t>
      </w:r>
    </w:p>
    <w:p w:rsidR="000A6F05" w:rsidRDefault="000A6F05" w:rsidP="000A6F05">
      <w:pPr>
        <w:rPr>
          <w:lang w:val="en-US"/>
        </w:rPr>
      </w:pPr>
      <w:r>
        <w:rPr>
          <w:lang w:val="en-US"/>
        </w:rPr>
        <w:t>(data from van der Sluis et al., 2012)</w:t>
      </w:r>
    </w:p>
    <w:p w:rsidR="000A6F05" w:rsidRDefault="000A6F05" w:rsidP="000A6F05">
      <w:pPr>
        <w:rPr>
          <w:lang w:val="en-US"/>
        </w:rPr>
      </w:pPr>
    </w:p>
    <w:p w:rsidR="000A6F05" w:rsidRDefault="000A6F05" w:rsidP="000A6F05">
      <w:pPr>
        <w:rPr>
          <w:lang w:val="en-US"/>
        </w:rPr>
      </w:pPr>
      <w:r w:rsidRPr="00DD71CE">
        <w:rPr>
          <w:noProof/>
          <w:lang w:val="en-GB" w:eastAsia="en-GB"/>
        </w:rPr>
        <w:lastRenderedPageBreak/>
        <w:drawing>
          <wp:inline distT="0" distB="0" distL="0" distR="0" wp14:anchorId="37530CB8" wp14:editId="081BB043">
            <wp:extent cx="6364604" cy="816292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noChangeArrowheads="1"/>
                    </pic:cNvPicPr>
                  </pic:nvPicPr>
                  <pic:blipFill>
                    <a:blip r:embed="rId13"/>
                    <a:srcRect/>
                    <a:stretch>
                      <a:fillRect/>
                    </a:stretch>
                  </pic:blipFill>
                  <pic:spPr bwMode="auto">
                    <a:xfrm>
                      <a:off x="0" y="0"/>
                      <a:ext cx="6368402" cy="8167797"/>
                    </a:xfrm>
                    <a:prstGeom prst="rect">
                      <a:avLst/>
                    </a:prstGeom>
                    <a:noFill/>
                  </pic:spPr>
                </pic:pic>
              </a:graphicData>
            </a:graphic>
          </wp:inline>
        </w:drawing>
      </w:r>
    </w:p>
    <w:p w:rsidR="000A6F05" w:rsidRDefault="000A6F05" w:rsidP="000A6F05">
      <w:pPr>
        <w:rPr>
          <w:lang w:val="en-US"/>
        </w:rPr>
      </w:pPr>
      <w:r>
        <w:rPr>
          <w:lang w:val="en-US"/>
        </w:rPr>
        <w:t>Figure 2</w:t>
      </w:r>
      <w:r w:rsidRPr="000D5EAA">
        <w:rPr>
          <w:lang w:val="en-US"/>
        </w:rPr>
        <w:t xml:space="preserve">: Flowchart of salmon cold chain </w:t>
      </w:r>
      <w:r>
        <w:rPr>
          <w:lang w:val="en-US"/>
        </w:rPr>
        <w:br w:type="page"/>
      </w:r>
    </w:p>
    <w:p w:rsidR="000A6F05" w:rsidRDefault="000A6F05" w:rsidP="000A6F05">
      <w:pPr>
        <w:rPr>
          <w:b/>
          <w:lang w:val="en-US"/>
        </w:rPr>
      </w:pPr>
      <w:bookmarkStart w:id="26" w:name="_Ref409708204"/>
      <w:r>
        <w:rPr>
          <w:b/>
          <w:noProof/>
          <w:lang w:val="en-GB" w:eastAsia="en-GB"/>
        </w:rPr>
        <w:lastRenderedPageBreak/>
        <w:drawing>
          <wp:inline distT="0" distB="0" distL="0" distR="0" wp14:anchorId="174E9DF6" wp14:editId="3E0E9559">
            <wp:extent cx="6313336" cy="4112174"/>
            <wp:effectExtent l="0" t="0" r="0" b="317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11862" cy="4111214"/>
                    </a:xfrm>
                    <a:prstGeom prst="rect">
                      <a:avLst/>
                    </a:prstGeom>
                    <a:noFill/>
                  </pic:spPr>
                </pic:pic>
              </a:graphicData>
            </a:graphic>
          </wp:inline>
        </w:drawing>
      </w:r>
    </w:p>
    <w:p w:rsidR="000A6F05" w:rsidRDefault="000A6F05" w:rsidP="000A6F05">
      <w:pPr>
        <w:rPr>
          <w:b/>
          <w:lang w:val="en-US"/>
        </w:rPr>
      </w:pPr>
    </w:p>
    <w:p w:rsidR="000A6F05" w:rsidRDefault="000A6F05" w:rsidP="000A6F05">
      <w:pPr>
        <w:rPr>
          <w:b/>
          <w:lang w:val="en-US"/>
        </w:rPr>
      </w:pPr>
      <w:r>
        <w:rPr>
          <w:lang w:val="en-US"/>
        </w:rPr>
        <w:t>Figure 3</w:t>
      </w:r>
      <w:r w:rsidRPr="00B065C0">
        <w:rPr>
          <w:lang w:val="en-US"/>
        </w:rPr>
        <w:t>: Relative comparison between chilled and superchilled salmon cold chain</w:t>
      </w:r>
      <w:r w:rsidRPr="00B065C0">
        <w:rPr>
          <w:b/>
          <w:lang w:val="en-US"/>
        </w:rPr>
        <w:t xml:space="preserve"> </w:t>
      </w:r>
    </w:p>
    <w:p w:rsidR="000A6F05" w:rsidRDefault="000A6F05" w:rsidP="000A6F05">
      <w:pPr>
        <w:rPr>
          <w:b/>
          <w:lang w:val="en-US"/>
        </w:rPr>
      </w:pPr>
      <w:r>
        <w:rPr>
          <w:b/>
          <w:lang w:val="en-US"/>
        </w:rPr>
        <w:br w:type="page"/>
      </w:r>
    </w:p>
    <w:p w:rsidR="000A6F05" w:rsidRDefault="000A6F05" w:rsidP="000A6F05">
      <w:pPr>
        <w:rPr>
          <w:b/>
          <w:lang w:val="en-US"/>
        </w:rPr>
      </w:pPr>
      <w:r>
        <w:rPr>
          <w:b/>
          <w:noProof/>
          <w:lang w:val="en-GB" w:eastAsia="en-GB"/>
        </w:rPr>
        <w:lastRenderedPageBreak/>
        <w:drawing>
          <wp:inline distT="0" distB="0" distL="0" distR="0" wp14:anchorId="50844CE6" wp14:editId="7E86FE06">
            <wp:extent cx="6162261" cy="7549634"/>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60592" cy="7547589"/>
                    </a:xfrm>
                    <a:prstGeom prst="rect">
                      <a:avLst/>
                    </a:prstGeom>
                    <a:noFill/>
                  </pic:spPr>
                </pic:pic>
              </a:graphicData>
            </a:graphic>
          </wp:inline>
        </w:drawing>
      </w:r>
    </w:p>
    <w:p w:rsidR="000A6F05" w:rsidRDefault="000A6F05" w:rsidP="000A6F05">
      <w:pPr>
        <w:rPr>
          <w:b/>
          <w:lang w:val="en-US"/>
        </w:rPr>
      </w:pPr>
      <w:r>
        <w:rPr>
          <w:lang w:val="en-US"/>
        </w:rPr>
        <w:t>Figure 4</w:t>
      </w:r>
      <w:r w:rsidRPr="00B065C0">
        <w:rPr>
          <w:lang w:val="en-US"/>
        </w:rPr>
        <w:t>: Impact of cold chain steps, comparison between chilled and superchilled cold chain</w:t>
      </w:r>
      <w:r w:rsidRPr="00B065C0">
        <w:rPr>
          <w:b/>
          <w:lang w:val="en-US"/>
        </w:rPr>
        <w:t xml:space="preserve"> </w:t>
      </w:r>
    </w:p>
    <w:p w:rsidR="000A6F05" w:rsidRDefault="000A6F05" w:rsidP="000A6F05">
      <w:pPr>
        <w:rPr>
          <w:b/>
          <w:lang w:val="en-US"/>
        </w:rPr>
      </w:pPr>
      <w:r>
        <w:rPr>
          <w:b/>
          <w:lang w:val="en-US"/>
        </w:rPr>
        <w:br w:type="page"/>
      </w:r>
    </w:p>
    <w:p w:rsidR="000A6F05" w:rsidRDefault="000A6F05" w:rsidP="000A6F05">
      <w:pPr>
        <w:rPr>
          <w:b/>
          <w:lang w:val="en-US"/>
        </w:rPr>
      </w:pPr>
      <w:r>
        <w:rPr>
          <w:b/>
          <w:noProof/>
          <w:lang w:val="en-GB" w:eastAsia="en-GB"/>
        </w:rPr>
        <w:lastRenderedPageBreak/>
        <w:drawing>
          <wp:inline distT="0" distB="0" distL="0" distR="0" wp14:anchorId="1BCC30A8" wp14:editId="037355E8">
            <wp:extent cx="5976785" cy="3097924"/>
            <wp:effectExtent l="0" t="0" r="508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7857" cy="3098480"/>
                    </a:xfrm>
                    <a:prstGeom prst="rect">
                      <a:avLst/>
                    </a:prstGeom>
                    <a:noFill/>
                  </pic:spPr>
                </pic:pic>
              </a:graphicData>
            </a:graphic>
          </wp:inline>
        </w:drawing>
      </w:r>
    </w:p>
    <w:p w:rsidR="000A6F05" w:rsidRPr="007B44D9" w:rsidRDefault="000A6F05" w:rsidP="000A6F05">
      <w:pPr>
        <w:rPr>
          <w:lang w:val="en-US"/>
        </w:rPr>
      </w:pPr>
      <w:r w:rsidRPr="007B44D9">
        <w:rPr>
          <w:lang w:val="en-US"/>
        </w:rPr>
        <w:t xml:space="preserve">Figure 5: </w:t>
      </w:r>
      <w:r>
        <w:rPr>
          <w:lang w:val="en-US"/>
        </w:rPr>
        <w:t>Comparison of the results of 4 scenarios to reference superchilled cold chain</w:t>
      </w:r>
      <w:r w:rsidRPr="007B44D9">
        <w:rPr>
          <w:lang w:val="en-US"/>
        </w:rPr>
        <w:br w:type="page"/>
      </w:r>
    </w:p>
    <w:p w:rsidR="000A6F05" w:rsidRDefault="000A6F05" w:rsidP="000A6F05">
      <w:pPr>
        <w:rPr>
          <w:bCs w:val="0"/>
          <w:lang w:val="en-US"/>
        </w:rPr>
      </w:pPr>
    </w:p>
    <w:p w:rsidR="000A6F05" w:rsidRPr="00B065C0" w:rsidRDefault="000A6F05" w:rsidP="000A6F05">
      <w:pPr>
        <w:pStyle w:val="Caption"/>
        <w:spacing w:line="360" w:lineRule="auto"/>
        <w:rPr>
          <w:b w:val="0"/>
          <w:sz w:val="24"/>
          <w:szCs w:val="24"/>
          <w:lang w:val="en-US"/>
        </w:rPr>
      </w:pPr>
      <w:r w:rsidRPr="00B065C0">
        <w:rPr>
          <w:b w:val="0"/>
          <w:sz w:val="24"/>
          <w:szCs w:val="24"/>
          <w:lang w:val="en-US"/>
        </w:rPr>
        <w:t>Table</w:t>
      </w:r>
      <w:bookmarkEnd w:id="26"/>
      <w:r w:rsidRPr="00B065C0">
        <w:rPr>
          <w:b w:val="0"/>
          <w:sz w:val="24"/>
          <w:szCs w:val="24"/>
          <w:lang w:val="en-US"/>
        </w:rPr>
        <w:t xml:space="preserve"> 1:  In - and outputs in salmon harvesting process</w:t>
      </w:r>
    </w:p>
    <w:p w:rsidR="000A6F05" w:rsidRPr="00AA59C4" w:rsidRDefault="000A6F05" w:rsidP="000A6F05">
      <w:pPr>
        <w:rPr>
          <w:lang w:val="en-US"/>
        </w:rPr>
      </w:pPr>
    </w:p>
    <w:tbl>
      <w:tblPr>
        <w:tblW w:w="77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1473"/>
        <w:gridCol w:w="2412"/>
        <w:gridCol w:w="1415"/>
      </w:tblGrid>
      <w:tr w:rsidR="000A6F05" w:rsidRPr="00D60B7A" w:rsidTr="009A5F48">
        <w:tc>
          <w:tcPr>
            <w:tcW w:w="2463" w:type="dxa"/>
            <w:tcBorders>
              <w:left w:val="nil"/>
              <w:right w:val="nil"/>
            </w:tcBorders>
            <w:shd w:val="clear" w:color="auto" w:fill="auto"/>
          </w:tcPr>
          <w:p w:rsidR="000A6F05" w:rsidRPr="00D60B7A" w:rsidRDefault="000A6F05" w:rsidP="009A5F48">
            <w:pPr>
              <w:spacing w:line="360" w:lineRule="auto"/>
            </w:pPr>
            <w:r w:rsidRPr="00D60B7A">
              <w:t>Input</w:t>
            </w:r>
          </w:p>
        </w:tc>
        <w:tc>
          <w:tcPr>
            <w:tcW w:w="1473" w:type="dxa"/>
            <w:tcBorders>
              <w:left w:val="nil"/>
              <w:right w:val="nil"/>
            </w:tcBorders>
            <w:shd w:val="clear" w:color="auto" w:fill="auto"/>
          </w:tcPr>
          <w:p w:rsidR="000A6F05" w:rsidRPr="00D60B7A" w:rsidRDefault="000A6F05" w:rsidP="009A5F48">
            <w:pPr>
              <w:spacing w:line="360" w:lineRule="auto"/>
              <w:jc w:val="right"/>
            </w:pPr>
            <w:r w:rsidRPr="00D60B7A">
              <w:t>Amount</w:t>
            </w:r>
          </w:p>
        </w:tc>
        <w:tc>
          <w:tcPr>
            <w:tcW w:w="2412" w:type="dxa"/>
            <w:tcBorders>
              <w:left w:val="nil"/>
              <w:right w:val="nil"/>
            </w:tcBorders>
            <w:shd w:val="clear" w:color="auto" w:fill="auto"/>
          </w:tcPr>
          <w:p w:rsidR="000A6F05" w:rsidRPr="00D60B7A" w:rsidRDefault="000A6F05" w:rsidP="009A5F48">
            <w:pPr>
              <w:spacing w:line="360" w:lineRule="auto"/>
            </w:pPr>
            <w:r w:rsidRPr="00D60B7A">
              <w:t>Output</w:t>
            </w:r>
          </w:p>
        </w:tc>
        <w:tc>
          <w:tcPr>
            <w:tcW w:w="1415" w:type="dxa"/>
            <w:tcBorders>
              <w:left w:val="nil"/>
              <w:right w:val="nil"/>
            </w:tcBorders>
            <w:shd w:val="clear" w:color="auto" w:fill="auto"/>
          </w:tcPr>
          <w:p w:rsidR="000A6F05" w:rsidRPr="00D60B7A" w:rsidRDefault="000A6F05" w:rsidP="009A5F48">
            <w:pPr>
              <w:spacing w:line="360" w:lineRule="auto"/>
              <w:jc w:val="right"/>
            </w:pPr>
            <w:r w:rsidRPr="00D60B7A">
              <w:t>Amount</w:t>
            </w:r>
          </w:p>
        </w:tc>
      </w:tr>
      <w:tr w:rsidR="000A6F05" w:rsidRPr="00D60B7A" w:rsidTr="009A5F48">
        <w:trPr>
          <w:trHeight w:val="794"/>
        </w:trPr>
        <w:tc>
          <w:tcPr>
            <w:tcW w:w="2463" w:type="dxa"/>
            <w:tcBorders>
              <w:left w:val="nil"/>
              <w:right w:val="nil"/>
            </w:tcBorders>
            <w:shd w:val="clear" w:color="auto" w:fill="auto"/>
          </w:tcPr>
          <w:p w:rsidR="000A6F05" w:rsidRPr="00D60B7A" w:rsidRDefault="000A6F05" w:rsidP="009A5F48">
            <w:pPr>
              <w:spacing w:line="360" w:lineRule="auto"/>
            </w:pPr>
            <w:r w:rsidRPr="00D60B7A">
              <w:t>Live-weight salmon</w:t>
            </w:r>
          </w:p>
        </w:tc>
        <w:tc>
          <w:tcPr>
            <w:tcW w:w="1473" w:type="dxa"/>
            <w:tcBorders>
              <w:left w:val="nil"/>
              <w:right w:val="nil"/>
            </w:tcBorders>
            <w:shd w:val="clear" w:color="auto" w:fill="auto"/>
          </w:tcPr>
          <w:p w:rsidR="000A6F05" w:rsidRPr="00D60B7A" w:rsidRDefault="000A6F05" w:rsidP="009A5F48">
            <w:pPr>
              <w:spacing w:line="360" w:lineRule="auto"/>
              <w:jc w:val="right"/>
            </w:pPr>
            <w:r w:rsidRPr="00D60B7A">
              <w:t>1 kg</w:t>
            </w:r>
          </w:p>
        </w:tc>
        <w:tc>
          <w:tcPr>
            <w:tcW w:w="2412" w:type="dxa"/>
            <w:tcBorders>
              <w:left w:val="nil"/>
              <w:right w:val="nil"/>
            </w:tcBorders>
            <w:shd w:val="clear" w:color="auto" w:fill="auto"/>
          </w:tcPr>
          <w:p w:rsidR="000A6F05" w:rsidRPr="00D60B7A" w:rsidRDefault="000A6F05" w:rsidP="009A5F48">
            <w:pPr>
              <w:spacing w:line="360" w:lineRule="auto"/>
            </w:pPr>
            <w:r w:rsidRPr="00D60B7A">
              <w:t>Salmon, head-on, gutted</w:t>
            </w:r>
          </w:p>
        </w:tc>
        <w:tc>
          <w:tcPr>
            <w:tcW w:w="1415" w:type="dxa"/>
            <w:tcBorders>
              <w:left w:val="nil"/>
              <w:right w:val="nil"/>
            </w:tcBorders>
            <w:shd w:val="clear" w:color="auto" w:fill="auto"/>
          </w:tcPr>
          <w:p w:rsidR="000A6F05" w:rsidRPr="00D60B7A" w:rsidRDefault="000A6F05" w:rsidP="009A5F48">
            <w:pPr>
              <w:spacing w:line="360" w:lineRule="auto"/>
              <w:jc w:val="right"/>
            </w:pPr>
            <w:r w:rsidRPr="00D60B7A">
              <w:t>0.822 kg</w:t>
            </w:r>
          </w:p>
        </w:tc>
      </w:tr>
      <w:tr w:rsidR="000A6F05" w:rsidRPr="00D60B7A" w:rsidTr="009A5F48">
        <w:tc>
          <w:tcPr>
            <w:tcW w:w="2463" w:type="dxa"/>
            <w:tcBorders>
              <w:left w:val="nil"/>
              <w:right w:val="nil"/>
            </w:tcBorders>
            <w:shd w:val="clear" w:color="auto" w:fill="auto"/>
          </w:tcPr>
          <w:p w:rsidR="000A6F05" w:rsidRPr="00D60B7A" w:rsidRDefault="000A6F05" w:rsidP="009A5F48">
            <w:pPr>
              <w:spacing w:line="360" w:lineRule="auto"/>
            </w:pPr>
            <w:r w:rsidRPr="00D60B7A">
              <w:t>Electricity</w:t>
            </w:r>
          </w:p>
        </w:tc>
        <w:tc>
          <w:tcPr>
            <w:tcW w:w="1473" w:type="dxa"/>
            <w:tcBorders>
              <w:left w:val="nil"/>
              <w:right w:val="nil"/>
            </w:tcBorders>
            <w:shd w:val="clear" w:color="auto" w:fill="auto"/>
          </w:tcPr>
          <w:p w:rsidR="000A6F05" w:rsidRPr="00D60B7A" w:rsidRDefault="000A6F05" w:rsidP="009A5F48">
            <w:pPr>
              <w:spacing w:line="360" w:lineRule="auto"/>
              <w:jc w:val="right"/>
            </w:pPr>
            <w:r w:rsidRPr="00D60B7A">
              <w:rPr>
                <w:color w:val="000000"/>
              </w:rPr>
              <w:t>291.6 kJ</w:t>
            </w:r>
          </w:p>
        </w:tc>
        <w:tc>
          <w:tcPr>
            <w:tcW w:w="2412" w:type="dxa"/>
            <w:vMerge w:val="restart"/>
            <w:tcBorders>
              <w:left w:val="nil"/>
              <w:right w:val="nil"/>
            </w:tcBorders>
            <w:shd w:val="clear" w:color="auto" w:fill="auto"/>
          </w:tcPr>
          <w:p w:rsidR="000A6F05" w:rsidRPr="00D60B7A" w:rsidRDefault="000A6F05" w:rsidP="009A5F48">
            <w:pPr>
              <w:spacing w:line="360" w:lineRule="auto"/>
              <w:rPr>
                <w:lang w:val="en-US"/>
              </w:rPr>
            </w:pPr>
            <w:r w:rsidRPr="00D60B7A">
              <w:rPr>
                <w:lang w:val="en-US"/>
              </w:rPr>
              <w:t>Salmon by-products to ensilage</w:t>
            </w:r>
          </w:p>
        </w:tc>
        <w:tc>
          <w:tcPr>
            <w:tcW w:w="1415" w:type="dxa"/>
            <w:vMerge w:val="restart"/>
            <w:tcBorders>
              <w:left w:val="nil"/>
              <w:right w:val="nil"/>
            </w:tcBorders>
            <w:shd w:val="clear" w:color="auto" w:fill="auto"/>
          </w:tcPr>
          <w:p w:rsidR="000A6F05" w:rsidRPr="00D60B7A" w:rsidRDefault="000A6F05" w:rsidP="009A5F48">
            <w:pPr>
              <w:spacing w:line="360" w:lineRule="auto"/>
              <w:jc w:val="right"/>
            </w:pPr>
            <w:r w:rsidRPr="00D60B7A">
              <w:t>0.178 kg</w:t>
            </w:r>
          </w:p>
        </w:tc>
      </w:tr>
      <w:tr w:rsidR="000A6F05" w:rsidRPr="00D60B7A" w:rsidTr="009A5F48">
        <w:tc>
          <w:tcPr>
            <w:tcW w:w="2463" w:type="dxa"/>
            <w:tcBorders>
              <w:left w:val="nil"/>
              <w:bottom w:val="single" w:sz="4" w:space="0" w:color="auto"/>
              <w:right w:val="nil"/>
            </w:tcBorders>
            <w:shd w:val="clear" w:color="auto" w:fill="auto"/>
          </w:tcPr>
          <w:p w:rsidR="000A6F05" w:rsidRPr="00D60B7A" w:rsidRDefault="000A6F05" w:rsidP="009A5F48">
            <w:pPr>
              <w:spacing w:line="360" w:lineRule="auto"/>
            </w:pPr>
            <w:r w:rsidRPr="00D60B7A">
              <w:t>Carbon dioxide</w:t>
            </w:r>
          </w:p>
        </w:tc>
        <w:tc>
          <w:tcPr>
            <w:tcW w:w="1473" w:type="dxa"/>
            <w:tcBorders>
              <w:left w:val="nil"/>
              <w:bottom w:val="single" w:sz="4" w:space="0" w:color="auto"/>
              <w:right w:val="nil"/>
            </w:tcBorders>
            <w:shd w:val="clear" w:color="auto" w:fill="auto"/>
          </w:tcPr>
          <w:p w:rsidR="000A6F05" w:rsidRPr="00D60B7A" w:rsidRDefault="000A6F05" w:rsidP="009A5F48">
            <w:pPr>
              <w:spacing w:line="360" w:lineRule="auto"/>
              <w:jc w:val="right"/>
            </w:pPr>
            <w:r w:rsidRPr="00D60B7A">
              <w:t>0.15 g</w:t>
            </w:r>
          </w:p>
        </w:tc>
        <w:tc>
          <w:tcPr>
            <w:tcW w:w="2412" w:type="dxa"/>
            <w:vMerge/>
            <w:tcBorders>
              <w:left w:val="nil"/>
              <w:bottom w:val="single" w:sz="4" w:space="0" w:color="auto"/>
              <w:right w:val="nil"/>
            </w:tcBorders>
            <w:shd w:val="clear" w:color="auto" w:fill="auto"/>
          </w:tcPr>
          <w:p w:rsidR="000A6F05" w:rsidRPr="00D60B7A" w:rsidRDefault="000A6F05" w:rsidP="009A5F48">
            <w:pPr>
              <w:spacing w:line="360" w:lineRule="auto"/>
              <w:jc w:val="right"/>
            </w:pPr>
          </w:p>
        </w:tc>
        <w:tc>
          <w:tcPr>
            <w:tcW w:w="1415" w:type="dxa"/>
            <w:vMerge/>
            <w:tcBorders>
              <w:left w:val="nil"/>
              <w:bottom w:val="single" w:sz="4" w:space="0" w:color="auto"/>
              <w:right w:val="nil"/>
            </w:tcBorders>
            <w:shd w:val="clear" w:color="auto" w:fill="auto"/>
          </w:tcPr>
          <w:p w:rsidR="000A6F05" w:rsidRPr="00D60B7A" w:rsidRDefault="000A6F05" w:rsidP="009A5F48">
            <w:pPr>
              <w:spacing w:line="360" w:lineRule="auto"/>
              <w:jc w:val="right"/>
            </w:pPr>
          </w:p>
        </w:tc>
      </w:tr>
      <w:tr w:rsidR="000A6F05" w:rsidRPr="00D60B7A" w:rsidTr="009A5F48">
        <w:tc>
          <w:tcPr>
            <w:tcW w:w="2463" w:type="dxa"/>
            <w:tcBorders>
              <w:left w:val="nil"/>
              <w:right w:val="nil"/>
            </w:tcBorders>
            <w:shd w:val="clear" w:color="auto" w:fill="auto"/>
          </w:tcPr>
          <w:p w:rsidR="000A6F05" w:rsidRPr="00D60B7A" w:rsidRDefault="000A6F05" w:rsidP="009A5F48">
            <w:pPr>
              <w:spacing w:line="360" w:lineRule="auto"/>
            </w:pPr>
            <w:r w:rsidRPr="00D60B7A">
              <w:t>Water</w:t>
            </w:r>
          </w:p>
        </w:tc>
        <w:tc>
          <w:tcPr>
            <w:tcW w:w="1473" w:type="dxa"/>
            <w:tcBorders>
              <w:left w:val="nil"/>
              <w:right w:val="nil"/>
            </w:tcBorders>
            <w:shd w:val="clear" w:color="auto" w:fill="auto"/>
          </w:tcPr>
          <w:p w:rsidR="000A6F05" w:rsidRPr="00D60B7A" w:rsidRDefault="000A6F05" w:rsidP="009A5F48">
            <w:pPr>
              <w:spacing w:line="360" w:lineRule="auto"/>
              <w:jc w:val="right"/>
            </w:pPr>
            <w:r w:rsidRPr="00D60B7A">
              <w:t>3.5 litres</w:t>
            </w:r>
          </w:p>
        </w:tc>
        <w:tc>
          <w:tcPr>
            <w:tcW w:w="3827" w:type="dxa"/>
            <w:gridSpan w:val="2"/>
            <w:vMerge w:val="restart"/>
            <w:tcBorders>
              <w:left w:val="nil"/>
              <w:right w:val="nil"/>
            </w:tcBorders>
            <w:shd w:val="clear" w:color="auto" w:fill="auto"/>
          </w:tcPr>
          <w:p w:rsidR="000A6F05" w:rsidRPr="00D60B7A" w:rsidRDefault="000A6F05" w:rsidP="009A5F48">
            <w:pPr>
              <w:spacing w:line="360" w:lineRule="auto"/>
              <w:jc w:val="right"/>
            </w:pPr>
          </w:p>
        </w:tc>
      </w:tr>
      <w:tr w:rsidR="000A6F05" w:rsidRPr="00D60B7A" w:rsidTr="009A5F48">
        <w:tc>
          <w:tcPr>
            <w:tcW w:w="2463" w:type="dxa"/>
            <w:tcBorders>
              <w:left w:val="nil"/>
              <w:right w:val="nil"/>
            </w:tcBorders>
            <w:shd w:val="clear" w:color="auto" w:fill="auto"/>
          </w:tcPr>
          <w:p w:rsidR="000A6F05" w:rsidRPr="00D60B7A" w:rsidRDefault="000A6F05" w:rsidP="009A5F48">
            <w:pPr>
              <w:spacing w:line="360" w:lineRule="auto"/>
            </w:pPr>
            <w:r w:rsidRPr="00D60B7A">
              <w:t>Refrigerant R22</w:t>
            </w:r>
          </w:p>
        </w:tc>
        <w:tc>
          <w:tcPr>
            <w:tcW w:w="1473" w:type="dxa"/>
            <w:tcBorders>
              <w:left w:val="nil"/>
              <w:right w:val="nil"/>
            </w:tcBorders>
            <w:shd w:val="clear" w:color="auto" w:fill="auto"/>
          </w:tcPr>
          <w:p w:rsidR="000A6F05" w:rsidRPr="00D60B7A" w:rsidRDefault="000A6F05" w:rsidP="009A5F48">
            <w:pPr>
              <w:spacing w:line="360" w:lineRule="auto"/>
              <w:jc w:val="right"/>
            </w:pPr>
            <w:r w:rsidRPr="00D60B7A">
              <w:t>0.45mg</w:t>
            </w:r>
          </w:p>
        </w:tc>
        <w:tc>
          <w:tcPr>
            <w:tcW w:w="3827" w:type="dxa"/>
            <w:gridSpan w:val="2"/>
            <w:vMerge/>
            <w:tcBorders>
              <w:left w:val="nil"/>
              <w:right w:val="nil"/>
            </w:tcBorders>
            <w:shd w:val="clear" w:color="auto" w:fill="auto"/>
          </w:tcPr>
          <w:p w:rsidR="000A6F05" w:rsidRPr="00D60B7A" w:rsidRDefault="000A6F05" w:rsidP="009A5F48">
            <w:pPr>
              <w:spacing w:line="360" w:lineRule="auto"/>
              <w:jc w:val="center"/>
            </w:pPr>
          </w:p>
        </w:tc>
      </w:tr>
      <w:tr w:rsidR="000A6F05" w:rsidRPr="00D60B7A" w:rsidTr="009A5F48">
        <w:tc>
          <w:tcPr>
            <w:tcW w:w="2463" w:type="dxa"/>
            <w:tcBorders>
              <w:left w:val="nil"/>
              <w:right w:val="nil"/>
            </w:tcBorders>
            <w:shd w:val="clear" w:color="auto" w:fill="auto"/>
          </w:tcPr>
          <w:p w:rsidR="000A6F05" w:rsidRPr="00D60B7A" w:rsidRDefault="000A6F05" w:rsidP="009A5F48">
            <w:pPr>
              <w:spacing w:line="360" w:lineRule="auto"/>
            </w:pPr>
            <w:r w:rsidRPr="00D60B7A">
              <w:t>Refrigerant NH3</w:t>
            </w:r>
          </w:p>
        </w:tc>
        <w:tc>
          <w:tcPr>
            <w:tcW w:w="1473" w:type="dxa"/>
            <w:tcBorders>
              <w:left w:val="nil"/>
              <w:right w:val="nil"/>
            </w:tcBorders>
            <w:shd w:val="clear" w:color="auto" w:fill="auto"/>
          </w:tcPr>
          <w:p w:rsidR="000A6F05" w:rsidRPr="00D60B7A" w:rsidRDefault="000A6F05" w:rsidP="009A5F48">
            <w:pPr>
              <w:spacing w:line="360" w:lineRule="auto"/>
              <w:jc w:val="right"/>
            </w:pPr>
            <w:r w:rsidRPr="00D60B7A">
              <w:t>7.4mg</w:t>
            </w:r>
          </w:p>
        </w:tc>
        <w:tc>
          <w:tcPr>
            <w:tcW w:w="3827" w:type="dxa"/>
            <w:gridSpan w:val="2"/>
            <w:vMerge/>
            <w:tcBorders>
              <w:left w:val="nil"/>
              <w:right w:val="nil"/>
            </w:tcBorders>
            <w:shd w:val="clear" w:color="auto" w:fill="auto"/>
          </w:tcPr>
          <w:p w:rsidR="000A6F05" w:rsidRPr="00D60B7A" w:rsidRDefault="000A6F05" w:rsidP="009A5F48">
            <w:pPr>
              <w:spacing w:line="360" w:lineRule="auto"/>
            </w:pPr>
          </w:p>
        </w:tc>
      </w:tr>
      <w:tr w:rsidR="000A6F05" w:rsidRPr="00D60B7A" w:rsidTr="009A5F48">
        <w:tc>
          <w:tcPr>
            <w:tcW w:w="2463" w:type="dxa"/>
            <w:tcBorders>
              <w:left w:val="nil"/>
              <w:right w:val="nil"/>
            </w:tcBorders>
            <w:shd w:val="clear" w:color="auto" w:fill="auto"/>
          </w:tcPr>
          <w:p w:rsidR="000A6F05" w:rsidRPr="00D60B7A" w:rsidRDefault="000A6F05" w:rsidP="009A5F48">
            <w:pPr>
              <w:spacing w:line="360" w:lineRule="auto"/>
            </w:pPr>
            <w:r w:rsidRPr="00D60B7A">
              <w:t>Ice</w:t>
            </w:r>
          </w:p>
        </w:tc>
        <w:tc>
          <w:tcPr>
            <w:tcW w:w="1473" w:type="dxa"/>
            <w:tcBorders>
              <w:left w:val="nil"/>
              <w:right w:val="nil"/>
            </w:tcBorders>
            <w:shd w:val="clear" w:color="auto" w:fill="auto"/>
          </w:tcPr>
          <w:p w:rsidR="000A6F05" w:rsidRPr="00D60B7A" w:rsidRDefault="000A6F05" w:rsidP="009A5F48">
            <w:pPr>
              <w:spacing w:line="360" w:lineRule="auto"/>
              <w:jc w:val="right"/>
            </w:pPr>
            <w:r w:rsidRPr="00D60B7A">
              <w:t>207 g</w:t>
            </w:r>
          </w:p>
        </w:tc>
        <w:tc>
          <w:tcPr>
            <w:tcW w:w="3827" w:type="dxa"/>
            <w:gridSpan w:val="2"/>
            <w:vMerge/>
            <w:tcBorders>
              <w:left w:val="nil"/>
              <w:right w:val="nil"/>
            </w:tcBorders>
            <w:shd w:val="clear" w:color="auto" w:fill="auto"/>
          </w:tcPr>
          <w:p w:rsidR="000A6F05" w:rsidRPr="00D60B7A" w:rsidRDefault="000A6F05" w:rsidP="009A5F48">
            <w:pPr>
              <w:spacing w:line="360" w:lineRule="auto"/>
            </w:pPr>
          </w:p>
        </w:tc>
      </w:tr>
    </w:tbl>
    <w:p w:rsidR="000A6F05" w:rsidRPr="00D60B7A" w:rsidRDefault="000A6F05" w:rsidP="000A6F05">
      <w:pPr>
        <w:rPr>
          <w:lang w:val="en-US"/>
        </w:rPr>
      </w:pPr>
    </w:p>
    <w:p w:rsidR="000A6F05" w:rsidRDefault="000A6F05" w:rsidP="000A6F05">
      <w:pPr>
        <w:rPr>
          <w:lang w:val="en-US"/>
        </w:rPr>
      </w:pPr>
    </w:p>
    <w:p w:rsidR="000A6F05" w:rsidRDefault="000A6F05" w:rsidP="000A6F05">
      <w:pPr>
        <w:rPr>
          <w:lang w:val="en-US"/>
        </w:rPr>
      </w:pPr>
    </w:p>
    <w:p w:rsidR="000A6F05" w:rsidRDefault="000A6F05" w:rsidP="000A6F05">
      <w:pPr>
        <w:rPr>
          <w:lang w:val="en-US"/>
        </w:rPr>
      </w:pPr>
      <w:r>
        <w:rPr>
          <w:lang w:val="en-US"/>
        </w:rPr>
        <w:br w:type="page"/>
      </w:r>
    </w:p>
    <w:p w:rsidR="000A6F05" w:rsidRPr="00B971E8" w:rsidRDefault="000A6F05" w:rsidP="000A6F05">
      <w:pPr>
        <w:spacing w:line="360" w:lineRule="auto"/>
        <w:rPr>
          <w:lang w:val="en-US"/>
        </w:rPr>
      </w:pPr>
      <w:bookmarkStart w:id="27" w:name="_Ref417056224"/>
      <w:r w:rsidRPr="00B971E8">
        <w:rPr>
          <w:lang w:val="en-US"/>
        </w:rPr>
        <w:lastRenderedPageBreak/>
        <w:t>Table</w:t>
      </w:r>
      <w:r>
        <w:rPr>
          <w:lang w:val="en-US"/>
        </w:rPr>
        <w:t xml:space="preserve"> 2</w:t>
      </w:r>
      <w:r w:rsidRPr="00B971E8">
        <w:rPr>
          <w:lang w:val="en-US"/>
        </w:rPr>
        <w:t xml:space="preserve">: Material and energy inputs </w:t>
      </w:r>
      <w:r>
        <w:rPr>
          <w:lang w:val="en-US"/>
        </w:rPr>
        <w:t>for 1 kg of salmon</w:t>
      </w:r>
    </w:p>
    <w:tbl>
      <w:tblPr>
        <w:tblW w:w="9970" w:type="dxa"/>
        <w:tblInd w:w="93" w:type="dxa"/>
        <w:tblBorders>
          <w:top w:val="single" w:sz="4" w:space="0" w:color="auto"/>
          <w:bottom w:val="single" w:sz="4" w:space="0" w:color="auto"/>
          <w:insideH w:val="single" w:sz="4" w:space="0" w:color="auto"/>
        </w:tblBorders>
        <w:tblLook w:val="04A0" w:firstRow="1" w:lastRow="0" w:firstColumn="1" w:lastColumn="0" w:noHBand="0" w:noVBand="1"/>
      </w:tblPr>
      <w:tblGrid>
        <w:gridCol w:w="2709"/>
        <w:gridCol w:w="3402"/>
        <w:gridCol w:w="1559"/>
        <w:gridCol w:w="2300"/>
      </w:tblGrid>
      <w:tr w:rsidR="000A6F05" w:rsidRPr="00B971E8" w:rsidTr="009A5F48">
        <w:trPr>
          <w:trHeight w:val="300"/>
        </w:trPr>
        <w:tc>
          <w:tcPr>
            <w:tcW w:w="2709"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Material/Energy Inputs</w:t>
            </w:r>
          </w:p>
        </w:tc>
        <w:tc>
          <w:tcPr>
            <w:tcW w:w="3402"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Step</w:t>
            </w:r>
          </w:p>
        </w:tc>
        <w:tc>
          <w:tcPr>
            <w:tcW w:w="1559" w:type="dxa"/>
            <w:shd w:val="clear" w:color="auto" w:fill="auto"/>
            <w:noWrap/>
            <w:vAlign w:val="center"/>
            <w:hideMark/>
          </w:tcPr>
          <w:p w:rsidR="000A6F05" w:rsidRPr="00B971E8" w:rsidRDefault="000A6F05" w:rsidP="009A5F48">
            <w:pPr>
              <w:spacing w:line="360" w:lineRule="auto"/>
              <w:jc w:val="right"/>
              <w:rPr>
                <w:color w:val="000000"/>
                <w:lang w:val="en-US"/>
              </w:rPr>
            </w:pPr>
            <w:r w:rsidRPr="00B971E8">
              <w:rPr>
                <w:color w:val="000000"/>
                <w:lang w:val="en-US"/>
              </w:rPr>
              <w:t xml:space="preserve">Chilled </w:t>
            </w:r>
          </w:p>
        </w:tc>
        <w:tc>
          <w:tcPr>
            <w:tcW w:w="2300" w:type="dxa"/>
            <w:shd w:val="clear" w:color="auto" w:fill="auto"/>
            <w:noWrap/>
            <w:vAlign w:val="center"/>
            <w:hideMark/>
          </w:tcPr>
          <w:p w:rsidR="000A6F05" w:rsidRPr="00B971E8" w:rsidRDefault="000A6F05" w:rsidP="009A5F48">
            <w:pPr>
              <w:spacing w:line="360" w:lineRule="auto"/>
              <w:jc w:val="right"/>
              <w:rPr>
                <w:color w:val="000000"/>
                <w:lang w:val="en-US"/>
              </w:rPr>
            </w:pPr>
            <w:r w:rsidRPr="00B971E8">
              <w:rPr>
                <w:color w:val="000000"/>
                <w:lang w:val="en-US"/>
              </w:rPr>
              <w:t xml:space="preserve">Superchilled </w:t>
            </w:r>
          </w:p>
        </w:tc>
      </w:tr>
      <w:tr w:rsidR="000A6F05" w:rsidRPr="00B971E8" w:rsidTr="009A5F48">
        <w:trPr>
          <w:trHeight w:val="300"/>
        </w:trPr>
        <w:tc>
          <w:tcPr>
            <w:tcW w:w="2709"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Electricity (kJ)</w:t>
            </w:r>
          </w:p>
        </w:tc>
        <w:tc>
          <w:tcPr>
            <w:tcW w:w="3402"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all steps</w:t>
            </w:r>
          </w:p>
        </w:tc>
        <w:tc>
          <w:tcPr>
            <w:tcW w:w="1559"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1364.8</w:t>
            </w:r>
          </w:p>
        </w:tc>
        <w:tc>
          <w:tcPr>
            <w:tcW w:w="2300"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1399.5</w:t>
            </w:r>
          </w:p>
        </w:tc>
      </w:tr>
      <w:tr w:rsidR="000A6F05" w:rsidRPr="00B971E8" w:rsidTr="009A5F48">
        <w:trPr>
          <w:trHeight w:val="315"/>
        </w:trPr>
        <w:tc>
          <w:tcPr>
            <w:tcW w:w="2709"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R22 (µg)</w:t>
            </w:r>
          </w:p>
        </w:tc>
        <w:tc>
          <w:tcPr>
            <w:tcW w:w="3402"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rPr>
              <w:t xml:space="preserve">production </w:t>
            </w:r>
          </w:p>
        </w:tc>
        <w:tc>
          <w:tcPr>
            <w:tcW w:w="1559"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450</w:t>
            </w:r>
          </w:p>
        </w:tc>
        <w:tc>
          <w:tcPr>
            <w:tcW w:w="2300"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450</w:t>
            </w:r>
          </w:p>
        </w:tc>
      </w:tr>
      <w:tr w:rsidR="000A6F05" w:rsidRPr="00B971E8" w:rsidTr="009A5F48">
        <w:trPr>
          <w:trHeight w:val="315"/>
        </w:trPr>
        <w:tc>
          <w:tcPr>
            <w:tcW w:w="2709" w:type="dxa"/>
            <w:shd w:val="clear" w:color="auto" w:fill="auto"/>
            <w:noWrap/>
            <w:vAlign w:val="bottom"/>
            <w:hideMark/>
          </w:tcPr>
          <w:p w:rsidR="000A6F05" w:rsidRPr="00B971E8" w:rsidRDefault="000A6F05" w:rsidP="009A5F48">
            <w:pPr>
              <w:spacing w:line="360" w:lineRule="auto"/>
              <w:rPr>
                <w:color w:val="000000"/>
                <w:lang w:val="en-US"/>
              </w:rPr>
            </w:pPr>
            <w:r>
              <w:rPr>
                <w:color w:val="000000"/>
                <w:lang w:val="en-US"/>
              </w:rPr>
              <w:t>EPS</w:t>
            </w:r>
            <w:r w:rsidRPr="00B971E8">
              <w:rPr>
                <w:color w:val="000000"/>
                <w:lang w:val="en-US"/>
              </w:rPr>
              <w:t xml:space="preserve"> (g)</w:t>
            </w:r>
          </w:p>
        </w:tc>
        <w:tc>
          <w:tcPr>
            <w:tcW w:w="3402"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 xml:space="preserve">production </w:t>
            </w:r>
          </w:p>
        </w:tc>
        <w:tc>
          <w:tcPr>
            <w:tcW w:w="1559"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33</w:t>
            </w:r>
          </w:p>
        </w:tc>
        <w:tc>
          <w:tcPr>
            <w:tcW w:w="2300"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26.4</w:t>
            </w:r>
          </w:p>
        </w:tc>
      </w:tr>
      <w:tr w:rsidR="000A6F05" w:rsidRPr="00B971E8" w:rsidTr="009A5F48">
        <w:trPr>
          <w:trHeight w:val="300"/>
        </w:trPr>
        <w:tc>
          <w:tcPr>
            <w:tcW w:w="2709"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Ammonia (mg)</w:t>
            </w:r>
          </w:p>
        </w:tc>
        <w:tc>
          <w:tcPr>
            <w:tcW w:w="3402"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production, distribution center</w:t>
            </w:r>
          </w:p>
        </w:tc>
        <w:tc>
          <w:tcPr>
            <w:tcW w:w="1559"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7.4</w:t>
            </w:r>
          </w:p>
        </w:tc>
        <w:tc>
          <w:tcPr>
            <w:tcW w:w="2300"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7.4</w:t>
            </w:r>
          </w:p>
        </w:tc>
      </w:tr>
      <w:tr w:rsidR="000A6F05" w:rsidRPr="00B971E8" w:rsidTr="009A5F48">
        <w:trPr>
          <w:trHeight w:val="300"/>
        </w:trPr>
        <w:tc>
          <w:tcPr>
            <w:tcW w:w="2709"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Diesel (g)</w:t>
            </w:r>
          </w:p>
        </w:tc>
        <w:tc>
          <w:tcPr>
            <w:tcW w:w="3402" w:type="dxa"/>
            <w:shd w:val="clear" w:color="auto" w:fill="auto"/>
            <w:noWrap/>
            <w:vAlign w:val="bottom"/>
            <w:hideMark/>
          </w:tcPr>
          <w:p w:rsidR="000A6F05" w:rsidRPr="00B971E8" w:rsidRDefault="000A6F05" w:rsidP="009A5F48">
            <w:pPr>
              <w:spacing w:line="360" w:lineRule="auto"/>
              <w:rPr>
                <w:color w:val="000000"/>
                <w:lang w:val="en-US"/>
              </w:rPr>
            </w:pPr>
            <w:r w:rsidRPr="00B971E8">
              <w:rPr>
                <w:color w:val="000000"/>
                <w:lang w:val="en-US"/>
              </w:rPr>
              <w:t>1st and 2nd transport</w:t>
            </w:r>
          </w:p>
        </w:tc>
        <w:tc>
          <w:tcPr>
            <w:tcW w:w="1559"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1.8</w:t>
            </w:r>
          </w:p>
        </w:tc>
        <w:tc>
          <w:tcPr>
            <w:tcW w:w="2300" w:type="dxa"/>
            <w:shd w:val="clear" w:color="auto" w:fill="auto"/>
            <w:noWrap/>
            <w:vAlign w:val="bottom"/>
            <w:hideMark/>
          </w:tcPr>
          <w:p w:rsidR="000A6F05" w:rsidRPr="00B971E8" w:rsidRDefault="000A6F05" w:rsidP="009A5F48">
            <w:pPr>
              <w:spacing w:line="360" w:lineRule="auto"/>
              <w:jc w:val="right"/>
              <w:rPr>
                <w:color w:val="000000"/>
                <w:lang w:val="en-US"/>
              </w:rPr>
            </w:pPr>
            <w:r w:rsidRPr="00B971E8">
              <w:rPr>
                <w:color w:val="000000"/>
                <w:lang w:val="en-US"/>
              </w:rPr>
              <w:t>1.6</w:t>
            </w:r>
          </w:p>
        </w:tc>
      </w:tr>
    </w:tbl>
    <w:p w:rsidR="000A6F05" w:rsidRDefault="000A6F05" w:rsidP="000A6F05">
      <w:pPr>
        <w:spacing w:line="360" w:lineRule="auto"/>
        <w:rPr>
          <w:b/>
          <w:lang w:val="en-US"/>
        </w:rPr>
      </w:pPr>
      <w:r w:rsidRPr="00B971E8">
        <w:rPr>
          <w:lang w:val="en-US"/>
        </w:rPr>
        <w:t xml:space="preserve"> </w:t>
      </w:r>
      <w:r w:rsidRPr="00B971E8">
        <w:rPr>
          <w:b/>
          <w:lang w:val="en-US"/>
        </w:rPr>
        <w:br w:type="page"/>
      </w:r>
    </w:p>
    <w:p w:rsidR="000A6F05" w:rsidRPr="00B065C0" w:rsidRDefault="000A6F05" w:rsidP="000A6F05">
      <w:pPr>
        <w:pStyle w:val="Caption"/>
        <w:spacing w:line="360" w:lineRule="auto"/>
        <w:rPr>
          <w:b w:val="0"/>
          <w:sz w:val="24"/>
          <w:szCs w:val="24"/>
          <w:lang w:val="en-US"/>
        </w:rPr>
      </w:pPr>
      <w:bookmarkStart w:id="28" w:name="_Ref409532139"/>
      <w:bookmarkStart w:id="29" w:name="_Ref409796253"/>
      <w:r w:rsidRPr="00B065C0">
        <w:rPr>
          <w:b w:val="0"/>
          <w:sz w:val="24"/>
          <w:szCs w:val="24"/>
          <w:lang w:val="en-US"/>
        </w:rPr>
        <w:lastRenderedPageBreak/>
        <w:t>Table</w:t>
      </w:r>
      <w:bookmarkEnd w:id="28"/>
      <w:r>
        <w:rPr>
          <w:b w:val="0"/>
          <w:sz w:val="24"/>
          <w:szCs w:val="24"/>
          <w:lang w:val="en-US"/>
        </w:rPr>
        <w:t xml:space="preserve"> 3: Electricity</w:t>
      </w:r>
      <w:r w:rsidRPr="00B065C0">
        <w:rPr>
          <w:b w:val="0"/>
          <w:sz w:val="24"/>
          <w:szCs w:val="24"/>
          <w:lang w:val="en-US"/>
        </w:rPr>
        <w:t xml:space="preserve"> consumption and refrigerant </w:t>
      </w:r>
      <w:r w:rsidRPr="00DF1727">
        <w:rPr>
          <w:b w:val="0"/>
          <w:sz w:val="24"/>
          <w:szCs w:val="24"/>
          <w:lang w:val="en-US"/>
        </w:rPr>
        <w:t xml:space="preserve">use for 1 kg of salmon </w:t>
      </w:r>
      <w:bookmarkEnd w:id="29"/>
    </w:p>
    <w:p w:rsidR="000A6F05" w:rsidRPr="00B01B2E" w:rsidRDefault="000A6F05" w:rsidP="000A6F05">
      <w:pPr>
        <w:rPr>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2778"/>
        <w:gridCol w:w="992"/>
        <w:gridCol w:w="1560"/>
        <w:gridCol w:w="1701"/>
        <w:gridCol w:w="1559"/>
      </w:tblGrid>
      <w:tr w:rsidR="000A6F05" w:rsidRPr="00A02FE5" w:rsidTr="009A5F48">
        <w:tc>
          <w:tcPr>
            <w:tcW w:w="624" w:type="dxa"/>
            <w:vMerge w:val="restart"/>
            <w:tcBorders>
              <w:left w:val="nil"/>
              <w:right w:val="nil"/>
            </w:tcBorders>
            <w:shd w:val="clear" w:color="auto" w:fill="auto"/>
          </w:tcPr>
          <w:p w:rsidR="000A6F05" w:rsidRPr="00055C3A" w:rsidRDefault="000A6F05" w:rsidP="009A5F48">
            <w:pPr>
              <w:pStyle w:val="8ICRText"/>
              <w:spacing w:line="360" w:lineRule="auto"/>
              <w:rPr>
                <w:sz w:val="24"/>
                <w:vertAlign w:val="superscript"/>
              </w:rPr>
            </w:pPr>
            <w:r w:rsidRPr="00055C3A">
              <w:rPr>
                <w:sz w:val="24"/>
              </w:rPr>
              <w:t>N</w:t>
            </w:r>
            <w:r w:rsidRPr="00055C3A">
              <w:rPr>
                <w:sz w:val="24"/>
                <w:vertAlign w:val="superscript"/>
              </w:rPr>
              <w:t>°</w:t>
            </w:r>
          </w:p>
        </w:tc>
        <w:tc>
          <w:tcPr>
            <w:tcW w:w="2778" w:type="dxa"/>
            <w:vMerge w:val="restart"/>
            <w:tcBorders>
              <w:left w:val="nil"/>
              <w:right w:val="nil"/>
            </w:tcBorders>
            <w:shd w:val="clear" w:color="auto" w:fill="auto"/>
          </w:tcPr>
          <w:p w:rsidR="000A6F05" w:rsidRPr="00055C3A" w:rsidRDefault="000A6F05" w:rsidP="009A5F48">
            <w:pPr>
              <w:pStyle w:val="8ICRText"/>
              <w:spacing w:line="360" w:lineRule="auto"/>
              <w:rPr>
                <w:sz w:val="24"/>
              </w:rPr>
            </w:pPr>
            <w:r w:rsidRPr="00055C3A">
              <w:rPr>
                <w:sz w:val="24"/>
              </w:rPr>
              <w:t>Step</w:t>
            </w:r>
          </w:p>
        </w:tc>
        <w:tc>
          <w:tcPr>
            <w:tcW w:w="2552" w:type="dxa"/>
            <w:gridSpan w:val="2"/>
            <w:tcBorders>
              <w:left w:val="nil"/>
              <w:right w:val="nil"/>
            </w:tcBorders>
          </w:tcPr>
          <w:p w:rsidR="000A6F05" w:rsidRPr="00055C3A" w:rsidRDefault="000A6F05" w:rsidP="009A5F48">
            <w:pPr>
              <w:pStyle w:val="8ICRText"/>
              <w:spacing w:line="360" w:lineRule="auto"/>
              <w:jc w:val="center"/>
              <w:rPr>
                <w:sz w:val="24"/>
                <w:lang w:val="en-US"/>
              </w:rPr>
            </w:pPr>
            <w:r>
              <w:rPr>
                <w:sz w:val="24"/>
                <w:lang w:val="en-US"/>
              </w:rPr>
              <w:t>Electricity</w:t>
            </w:r>
            <w:r w:rsidRPr="00055C3A">
              <w:rPr>
                <w:sz w:val="24"/>
                <w:lang w:val="en-US"/>
              </w:rPr>
              <w:t xml:space="preserve"> consumption</w:t>
            </w:r>
          </w:p>
          <w:p w:rsidR="000A6F05" w:rsidRPr="00055C3A" w:rsidRDefault="000A6F05" w:rsidP="009A5F48">
            <w:pPr>
              <w:pStyle w:val="8ICRText"/>
              <w:spacing w:line="360" w:lineRule="auto"/>
              <w:jc w:val="center"/>
              <w:rPr>
                <w:sz w:val="24"/>
              </w:rPr>
            </w:pPr>
            <w:r w:rsidRPr="00055C3A">
              <w:rPr>
                <w:sz w:val="24"/>
                <w:lang w:val="en-US"/>
              </w:rPr>
              <w:t>(kJ/kg salmon)</w:t>
            </w:r>
          </w:p>
        </w:tc>
        <w:tc>
          <w:tcPr>
            <w:tcW w:w="1701" w:type="dxa"/>
            <w:vMerge w:val="restart"/>
            <w:tcBorders>
              <w:left w:val="nil"/>
              <w:right w:val="nil"/>
            </w:tcBorders>
          </w:tcPr>
          <w:p w:rsidR="000A6F05" w:rsidRPr="00055C3A" w:rsidRDefault="000A6F05" w:rsidP="009A5F48">
            <w:pPr>
              <w:pStyle w:val="8ICRText"/>
              <w:spacing w:line="360" w:lineRule="auto"/>
              <w:rPr>
                <w:sz w:val="24"/>
              </w:rPr>
            </w:pPr>
            <w:r w:rsidRPr="00055C3A">
              <w:rPr>
                <w:sz w:val="24"/>
              </w:rPr>
              <w:t>Refrigerant</w:t>
            </w:r>
          </w:p>
        </w:tc>
        <w:tc>
          <w:tcPr>
            <w:tcW w:w="1559" w:type="dxa"/>
            <w:vMerge w:val="restart"/>
            <w:tcBorders>
              <w:left w:val="nil"/>
              <w:right w:val="nil"/>
            </w:tcBorders>
          </w:tcPr>
          <w:p w:rsidR="000A6F05" w:rsidRPr="00055C3A" w:rsidRDefault="000A6F05" w:rsidP="009A5F48">
            <w:pPr>
              <w:pStyle w:val="8ICRText"/>
              <w:spacing w:line="360" w:lineRule="auto"/>
              <w:rPr>
                <w:sz w:val="24"/>
              </w:rPr>
            </w:pPr>
            <w:r w:rsidRPr="00055C3A">
              <w:rPr>
                <w:sz w:val="24"/>
              </w:rPr>
              <w:t>Ref. leakage</w:t>
            </w:r>
          </w:p>
          <w:p w:rsidR="000A6F05" w:rsidRPr="00055C3A" w:rsidRDefault="000A6F05" w:rsidP="009A5F48">
            <w:pPr>
              <w:pStyle w:val="8ICRText"/>
              <w:spacing w:line="360" w:lineRule="auto"/>
              <w:rPr>
                <w:sz w:val="24"/>
              </w:rPr>
            </w:pPr>
            <w:r w:rsidRPr="00055C3A">
              <w:rPr>
                <w:sz w:val="24"/>
              </w:rPr>
              <w:t>(%/year)</w:t>
            </w:r>
          </w:p>
        </w:tc>
      </w:tr>
      <w:tr w:rsidR="000A6F05" w:rsidRPr="00A02FE5" w:rsidTr="009A5F48">
        <w:tc>
          <w:tcPr>
            <w:tcW w:w="624" w:type="dxa"/>
            <w:vMerge/>
            <w:tcBorders>
              <w:left w:val="nil"/>
              <w:right w:val="nil"/>
            </w:tcBorders>
            <w:shd w:val="clear" w:color="auto" w:fill="auto"/>
          </w:tcPr>
          <w:p w:rsidR="000A6F05" w:rsidRPr="00055C3A" w:rsidRDefault="000A6F05" w:rsidP="009A5F48">
            <w:pPr>
              <w:pStyle w:val="8ICRText"/>
              <w:spacing w:line="360" w:lineRule="auto"/>
              <w:rPr>
                <w:sz w:val="24"/>
              </w:rPr>
            </w:pPr>
          </w:p>
        </w:tc>
        <w:tc>
          <w:tcPr>
            <w:tcW w:w="2778" w:type="dxa"/>
            <w:vMerge/>
            <w:tcBorders>
              <w:left w:val="nil"/>
              <w:right w:val="nil"/>
            </w:tcBorders>
            <w:shd w:val="clear" w:color="auto" w:fill="auto"/>
          </w:tcPr>
          <w:p w:rsidR="000A6F05" w:rsidRPr="00055C3A" w:rsidRDefault="000A6F05" w:rsidP="009A5F48">
            <w:pPr>
              <w:pStyle w:val="8ICRText"/>
              <w:spacing w:line="360" w:lineRule="auto"/>
              <w:rPr>
                <w:sz w:val="24"/>
              </w:rPr>
            </w:pPr>
          </w:p>
        </w:tc>
        <w:tc>
          <w:tcPr>
            <w:tcW w:w="992" w:type="dxa"/>
            <w:tcBorders>
              <w:left w:val="nil"/>
              <w:right w:val="nil"/>
            </w:tcBorders>
          </w:tcPr>
          <w:p w:rsidR="000A6F05" w:rsidRPr="00055C3A" w:rsidRDefault="000A6F05" w:rsidP="009A5F48">
            <w:pPr>
              <w:pStyle w:val="8ICRText"/>
              <w:spacing w:line="360" w:lineRule="auto"/>
              <w:jc w:val="center"/>
              <w:rPr>
                <w:sz w:val="24"/>
                <w:lang w:val="en-US"/>
              </w:rPr>
            </w:pPr>
            <w:r w:rsidRPr="00055C3A">
              <w:rPr>
                <w:sz w:val="24"/>
                <w:lang w:val="en-US"/>
              </w:rPr>
              <w:t>Chilled</w:t>
            </w:r>
          </w:p>
        </w:tc>
        <w:tc>
          <w:tcPr>
            <w:tcW w:w="1560" w:type="dxa"/>
            <w:tcBorders>
              <w:left w:val="nil"/>
              <w:right w:val="nil"/>
            </w:tcBorders>
          </w:tcPr>
          <w:p w:rsidR="000A6F05" w:rsidRPr="00055C3A" w:rsidRDefault="000A6F05" w:rsidP="009A5F48">
            <w:pPr>
              <w:pStyle w:val="8ICRText"/>
              <w:spacing w:line="360" w:lineRule="auto"/>
              <w:jc w:val="center"/>
              <w:rPr>
                <w:sz w:val="24"/>
                <w:lang w:val="en-US"/>
              </w:rPr>
            </w:pPr>
            <w:r w:rsidRPr="00055C3A">
              <w:rPr>
                <w:sz w:val="24"/>
                <w:lang w:val="en-US"/>
              </w:rPr>
              <w:t>Superchilled</w:t>
            </w:r>
          </w:p>
        </w:tc>
        <w:tc>
          <w:tcPr>
            <w:tcW w:w="1701" w:type="dxa"/>
            <w:vMerge/>
            <w:tcBorders>
              <w:left w:val="nil"/>
              <w:right w:val="nil"/>
            </w:tcBorders>
          </w:tcPr>
          <w:p w:rsidR="000A6F05" w:rsidRPr="00055C3A" w:rsidRDefault="000A6F05" w:rsidP="009A5F48">
            <w:pPr>
              <w:pStyle w:val="8ICRText"/>
              <w:spacing w:line="360" w:lineRule="auto"/>
              <w:rPr>
                <w:sz w:val="24"/>
              </w:rPr>
            </w:pPr>
          </w:p>
        </w:tc>
        <w:tc>
          <w:tcPr>
            <w:tcW w:w="1559" w:type="dxa"/>
            <w:vMerge/>
            <w:tcBorders>
              <w:left w:val="nil"/>
              <w:right w:val="nil"/>
            </w:tcBorders>
          </w:tcPr>
          <w:p w:rsidR="000A6F05" w:rsidRPr="00055C3A" w:rsidRDefault="000A6F05" w:rsidP="009A5F48">
            <w:pPr>
              <w:pStyle w:val="8ICRText"/>
              <w:spacing w:line="360" w:lineRule="auto"/>
              <w:rPr>
                <w:sz w:val="24"/>
              </w:rPr>
            </w:pPr>
          </w:p>
        </w:tc>
      </w:tr>
      <w:tr w:rsidR="000A6F05" w:rsidRPr="00A02FE5" w:rsidTr="009A5F48">
        <w:tc>
          <w:tcPr>
            <w:tcW w:w="624" w:type="dxa"/>
            <w:vMerge w:val="restart"/>
            <w:tcBorders>
              <w:left w:val="nil"/>
              <w:right w:val="nil"/>
            </w:tcBorders>
            <w:shd w:val="clear" w:color="auto" w:fill="auto"/>
          </w:tcPr>
          <w:p w:rsidR="000A6F05" w:rsidRPr="00055C3A" w:rsidRDefault="000A6F05" w:rsidP="009A5F48">
            <w:pPr>
              <w:pStyle w:val="8ICRText"/>
              <w:spacing w:line="360" w:lineRule="auto"/>
              <w:ind w:left="33"/>
              <w:jc w:val="left"/>
              <w:rPr>
                <w:sz w:val="24"/>
              </w:rPr>
            </w:pPr>
            <w:r w:rsidRPr="00055C3A">
              <w:rPr>
                <w:sz w:val="24"/>
              </w:rPr>
              <w:t>1</w:t>
            </w:r>
          </w:p>
        </w:tc>
        <w:tc>
          <w:tcPr>
            <w:tcW w:w="2778" w:type="dxa"/>
            <w:tcBorders>
              <w:left w:val="nil"/>
              <w:right w:val="nil"/>
            </w:tcBorders>
            <w:shd w:val="clear" w:color="auto" w:fill="auto"/>
          </w:tcPr>
          <w:p w:rsidR="000A6F05" w:rsidRPr="00055C3A" w:rsidRDefault="000A6F05" w:rsidP="009A5F48">
            <w:pPr>
              <w:pStyle w:val="8ICRText"/>
              <w:spacing w:line="360" w:lineRule="auto"/>
              <w:rPr>
                <w:sz w:val="24"/>
              </w:rPr>
            </w:pPr>
            <w:r w:rsidRPr="00055C3A">
              <w:rPr>
                <w:sz w:val="24"/>
              </w:rPr>
              <w:t xml:space="preserve">Production </w:t>
            </w:r>
          </w:p>
        </w:tc>
        <w:tc>
          <w:tcPr>
            <w:tcW w:w="2552" w:type="dxa"/>
            <w:gridSpan w:val="2"/>
            <w:tcBorders>
              <w:left w:val="nil"/>
              <w:right w:val="nil"/>
            </w:tcBorders>
          </w:tcPr>
          <w:p w:rsidR="000A6F05" w:rsidRPr="00055C3A" w:rsidRDefault="000A6F05" w:rsidP="009A5F48">
            <w:pPr>
              <w:pStyle w:val="8ICRText"/>
              <w:spacing w:line="360" w:lineRule="auto"/>
              <w:jc w:val="center"/>
              <w:rPr>
                <w:sz w:val="24"/>
              </w:rPr>
            </w:pPr>
          </w:p>
        </w:tc>
        <w:tc>
          <w:tcPr>
            <w:tcW w:w="1701" w:type="dxa"/>
            <w:tcBorders>
              <w:left w:val="nil"/>
              <w:right w:val="nil"/>
            </w:tcBorders>
          </w:tcPr>
          <w:p w:rsidR="000A6F05" w:rsidRPr="00055C3A" w:rsidRDefault="000A6F05" w:rsidP="009A5F48">
            <w:pPr>
              <w:pStyle w:val="8ICRText"/>
              <w:spacing w:line="360" w:lineRule="auto"/>
              <w:rPr>
                <w:sz w:val="24"/>
              </w:rPr>
            </w:pPr>
          </w:p>
        </w:tc>
        <w:tc>
          <w:tcPr>
            <w:tcW w:w="1559" w:type="dxa"/>
            <w:tcBorders>
              <w:left w:val="nil"/>
              <w:right w:val="nil"/>
            </w:tcBorders>
          </w:tcPr>
          <w:p w:rsidR="000A6F05" w:rsidRPr="00055C3A" w:rsidRDefault="000A6F05" w:rsidP="009A5F48">
            <w:pPr>
              <w:pStyle w:val="8ICRText"/>
              <w:spacing w:line="360" w:lineRule="auto"/>
              <w:rPr>
                <w:sz w:val="24"/>
              </w:rPr>
            </w:pPr>
          </w:p>
        </w:tc>
      </w:tr>
      <w:tr w:rsidR="000A6F05" w:rsidRPr="00A02FE5" w:rsidTr="009A5F48">
        <w:tc>
          <w:tcPr>
            <w:tcW w:w="624" w:type="dxa"/>
            <w:vMerge/>
            <w:tcBorders>
              <w:left w:val="nil"/>
              <w:right w:val="nil"/>
            </w:tcBorders>
            <w:shd w:val="clear" w:color="auto" w:fill="auto"/>
          </w:tcPr>
          <w:p w:rsidR="000A6F05" w:rsidRPr="00055C3A" w:rsidRDefault="000A6F05" w:rsidP="009A5F48">
            <w:pPr>
              <w:pStyle w:val="8ICRText"/>
              <w:spacing w:line="360" w:lineRule="auto"/>
              <w:ind w:left="33"/>
              <w:jc w:val="left"/>
              <w:rPr>
                <w:sz w:val="24"/>
              </w:rPr>
            </w:pPr>
          </w:p>
        </w:tc>
        <w:tc>
          <w:tcPr>
            <w:tcW w:w="2778" w:type="dxa"/>
            <w:tcBorders>
              <w:left w:val="nil"/>
              <w:right w:val="nil"/>
            </w:tcBorders>
            <w:shd w:val="clear" w:color="auto" w:fill="auto"/>
          </w:tcPr>
          <w:p w:rsidR="000A6F05" w:rsidRPr="00055C3A" w:rsidRDefault="000A6F05" w:rsidP="000A6F05">
            <w:pPr>
              <w:pStyle w:val="8ICRText"/>
              <w:numPr>
                <w:ilvl w:val="0"/>
                <w:numId w:val="19"/>
              </w:numPr>
              <w:spacing w:line="276" w:lineRule="auto"/>
              <w:rPr>
                <w:i/>
                <w:sz w:val="24"/>
              </w:rPr>
            </w:pPr>
            <w:r w:rsidRPr="00055C3A">
              <w:rPr>
                <w:i/>
                <w:sz w:val="24"/>
              </w:rPr>
              <w:t>Harvesting</w:t>
            </w:r>
          </w:p>
        </w:tc>
        <w:tc>
          <w:tcPr>
            <w:tcW w:w="2552" w:type="dxa"/>
            <w:gridSpan w:val="2"/>
            <w:tcBorders>
              <w:left w:val="nil"/>
              <w:right w:val="nil"/>
            </w:tcBorders>
          </w:tcPr>
          <w:p w:rsidR="000A6F05" w:rsidRPr="00055C3A" w:rsidRDefault="000A6F05" w:rsidP="009A5F48">
            <w:pPr>
              <w:jc w:val="center"/>
              <w:rPr>
                <w:color w:val="000000"/>
              </w:rPr>
            </w:pPr>
            <w:r>
              <w:rPr>
                <w:color w:val="000000"/>
              </w:rPr>
              <w:t>339.3</w:t>
            </w:r>
          </w:p>
        </w:tc>
        <w:tc>
          <w:tcPr>
            <w:tcW w:w="1701" w:type="dxa"/>
            <w:tcBorders>
              <w:left w:val="nil"/>
              <w:right w:val="nil"/>
            </w:tcBorders>
            <w:vAlign w:val="bottom"/>
          </w:tcPr>
          <w:p w:rsidR="000A6F05" w:rsidRPr="00055C3A" w:rsidRDefault="000A6F05" w:rsidP="009A5F48">
            <w:r w:rsidRPr="00055C3A">
              <w:t>NH3/ R22</w:t>
            </w:r>
          </w:p>
        </w:tc>
        <w:tc>
          <w:tcPr>
            <w:tcW w:w="1559" w:type="dxa"/>
            <w:tcBorders>
              <w:left w:val="nil"/>
              <w:right w:val="nil"/>
            </w:tcBorders>
            <w:vAlign w:val="bottom"/>
          </w:tcPr>
          <w:p w:rsidR="000A6F05" w:rsidRPr="00055C3A" w:rsidRDefault="000A6F05" w:rsidP="009A5F48">
            <w:pPr>
              <w:rPr>
                <w:color w:val="000000"/>
              </w:rPr>
            </w:pPr>
            <w:r w:rsidRPr="00055C3A">
              <w:rPr>
                <w:color w:val="000000"/>
              </w:rPr>
              <w:t>5</w:t>
            </w:r>
          </w:p>
        </w:tc>
      </w:tr>
      <w:tr w:rsidR="000A6F05" w:rsidRPr="00A02FE5" w:rsidTr="009A5F48">
        <w:tc>
          <w:tcPr>
            <w:tcW w:w="624" w:type="dxa"/>
            <w:vMerge/>
            <w:tcBorders>
              <w:left w:val="nil"/>
              <w:right w:val="nil"/>
            </w:tcBorders>
            <w:shd w:val="clear" w:color="auto" w:fill="auto"/>
          </w:tcPr>
          <w:p w:rsidR="000A6F05" w:rsidRPr="00055C3A" w:rsidRDefault="000A6F05" w:rsidP="009A5F48">
            <w:pPr>
              <w:pStyle w:val="8ICRText"/>
              <w:spacing w:line="360" w:lineRule="auto"/>
              <w:ind w:left="33"/>
              <w:jc w:val="left"/>
              <w:rPr>
                <w:sz w:val="24"/>
              </w:rPr>
            </w:pPr>
          </w:p>
        </w:tc>
        <w:tc>
          <w:tcPr>
            <w:tcW w:w="2778" w:type="dxa"/>
            <w:tcBorders>
              <w:left w:val="nil"/>
              <w:right w:val="nil"/>
            </w:tcBorders>
            <w:shd w:val="clear" w:color="auto" w:fill="auto"/>
          </w:tcPr>
          <w:p w:rsidR="000A6F05" w:rsidRPr="00055C3A" w:rsidRDefault="000A6F05" w:rsidP="000A6F05">
            <w:pPr>
              <w:pStyle w:val="8ICRText"/>
              <w:numPr>
                <w:ilvl w:val="0"/>
                <w:numId w:val="19"/>
              </w:numPr>
              <w:spacing w:line="276" w:lineRule="auto"/>
              <w:rPr>
                <w:i/>
                <w:sz w:val="24"/>
              </w:rPr>
            </w:pPr>
            <w:r w:rsidRPr="00055C3A">
              <w:rPr>
                <w:i/>
                <w:sz w:val="24"/>
              </w:rPr>
              <w:t>Filleting</w:t>
            </w:r>
          </w:p>
        </w:tc>
        <w:tc>
          <w:tcPr>
            <w:tcW w:w="2552" w:type="dxa"/>
            <w:gridSpan w:val="2"/>
            <w:tcBorders>
              <w:left w:val="nil"/>
              <w:right w:val="nil"/>
            </w:tcBorders>
          </w:tcPr>
          <w:p w:rsidR="000A6F05" w:rsidRPr="00055C3A" w:rsidRDefault="000A6F05" w:rsidP="009A5F48">
            <w:pPr>
              <w:jc w:val="center"/>
              <w:rPr>
                <w:color w:val="000000"/>
              </w:rPr>
            </w:pPr>
            <w:r w:rsidRPr="00055C3A">
              <w:rPr>
                <w:color w:val="000000"/>
              </w:rPr>
              <w:t>-</w:t>
            </w:r>
          </w:p>
        </w:tc>
        <w:tc>
          <w:tcPr>
            <w:tcW w:w="1701" w:type="dxa"/>
            <w:tcBorders>
              <w:left w:val="nil"/>
              <w:right w:val="nil"/>
            </w:tcBorders>
            <w:vAlign w:val="bottom"/>
          </w:tcPr>
          <w:p w:rsidR="000A6F05" w:rsidRPr="00055C3A" w:rsidRDefault="000A6F05" w:rsidP="009A5F48">
            <w:pPr>
              <w:rPr>
                <w:color w:val="000000"/>
              </w:rPr>
            </w:pPr>
            <w:r w:rsidRPr="00055C3A">
              <w:rPr>
                <w:color w:val="000000"/>
              </w:rPr>
              <w:t>NH3</w:t>
            </w:r>
          </w:p>
        </w:tc>
        <w:tc>
          <w:tcPr>
            <w:tcW w:w="1559" w:type="dxa"/>
            <w:tcBorders>
              <w:left w:val="nil"/>
              <w:right w:val="nil"/>
            </w:tcBorders>
            <w:vAlign w:val="bottom"/>
          </w:tcPr>
          <w:p w:rsidR="000A6F05" w:rsidRPr="00055C3A" w:rsidRDefault="000A6F05" w:rsidP="009A5F48">
            <w:pPr>
              <w:rPr>
                <w:color w:val="000000"/>
              </w:rPr>
            </w:pPr>
            <w:r w:rsidRPr="00055C3A">
              <w:rPr>
                <w:color w:val="000000"/>
              </w:rPr>
              <w:t>5</w:t>
            </w:r>
          </w:p>
        </w:tc>
      </w:tr>
      <w:tr w:rsidR="000A6F05" w:rsidRPr="00A02FE5" w:rsidTr="009A5F48">
        <w:tc>
          <w:tcPr>
            <w:tcW w:w="624" w:type="dxa"/>
            <w:vMerge/>
            <w:tcBorders>
              <w:left w:val="nil"/>
              <w:right w:val="nil"/>
            </w:tcBorders>
            <w:shd w:val="clear" w:color="auto" w:fill="auto"/>
          </w:tcPr>
          <w:p w:rsidR="000A6F05" w:rsidRPr="00055C3A" w:rsidRDefault="000A6F05" w:rsidP="009A5F48">
            <w:pPr>
              <w:pStyle w:val="8ICRText"/>
              <w:spacing w:line="360" w:lineRule="auto"/>
              <w:ind w:left="33"/>
              <w:jc w:val="left"/>
              <w:rPr>
                <w:sz w:val="24"/>
              </w:rPr>
            </w:pPr>
          </w:p>
        </w:tc>
        <w:tc>
          <w:tcPr>
            <w:tcW w:w="2778" w:type="dxa"/>
            <w:tcBorders>
              <w:left w:val="nil"/>
              <w:right w:val="nil"/>
            </w:tcBorders>
            <w:shd w:val="clear" w:color="auto" w:fill="auto"/>
          </w:tcPr>
          <w:p w:rsidR="000A6F05" w:rsidRPr="00055C3A" w:rsidRDefault="000A6F05" w:rsidP="000A6F05">
            <w:pPr>
              <w:pStyle w:val="8ICRText"/>
              <w:numPr>
                <w:ilvl w:val="0"/>
                <w:numId w:val="19"/>
              </w:numPr>
              <w:spacing w:line="276" w:lineRule="auto"/>
              <w:rPr>
                <w:i/>
                <w:sz w:val="24"/>
              </w:rPr>
            </w:pPr>
            <w:r w:rsidRPr="00055C3A">
              <w:rPr>
                <w:i/>
                <w:sz w:val="24"/>
              </w:rPr>
              <w:t>Packaging</w:t>
            </w:r>
          </w:p>
        </w:tc>
        <w:tc>
          <w:tcPr>
            <w:tcW w:w="992" w:type="dxa"/>
            <w:tcBorders>
              <w:left w:val="nil"/>
              <w:right w:val="nil"/>
            </w:tcBorders>
          </w:tcPr>
          <w:p w:rsidR="000A6F05" w:rsidRPr="00055C3A" w:rsidRDefault="000A6F05" w:rsidP="009A5F48">
            <w:pPr>
              <w:jc w:val="center"/>
              <w:rPr>
                <w:color w:val="000000"/>
              </w:rPr>
            </w:pPr>
            <w:r w:rsidRPr="00055C3A">
              <w:t>37.6</w:t>
            </w:r>
          </w:p>
        </w:tc>
        <w:tc>
          <w:tcPr>
            <w:tcW w:w="1560" w:type="dxa"/>
            <w:tcBorders>
              <w:left w:val="nil"/>
              <w:right w:val="nil"/>
            </w:tcBorders>
          </w:tcPr>
          <w:p w:rsidR="000A6F05" w:rsidRPr="00055C3A" w:rsidRDefault="000A6F05" w:rsidP="009A5F48">
            <w:pPr>
              <w:jc w:val="center"/>
              <w:rPr>
                <w:color w:val="000000"/>
              </w:rPr>
            </w:pPr>
            <w:r w:rsidRPr="00055C3A">
              <w:t>72.0</w:t>
            </w:r>
          </w:p>
        </w:tc>
        <w:tc>
          <w:tcPr>
            <w:tcW w:w="1701" w:type="dxa"/>
            <w:tcBorders>
              <w:left w:val="nil"/>
              <w:right w:val="nil"/>
            </w:tcBorders>
            <w:vAlign w:val="bottom"/>
          </w:tcPr>
          <w:p w:rsidR="000A6F05" w:rsidRPr="00055C3A" w:rsidRDefault="000A6F05" w:rsidP="009A5F48">
            <w:pPr>
              <w:rPr>
                <w:color w:val="000000"/>
              </w:rPr>
            </w:pPr>
            <w:r w:rsidRPr="00055C3A">
              <w:rPr>
                <w:color w:val="000000"/>
              </w:rPr>
              <w:t>NH3</w:t>
            </w:r>
          </w:p>
        </w:tc>
        <w:tc>
          <w:tcPr>
            <w:tcW w:w="1559" w:type="dxa"/>
            <w:tcBorders>
              <w:left w:val="nil"/>
              <w:right w:val="nil"/>
            </w:tcBorders>
            <w:vAlign w:val="bottom"/>
          </w:tcPr>
          <w:p w:rsidR="000A6F05" w:rsidRPr="00055C3A" w:rsidRDefault="000A6F05" w:rsidP="009A5F48">
            <w:pPr>
              <w:rPr>
                <w:color w:val="000000"/>
              </w:rPr>
            </w:pPr>
            <w:r w:rsidRPr="00055C3A">
              <w:rPr>
                <w:color w:val="000000"/>
              </w:rPr>
              <w:t>5</w:t>
            </w:r>
          </w:p>
        </w:tc>
      </w:tr>
      <w:tr w:rsidR="000A6F05" w:rsidRPr="00A02FE5" w:rsidTr="009A5F48">
        <w:trPr>
          <w:trHeight w:val="552"/>
        </w:trPr>
        <w:tc>
          <w:tcPr>
            <w:tcW w:w="624" w:type="dxa"/>
            <w:vMerge/>
            <w:tcBorders>
              <w:left w:val="nil"/>
              <w:right w:val="nil"/>
            </w:tcBorders>
            <w:shd w:val="clear" w:color="auto" w:fill="auto"/>
          </w:tcPr>
          <w:p w:rsidR="000A6F05" w:rsidRPr="00055C3A" w:rsidRDefault="000A6F05" w:rsidP="009A5F48">
            <w:pPr>
              <w:pStyle w:val="8ICRText"/>
              <w:spacing w:line="360" w:lineRule="auto"/>
              <w:ind w:left="33"/>
              <w:jc w:val="left"/>
              <w:rPr>
                <w:sz w:val="24"/>
              </w:rPr>
            </w:pPr>
          </w:p>
        </w:tc>
        <w:tc>
          <w:tcPr>
            <w:tcW w:w="2778" w:type="dxa"/>
            <w:tcBorders>
              <w:left w:val="nil"/>
              <w:right w:val="nil"/>
            </w:tcBorders>
            <w:shd w:val="clear" w:color="auto" w:fill="auto"/>
          </w:tcPr>
          <w:p w:rsidR="000A6F05" w:rsidRPr="00055C3A" w:rsidRDefault="000A6F05" w:rsidP="000A6F05">
            <w:pPr>
              <w:pStyle w:val="8ICRText"/>
              <w:numPr>
                <w:ilvl w:val="0"/>
                <w:numId w:val="19"/>
              </w:numPr>
              <w:spacing w:line="276" w:lineRule="auto"/>
              <w:rPr>
                <w:i/>
                <w:sz w:val="24"/>
              </w:rPr>
            </w:pPr>
            <w:r w:rsidRPr="00055C3A">
              <w:rPr>
                <w:i/>
                <w:sz w:val="24"/>
              </w:rPr>
              <w:t>Storage</w:t>
            </w:r>
          </w:p>
        </w:tc>
        <w:tc>
          <w:tcPr>
            <w:tcW w:w="992" w:type="dxa"/>
            <w:tcBorders>
              <w:left w:val="nil"/>
              <w:right w:val="nil"/>
            </w:tcBorders>
          </w:tcPr>
          <w:p w:rsidR="000A6F05" w:rsidRPr="00055C3A" w:rsidRDefault="000A6F05" w:rsidP="009A5F48">
            <w:pPr>
              <w:jc w:val="center"/>
              <w:rPr>
                <w:color w:val="000000"/>
              </w:rPr>
            </w:pPr>
            <w:r w:rsidRPr="00055C3A">
              <w:t>1.0</w:t>
            </w:r>
          </w:p>
        </w:tc>
        <w:tc>
          <w:tcPr>
            <w:tcW w:w="1560" w:type="dxa"/>
            <w:tcBorders>
              <w:left w:val="nil"/>
              <w:right w:val="nil"/>
            </w:tcBorders>
          </w:tcPr>
          <w:p w:rsidR="000A6F05" w:rsidRPr="00055C3A" w:rsidRDefault="000A6F05" w:rsidP="009A5F48">
            <w:pPr>
              <w:jc w:val="center"/>
              <w:rPr>
                <w:color w:val="000000"/>
              </w:rPr>
            </w:pPr>
            <w:r w:rsidRPr="00055C3A">
              <w:t>1.2</w:t>
            </w:r>
          </w:p>
        </w:tc>
        <w:tc>
          <w:tcPr>
            <w:tcW w:w="1701" w:type="dxa"/>
            <w:tcBorders>
              <w:left w:val="nil"/>
              <w:right w:val="nil"/>
            </w:tcBorders>
            <w:vAlign w:val="bottom"/>
          </w:tcPr>
          <w:p w:rsidR="000A6F05" w:rsidRPr="00055C3A" w:rsidRDefault="000A6F05" w:rsidP="009A5F48">
            <w:pPr>
              <w:rPr>
                <w:color w:val="000000"/>
              </w:rPr>
            </w:pPr>
            <w:r w:rsidRPr="00055C3A">
              <w:rPr>
                <w:color w:val="000000"/>
              </w:rPr>
              <w:t>NH3</w:t>
            </w:r>
          </w:p>
        </w:tc>
        <w:tc>
          <w:tcPr>
            <w:tcW w:w="1559" w:type="dxa"/>
            <w:tcBorders>
              <w:left w:val="nil"/>
              <w:right w:val="nil"/>
            </w:tcBorders>
            <w:vAlign w:val="bottom"/>
          </w:tcPr>
          <w:p w:rsidR="000A6F05" w:rsidRPr="00055C3A" w:rsidRDefault="000A6F05" w:rsidP="009A5F48">
            <w:pPr>
              <w:rPr>
                <w:color w:val="000000"/>
              </w:rPr>
            </w:pPr>
            <w:r w:rsidRPr="00055C3A">
              <w:rPr>
                <w:color w:val="000000"/>
              </w:rPr>
              <w:t>5</w:t>
            </w:r>
          </w:p>
        </w:tc>
      </w:tr>
      <w:tr w:rsidR="000A6F05" w:rsidRPr="00A02FE5" w:rsidTr="009A5F48">
        <w:trPr>
          <w:trHeight w:val="619"/>
        </w:trPr>
        <w:tc>
          <w:tcPr>
            <w:tcW w:w="624" w:type="dxa"/>
            <w:tcBorders>
              <w:left w:val="nil"/>
              <w:right w:val="nil"/>
            </w:tcBorders>
            <w:shd w:val="clear" w:color="auto" w:fill="auto"/>
          </w:tcPr>
          <w:p w:rsidR="000A6F05" w:rsidRPr="00055C3A" w:rsidRDefault="000A6F05" w:rsidP="009A5F48">
            <w:pPr>
              <w:pStyle w:val="8ICRText"/>
              <w:spacing w:line="276" w:lineRule="auto"/>
              <w:ind w:left="33"/>
              <w:jc w:val="left"/>
              <w:rPr>
                <w:sz w:val="24"/>
              </w:rPr>
            </w:pPr>
            <w:r w:rsidRPr="00055C3A">
              <w:rPr>
                <w:sz w:val="24"/>
              </w:rPr>
              <w:t>2</w:t>
            </w:r>
          </w:p>
        </w:tc>
        <w:tc>
          <w:tcPr>
            <w:tcW w:w="2778" w:type="dxa"/>
            <w:tcBorders>
              <w:left w:val="nil"/>
              <w:right w:val="nil"/>
            </w:tcBorders>
            <w:shd w:val="clear" w:color="auto" w:fill="auto"/>
          </w:tcPr>
          <w:p w:rsidR="000A6F05" w:rsidRPr="00055C3A" w:rsidRDefault="000A6F05" w:rsidP="009A5F48">
            <w:pPr>
              <w:pStyle w:val="8ICRText"/>
              <w:spacing w:line="276" w:lineRule="auto"/>
              <w:rPr>
                <w:sz w:val="24"/>
              </w:rPr>
            </w:pPr>
            <w:r w:rsidRPr="00055C3A">
              <w:rPr>
                <w:sz w:val="24"/>
              </w:rPr>
              <w:t>1</w:t>
            </w:r>
            <w:r w:rsidRPr="00055C3A">
              <w:rPr>
                <w:sz w:val="24"/>
                <w:vertAlign w:val="superscript"/>
              </w:rPr>
              <w:t>st</w:t>
            </w:r>
            <w:r w:rsidRPr="00055C3A">
              <w:rPr>
                <w:sz w:val="24"/>
              </w:rPr>
              <w:t xml:space="preserve"> transport </w:t>
            </w:r>
          </w:p>
        </w:tc>
        <w:tc>
          <w:tcPr>
            <w:tcW w:w="2552" w:type="dxa"/>
            <w:gridSpan w:val="2"/>
            <w:tcBorders>
              <w:left w:val="nil"/>
              <w:right w:val="nil"/>
            </w:tcBorders>
          </w:tcPr>
          <w:p w:rsidR="000A6F05" w:rsidRPr="00055C3A" w:rsidRDefault="000A6F05" w:rsidP="009A5F48">
            <w:pPr>
              <w:jc w:val="center"/>
              <w:rPr>
                <w:color w:val="000000"/>
              </w:rPr>
            </w:pPr>
            <w:r w:rsidRPr="00055C3A">
              <w:t>use diesel</w:t>
            </w:r>
          </w:p>
        </w:tc>
        <w:tc>
          <w:tcPr>
            <w:tcW w:w="1701" w:type="dxa"/>
            <w:tcBorders>
              <w:left w:val="nil"/>
              <w:right w:val="nil"/>
            </w:tcBorders>
            <w:vAlign w:val="bottom"/>
          </w:tcPr>
          <w:p w:rsidR="000A6F05" w:rsidRPr="00055C3A" w:rsidRDefault="000A6F05" w:rsidP="009A5F48">
            <w:pPr>
              <w:rPr>
                <w:color w:val="000000"/>
              </w:rPr>
            </w:pPr>
            <w:r w:rsidRPr="00055C3A">
              <w:rPr>
                <w:color w:val="000000"/>
              </w:rPr>
              <w:t>R134a/R404a</w:t>
            </w:r>
          </w:p>
        </w:tc>
        <w:tc>
          <w:tcPr>
            <w:tcW w:w="1559" w:type="dxa"/>
            <w:tcBorders>
              <w:left w:val="nil"/>
              <w:right w:val="nil"/>
            </w:tcBorders>
            <w:vAlign w:val="bottom"/>
          </w:tcPr>
          <w:p w:rsidR="000A6F05" w:rsidRPr="00055C3A" w:rsidRDefault="000A6F05" w:rsidP="009A5F48">
            <w:pPr>
              <w:rPr>
                <w:color w:val="000000"/>
              </w:rPr>
            </w:pPr>
            <w:r w:rsidRPr="00055C3A">
              <w:rPr>
                <w:color w:val="000000"/>
              </w:rPr>
              <w:t>10</w:t>
            </w:r>
          </w:p>
        </w:tc>
      </w:tr>
      <w:tr w:rsidR="000A6F05" w:rsidRPr="00A02FE5" w:rsidTr="009A5F48">
        <w:tc>
          <w:tcPr>
            <w:tcW w:w="624" w:type="dxa"/>
            <w:tcBorders>
              <w:left w:val="nil"/>
              <w:right w:val="nil"/>
            </w:tcBorders>
            <w:shd w:val="clear" w:color="auto" w:fill="auto"/>
          </w:tcPr>
          <w:p w:rsidR="000A6F05" w:rsidRPr="00055C3A" w:rsidRDefault="000A6F05" w:rsidP="009A5F48">
            <w:pPr>
              <w:pStyle w:val="8ICRText"/>
              <w:spacing w:line="360" w:lineRule="auto"/>
              <w:ind w:left="33"/>
              <w:jc w:val="left"/>
              <w:rPr>
                <w:sz w:val="24"/>
              </w:rPr>
            </w:pPr>
            <w:r w:rsidRPr="00055C3A">
              <w:rPr>
                <w:sz w:val="24"/>
              </w:rPr>
              <w:t>3</w:t>
            </w:r>
          </w:p>
        </w:tc>
        <w:tc>
          <w:tcPr>
            <w:tcW w:w="2778" w:type="dxa"/>
            <w:tcBorders>
              <w:left w:val="nil"/>
              <w:right w:val="nil"/>
            </w:tcBorders>
            <w:shd w:val="clear" w:color="auto" w:fill="auto"/>
          </w:tcPr>
          <w:p w:rsidR="000A6F05" w:rsidRPr="00055C3A" w:rsidRDefault="000A6F05" w:rsidP="009A5F48">
            <w:pPr>
              <w:pStyle w:val="8ICRText"/>
              <w:spacing w:line="360" w:lineRule="auto"/>
              <w:rPr>
                <w:sz w:val="24"/>
              </w:rPr>
            </w:pPr>
            <w:r w:rsidRPr="00055C3A">
              <w:rPr>
                <w:sz w:val="24"/>
              </w:rPr>
              <w:t>Distribution centre storage</w:t>
            </w:r>
          </w:p>
        </w:tc>
        <w:tc>
          <w:tcPr>
            <w:tcW w:w="992" w:type="dxa"/>
            <w:tcBorders>
              <w:left w:val="nil"/>
              <w:right w:val="nil"/>
            </w:tcBorders>
          </w:tcPr>
          <w:p w:rsidR="000A6F05" w:rsidRPr="00055C3A" w:rsidRDefault="000A6F05" w:rsidP="009A5F48">
            <w:pPr>
              <w:spacing w:line="360" w:lineRule="auto"/>
              <w:jc w:val="center"/>
              <w:rPr>
                <w:color w:val="000000"/>
              </w:rPr>
            </w:pPr>
            <w:r w:rsidRPr="00055C3A">
              <w:t>0.5</w:t>
            </w:r>
          </w:p>
        </w:tc>
        <w:tc>
          <w:tcPr>
            <w:tcW w:w="1560" w:type="dxa"/>
            <w:tcBorders>
              <w:left w:val="nil"/>
              <w:right w:val="nil"/>
            </w:tcBorders>
          </w:tcPr>
          <w:p w:rsidR="000A6F05" w:rsidRPr="00055C3A" w:rsidRDefault="000A6F05" w:rsidP="009A5F48">
            <w:pPr>
              <w:spacing w:line="360" w:lineRule="auto"/>
              <w:jc w:val="center"/>
              <w:rPr>
                <w:color w:val="000000"/>
              </w:rPr>
            </w:pPr>
            <w:r w:rsidRPr="00055C3A">
              <w:rPr>
                <w:color w:val="000000"/>
              </w:rPr>
              <w:t>0.6</w:t>
            </w:r>
          </w:p>
        </w:tc>
        <w:tc>
          <w:tcPr>
            <w:tcW w:w="1701" w:type="dxa"/>
            <w:tcBorders>
              <w:left w:val="nil"/>
              <w:right w:val="nil"/>
            </w:tcBorders>
            <w:vAlign w:val="bottom"/>
          </w:tcPr>
          <w:p w:rsidR="000A6F05" w:rsidRPr="00055C3A" w:rsidRDefault="000A6F05" w:rsidP="009A5F48">
            <w:pPr>
              <w:spacing w:line="360" w:lineRule="auto"/>
              <w:rPr>
                <w:color w:val="000000"/>
              </w:rPr>
            </w:pPr>
            <w:r w:rsidRPr="00055C3A">
              <w:rPr>
                <w:color w:val="000000"/>
              </w:rPr>
              <w:t>NH3</w:t>
            </w:r>
          </w:p>
        </w:tc>
        <w:tc>
          <w:tcPr>
            <w:tcW w:w="1559" w:type="dxa"/>
            <w:tcBorders>
              <w:left w:val="nil"/>
              <w:right w:val="nil"/>
            </w:tcBorders>
            <w:vAlign w:val="bottom"/>
          </w:tcPr>
          <w:p w:rsidR="000A6F05" w:rsidRPr="00055C3A" w:rsidRDefault="000A6F05" w:rsidP="009A5F48">
            <w:pPr>
              <w:spacing w:line="360" w:lineRule="auto"/>
              <w:rPr>
                <w:color w:val="000000"/>
              </w:rPr>
            </w:pPr>
            <w:r w:rsidRPr="00055C3A">
              <w:rPr>
                <w:color w:val="000000"/>
              </w:rPr>
              <w:t>5</w:t>
            </w:r>
          </w:p>
        </w:tc>
      </w:tr>
      <w:tr w:rsidR="000A6F05" w:rsidRPr="00A02FE5" w:rsidTr="009A5F48">
        <w:trPr>
          <w:trHeight w:val="697"/>
        </w:trPr>
        <w:tc>
          <w:tcPr>
            <w:tcW w:w="624" w:type="dxa"/>
            <w:tcBorders>
              <w:left w:val="nil"/>
              <w:right w:val="nil"/>
            </w:tcBorders>
            <w:shd w:val="clear" w:color="auto" w:fill="auto"/>
          </w:tcPr>
          <w:p w:rsidR="000A6F05" w:rsidRPr="00055C3A" w:rsidRDefault="000A6F05" w:rsidP="009A5F48">
            <w:pPr>
              <w:pStyle w:val="8ICRText"/>
              <w:spacing w:line="360" w:lineRule="auto"/>
              <w:ind w:left="33"/>
              <w:jc w:val="left"/>
              <w:rPr>
                <w:sz w:val="24"/>
              </w:rPr>
            </w:pPr>
            <w:r w:rsidRPr="00055C3A">
              <w:rPr>
                <w:sz w:val="24"/>
              </w:rPr>
              <w:t>4</w:t>
            </w:r>
          </w:p>
        </w:tc>
        <w:tc>
          <w:tcPr>
            <w:tcW w:w="2778" w:type="dxa"/>
            <w:tcBorders>
              <w:left w:val="nil"/>
              <w:right w:val="nil"/>
            </w:tcBorders>
            <w:shd w:val="clear" w:color="auto" w:fill="auto"/>
          </w:tcPr>
          <w:p w:rsidR="000A6F05" w:rsidRPr="00055C3A" w:rsidRDefault="000A6F05" w:rsidP="009A5F48">
            <w:pPr>
              <w:pStyle w:val="8ICRText"/>
              <w:spacing w:line="360" w:lineRule="auto"/>
              <w:rPr>
                <w:sz w:val="24"/>
              </w:rPr>
            </w:pPr>
            <w:r w:rsidRPr="00055C3A">
              <w:rPr>
                <w:sz w:val="24"/>
              </w:rPr>
              <w:t>2</w:t>
            </w:r>
            <w:r w:rsidRPr="00055C3A">
              <w:rPr>
                <w:sz w:val="24"/>
                <w:vertAlign w:val="superscript"/>
              </w:rPr>
              <w:t>nd</w:t>
            </w:r>
            <w:r w:rsidRPr="00055C3A">
              <w:rPr>
                <w:sz w:val="24"/>
              </w:rPr>
              <w:t xml:space="preserve"> transport </w:t>
            </w:r>
          </w:p>
        </w:tc>
        <w:tc>
          <w:tcPr>
            <w:tcW w:w="2552" w:type="dxa"/>
            <w:gridSpan w:val="2"/>
            <w:tcBorders>
              <w:left w:val="nil"/>
              <w:right w:val="nil"/>
            </w:tcBorders>
          </w:tcPr>
          <w:p w:rsidR="000A6F05" w:rsidRPr="00055C3A" w:rsidRDefault="000A6F05" w:rsidP="009A5F48">
            <w:pPr>
              <w:spacing w:line="360" w:lineRule="auto"/>
              <w:jc w:val="center"/>
              <w:rPr>
                <w:color w:val="000000"/>
              </w:rPr>
            </w:pPr>
            <w:r w:rsidRPr="00055C3A">
              <w:t>use diesel</w:t>
            </w:r>
          </w:p>
        </w:tc>
        <w:tc>
          <w:tcPr>
            <w:tcW w:w="1701" w:type="dxa"/>
            <w:tcBorders>
              <w:left w:val="nil"/>
              <w:right w:val="nil"/>
            </w:tcBorders>
            <w:vAlign w:val="bottom"/>
          </w:tcPr>
          <w:p w:rsidR="000A6F05" w:rsidRPr="00055C3A" w:rsidRDefault="000A6F05" w:rsidP="009A5F48">
            <w:pPr>
              <w:spacing w:line="360" w:lineRule="auto"/>
              <w:rPr>
                <w:color w:val="000000"/>
              </w:rPr>
            </w:pPr>
            <w:r w:rsidRPr="00055C3A">
              <w:rPr>
                <w:color w:val="000000"/>
              </w:rPr>
              <w:t>R134a/ R404a</w:t>
            </w:r>
          </w:p>
        </w:tc>
        <w:tc>
          <w:tcPr>
            <w:tcW w:w="1559" w:type="dxa"/>
            <w:tcBorders>
              <w:left w:val="nil"/>
              <w:right w:val="nil"/>
            </w:tcBorders>
            <w:vAlign w:val="bottom"/>
          </w:tcPr>
          <w:p w:rsidR="000A6F05" w:rsidRPr="00055C3A" w:rsidRDefault="000A6F05" w:rsidP="009A5F48">
            <w:pPr>
              <w:spacing w:line="360" w:lineRule="auto"/>
              <w:rPr>
                <w:color w:val="000000"/>
              </w:rPr>
            </w:pPr>
            <w:r w:rsidRPr="00055C3A">
              <w:rPr>
                <w:color w:val="000000"/>
              </w:rPr>
              <w:t>10</w:t>
            </w:r>
          </w:p>
        </w:tc>
      </w:tr>
      <w:tr w:rsidR="000A6F05" w:rsidRPr="00A02FE5" w:rsidTr="009A5F48">
        <w:tc>
          <w:tcPr>
            <w:tcW w:w="624" w:type="dxa"/>
            <w:tcBorders>
              <w:left w:val="nil"/>
              <w:right w:val="nil"/>
            </w:tcBorders>
            <w:shd w:val="clear" w:color="auto" w:fill="auto"/>
          </w:tcPr>
          <w:p w:rsidR="000A6F05" w:rsidRPr="00055C3A" w:rsidRDefault="000A6F05" w:rsidP="009A5F48">
            <w:pPr>
              <w:pStyle w:val="8ICRText"/>
              <w:spacing w:line="360" w:lineRule="auto"/>
              <w:ind w:left="33"/>
              <w:jc w:val="left"/>
              <w:rPr>
                <w:sz w:val="24"/>
              </w:rPr>
            </w:pPr>
            <w:r w:rsidRPr="00055C3A">
              <w:rPr>
                <w:sz w:val="24"/>
              </w:rPr>
              <w:t>5</w:t>
            </w:r>
          </w:p>
        </w:tc>
        <w:tc>
          <w:tcPr>
            <w:tcW w:w="2778" w:type="dxa"/>
            <w:tcBorders>
              <w:left w:val="nil"/>
              <w:right w:val="nil"/>
            </w:tcBorders>
            <w:shd w:val="clear" w:color="auto" w:fill="auto"/>
          </w:tcPr>
          <w:p w:rsidR="000A6F05" w:rsidRPr="00055C3A" w:rsidRDefault="000A6F05" w:rsidP="009A5F48">
            <w:pPr>
              <w:pStyle w:val="8ICRText"/>
              <w:spacing w:line="360" w:lineRule="auto"/>
              <w:rPr>
                <w:sz w:val="24"/>
              </w:rPr>
            </w:pPr>
            <w:r w:rsidRPr="00055C3A">
              <w:rPr>
                <w:sz w:val="24"/>
              </w:rPr>
              <w:t>Display cabinet</w:t>
            </w:r>
          </w:p>
        </w:tc>
        <w:tc>
          <w:tcPr>
            <w:tcW w:w="2552" w:type="dxa"/>
            <w:gridSpan w:val="2"/>
            <w:tcBorders>
              <w:left w:val="nil"/>
              <w:right w:val="nil"/>
            </w:tcBorders>
          </w:tcPr>
          <w:p w:rsidR="000A6F05" w:rsidRPr="00055C3A" w:rsidRDefault="000A6F05" w:rsidP="009A5F48">
            <w:pPr>
              <w:spacing w:line="360" w:lineRule="auto"/>
              <w:jc w:val="center"/>
              <w:rPr>
                <w:color w:val="000000"/>
              </w:rPr>
            </w:pPr>
            <w:r w:rsidRPr="00055C3A">
              <w:t>921.6</w:t>
            </w:r>
          </w:p>
        </w:tc>
        <w:tc>
          <w:tcPr>
            <w:tcW w:w="1701" w:type="dxa"/>
            <w:tcBorders>
              <w:left w:val="nil"/>
              <w:right w:val="nil"/>
            </w:tcBorders>
            <w:vAlign w:val="bottom"/>
          </w:tcPr>
          <w:p w:rsidR="000A6F05" w:rsidRPr="00055C3A" w:rsidRDefault="000A6F05" w:rsidP="009A5F48">
            <w:pPr>
              <w:spacing w:line="360" w:lineRule="auto"/>
              <w:rPr>
                <w:color w:val="000000"/>
              </w:rPr>
            </w:pPr>
            <w:r w:rsidRPr="00055C3A">
              <w:rPr>
                <w:color w:val="000000"/>
              </w:rPr>
              <w:t>R404a/ R507</w:t>
            </w:r>
          </w:p>
        </w:tc>
        <w:tc>
          <w:tcPr>
            <w:tcW w:w="1559" w:type="dxa"/>
            <w:tcBorders>
              <w:left w:val="nil"/>
              <w:right w:val="nil"/>
            </w:tcBorders>
            <w:vAlign w:val="bottom"/>
          </w:tcPr>
          <w:p w:rsidR="000A6F05" w:rsidRPr="00055C3A" w:rsidRDefault="000A6F05" w:rsidP="009A5F48">
            <w:pPr>
              <w:spacing w:line="360" w:lineRule="auto"/>
              <w:rPr>
                <w:color w:val="000000"/>
              </w:rPr>
            </w:pPr>
            <w:r w:rsidRPr="00055C3A">
              <w:rPr>
                <w:color w:val="000000"/>
              </w:rPr>
              <w:t>12</w:t>
            </w:r>
          </w:p>
        </w:tc>
      </w:tr>
      <w:tr w:rsidR="000A6F05" w:rsidRPr="00A02FE5" w:rsidTr="009A5F48">
        <w:tc>
          <w:tcPr>
            <w:tcW w:w="624" w:type="dxa"/>
            <w:tcBorders>
              <w:left w:val="nil"/>
              <w:right w:val="nil"/>
            </w:tcBorders>
            <w:shd w:val="clear" w:color="auto" w:fill="auto"/>
          </w:tcPr>
          <w:p w:rsidR="000A6F05" w:rsidRPr="00055C3A" w:rsidRDefault="000A6F05" w:rsidP="009A5F48">
            <w:pPr>
              <w:pStyle w:val="8ICRText"/>
              <w:spacing w:line="360" w:lineRule="auto"/>
              <w:ind w:left="33"/>
              <w:jc w:val="left"/>
              <w:rPr>
                <w:sz w:val="24"/>
              </w:rPr>
            </w:pPr>
            <w:r w:rsidRPr="00055C3A">
              <w:rPr>
                <w:sz w:val="24"/>
              </w:rPr>
              <w:t>7</w:t>
            </w:r>
          </w:p>
        </w:tc>
        <w:tc>
          <w:tcPr>
            <w:tcW w:w="2778" w:type="dxa"/>
            <w:tcBorders>
              <w:left w:val="nil"/>
              <w:right w:val="nil"/>
            </w:tcBorders>
            <w:shd w:val="clear" w:color="auto" w:fill="auto"/>
          </w:tcPr>
          <w:p w:rsidR="000A6F05" w:rsidRPr="00055C3A" w:rsidRDefault="000A6F05" w:rsidP="009A5F48">
            <w:pPr>
              <w:pStyle w:val="8ICRText"/>
              <w:spacing w:line="360" w:lineRule="auto"/>
              <w:rPr>
                <w:sz w:val="24"/>
              </w:rPr>
            </w:pPr>
            <w:r w:rsidRPr="00055C3A">
              <w:rPr>
                <w:sz w:val="24"/>
              </w:rPr>
              <w:t>Domestic fridge</w:t>
            </w:r>
          </w:p>
        </w:tc>
        <w:tc>
          <w:tcPr>
            <w:tcW w:w="2552" w:type="dxa"/>
            <w:gridSpan w:val="2"/>
            <w:tcBorders>
              <w:left w:val="nil"/>
              <w:right w:val="nil"/>
            </w:tcBorders>
          </w:tcPr>
          <w:p w:rsidR="000A6F05" w:rsidRPr="00055C3A" w:rsidRDefault="000A6F05" w:rsidP="009A5F48">
            <w:pPr>
              <w:spacing w:line="360" w:lineRule="auto"/>
              <w:jc w:val="center"/>
              <w:rPr>
                <w:color w:val="000000"/>
              </w:rPr>
            </w:pPr>
            <w:r w:rsidRPr="00055C3A">
              <w:t>64.8</w:t>
            </w:r>
          </w:p>
        </w:tc>
        <w:tc>
          <w:tcPr>
            <w:tcW w:w="1701" w:type="dxa"/>
            <w:tcBorders>
              <w:left w:val="nil"/>
              <w:right w:val="nil"/>
            </w:tcBorders>
            <w:vAlign w:val="bottom"/>
          </w:tcPr>
          <w:p w:rsidR="000A6F05" w:rsidRPr="00055C3A" w:rsidRDefault="000A6F05" w:rsidP="009A5F48">
            <w:pPr>
              <w:spacing w:line="360" w:lineRule="auto"/>
              <w:rPr>
                <w:color w:val="000000"/>
              </w:rPr>
            </w:pPr>
            <w:r w:rsidRPr="00055C3A">
              <w:rPr>
                <w:color w:val="000000"/>
              </w:rPr>
              <w:t>R600a</w:t>
            </w:r>
          </w:p>
        </w:tc>
        <w:tc>
          <w:tcPr>
            <w:tcW w:w="1559" w:type="dxa"/>
            <w:tcBorders>
              <w:left w:val="nil"/>
              <w:right w:val="nil"/>
            </w:tcBorders>
            <w:vAlign w:val="bottom"/>
          </w:tcPr>
          <w:p w:rsidR="000A6F05" w:rsidRPr="00055C3A" w:rsidRDefault="000A6F05" w:rsidP="009A5F48">
            <w:pPr>
              <w:spacing w:line="360" w:lineRule="auto"/>
              <w:rPr>
                <w:color w:val="000000"/>
              </w:rPr>
            </w:pPr>
            <w:r w:rsidRPr="00055C3A">
              <w:rPr>
                <w:color w:val="000000"/>
              </w:rPr>
              <w:t>2.5</w:t>
            </w:r>
          </w:p>
        </w:tc>
      </w:tr>
    </w:tbl>
    <w:p w:rsidR="000A6F05" w:rsidRDefault="000A6F05" w:rsidP="000A6F05">
      <w:pPr>
        <w:rPr>
          <w:lang w:val="en-US"/>
        </w:rPr>
      </w:pPr>
    </w:p>
    <w:p w:rsidR="000A6F05" w:rsidRDefault="000A6F05" w:rsidP="000A6F05">
      <w:pPr>
        <w:rPr>
          <w:lang w:val="en-US"/>
        </w:rPr>
      </w:pPr>
      <w:r>
        <w:rPr>
          <w:lang w:val="en-US"/>
        </w:rPr>
        <w:br w:type="page"/>
      </w:r>
    </w:p>
    <w:p w:rsidR="000A6F05" w:rsidRPr="00B065C0" w:rsidRDefault="000A6F05" w:rsidP="000A6F05">
      <w:pPr>
        <w:pStyle w:val="Caption"/>
        <w:rPr>
          <w:b w:val="0"/>
          <w:sz w:val="24"/>
          <w:szCs w:val="24"/>
          <w:lang w:val="en-US"/>
        </w:rPr>
      </w:pPr>
      <w:r w:rsidRPr="00B065C0">
        <w:rPr>
          <w:b w:val="0"/>
          <w:sz w:val="24"/>
          <w:szCs w:val="24"/>
          <w:lang w:val="en-US"/>
        </w:rPr>
        <w:lastRenderedPageBreak/>
        <w:t xml:space="preserve">Table </w:t>
      </w:r>
      <w:bookmarkEnd w:id="27"/>
      <w:r>
        <w:rPr>
          <w:b w:val="0"/>
          <w:sz w:val="24"/>
          <w:szCs w:val="24"/>
          <w:lang w:val="en-US"/>
        </w:rPr>
        <w:t>4</w:t>
      </w:r>
      <w:r w:rsidRPr="00B065C0">
        <w:rPr>
          <w:b w:val="0"/>
          <w:sz w:val="24"/>
          <w:szCs w:val="24"/>
          <w:lang w:val="en-US"/>
        </w:rPr>
        <w:t>: Environmental impact of chilled and superchilled salmon cold chain</w:t>
      </w:r>
    </w:p>
    <w:p w:rsidR="000A6F05" w:rsidRPr="00B065C0" w:rsidRDefault="000A6F05" w:rsidP="000A6F05">
      <w:pPr>
        <w:pStyle w:val="8ICRText"/>
        <w:rPr>
          <w:sz w:val="24"/>
        </w:rPr>
      </w:pPr>
    </w:p>
    <w:tbl>
      <w:tblPr>
        <w:tblW w:w="9375" w:type="dxa"/>
        <w:tblInd w:w="55"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255"/>
        <w:gridCol w:w="1620"/>
        <w:gridCol w:w="1440"/>
        <w:gridCol w:w="1440"/>
        <w:gridCol w:w="1620"/>
      </w:tblGrid>
      <w:tr w:rsidR="000A6F05" w:rsidRPr="00B065C0" w:rsidTr="009A5F48">
        <w:trPr>
          <w:trHeight w:val="255"/>
        </w:trPr>
        <w:tc>
          <w:tcPr>
            <w:tcW w:w="3255" w:type="dxa"/>
            <w:shd w:val="clear" w:color="auto" w:fill="auto"/>
            <w:noWrap/>
            <w:vAlign w:val="center"/>
          </w:tcPr>
          <w:p w:rsidR="000A6F05" w:rsidRPr="00B065C0" w:rsidRDefault="000A6F05" w:rsidP="009A5F48">
            <w:pPr>
              <w:rPr>
                <w:color w:val="000000"/>
                <w:lang w:eastAsia="ja-JP"/>
              </w:rPr>
            </w:pPr>
            <w:r w:rsidRPr="00B065C0">
              <w:rPr>
                <w:color w:val="000000"/>
                <w:lang w:eastAsia="ja-JP"/>
              </w:rPr>
              <w:t>Impact category</w:t>
            </w:r>
          </w:p>
        </w:tc>
        <w:tc>
          <w:tcPr>
            <w:tcW w:w="1620" w:type="dxa"/>
            <w:shd w:val="clear" w:color="auto" w:fill="auto"/>
            <w:noWrap/>
            <w:vAlign w:val="center"/>
          </w:tcPr>
          <w:p w:rsidR="000A6F05" w:rsidRPr="00B065C0" w:rsidRDefault="000A6F05" w:rsidP="009A5F48">
            <w:pPr>
              <w:rPr>
                <w:color w:val="000000"/>
                <w:lang w:eastAsia="ja-JP"/>
              </w:rPr>
            </w:pPr>
            <w:r w:rsidRPr="00B065C0">
              <w:rPr>
                <w:color w:val="000000"/>
                <w:lang w:eastAsia="ja-JP"/>
              </w:rPr>
              <w:t>Unit</w:t>
            </w:r>
          </w:p>
        </w:tc>
        <w:tc>
          <w:tcPr>
            <w:tcW w:w="1440" w:type="dxa"/>
            <w:shd w:val="clear" w:color="auto" w:fill="auto"/>
            <w:noWrap/>
            <w:vAlign w:val="center"/>
          </w:tcPr>
          <w:p w:rsidR="000A6F05" w:rsidRPr="00B065C0" w:rsidRDefault="000A6F05" w:rsidP="009A5F48">
            <w:pPr>
              <w:jc w:val="center"/>
              <w:rPr>
                <w:color w:val="000000"/>
                <w:lang w:eastAsia="ja-JP"/>
              </w:rPr>
            </w:pPr>
            <w:r w:rsidRPr="00B065C0">
              <w:rPr>
                <w:color w:val="000000"/>
                <w:lang w:eastAsia="ja-JP"/>
              </w:rPr>
              <w:t>Chilled salmon</w:t>
            </w:r>
          </w:p>
        </w:tc>
        <w:tc>
          <w:tcPr>
            <w:tcW w:w="1440" w:type="dxa"/>
            <w:shd w:val="clear" w:color="auto" w:fill="auto"/>
            <w:noWrap/>
            <w:vAlign w:val="center"/>
          </w:tcPr>
          <w:p w:rsidR="000A6F05" w:rsidRPr="00B065C0" w:rsidRDefault="000A6F05" w:rsidP="009A5F48">
            <w:pPr>
              <w:jc w:val="center"/>
              <w:rPr>
                <w:color w:val="000000"/>
                <w:lang w:eastAsia="ja-JP"/>
              </w:rPr>
            </w:pPr>
            <w:r w:rsidRPr="00B065C0">
              <w:rPr>
                <w:color w:val="000000"/>
                <w:lang w:eastAsia="ja-JP"/>
              </w:rPr>
              <w:t>Superchilled salmon</w:t>
            </w:r>
          </w:p>
        </w:tc>
        <w:tc>
          <w:tcPr>
            <w:tcW w:w="1620" w:type="dxa"/>
            <w:shd w:val="clear" w:color="auto" w:fill="auto"/>
            <w:noWrap/>
            <w:vAlign w:val="center"/>
          </w:tcPr>
          <w:p w:rsidR="000A6F05" w:rsidRPr="00B065C0" w:rsidRDefault="000A6F05" w:rsidP="009A5F48">
            <w:pPr>
              <w:jc w:val="center"/>
              <w:rPr>
                <w:color w:val="000000"/>
                <w:lang w:eastAsia="ja-JP"/>
              </w:rPr>
            </w:pPr>
            <w:r w:rsidRPr="00B065C0">
              <w:rPr>
                <w:color w:val="000000"/>
                <w:lang w:eastAsia="ja-JP"/>
              </w:rPr>
              <w:t>Superchilled vs Chilled (%)</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abiotic depletion</w:t>
            </w:r>
          </w:p>
        </w:tc>
        <w:tc>
          <w:tcPr>
            <w:tcW w:w="1620" w:type="dxa"/>
            <w:shd w:val="clear" w:color="auto" w:fill="auto"/>
            <w:noWrap/>
            <w:vAlign w:val="bottom"/>
          </w:tcPr>
          <w:p w:rsidR="000A6F05" w:rsidRPr="00B065C0" w:rsidRDefault="000A6F05" w:rsidP="009A5F48">
            <w:pPr>
              <w:rPr>
                <w:color w:val="000000"/>
              </w:rPr>
            </w:pPr>
            <w:r w:rsidRPr="00B065C0">
              <w:rPr>
                <w:color w:val="000000"/>
              </w:rPr>
              <w:t>kg Sb eq</w:t>
            </w:r>
          </w:p>
        </w:tc>
        <w:tc>
          <w:tcPr>
            <w:tcW w:w="1440" w:type="dxa"/>
            <w:shd w:val="clear" w:color="auto" w:fill="auto"/>
            <w:noWrap/>
            <w:vAlign w:val="bottom"/>
          </w:tcPr>
          <w:p w:rsidR="000A6F05" w:rsidRPr="00B065C0" w:rsidRDefault="000A6F05" w:rsidP="009A5F48">
            <w:pPr>
              <w:jc w:val="right"/>
            </w:pPr>
            <w:r w:rsidRPr="00B065C0">
              <w:t>2.69E-03</w:t>
            </w:r>
          </w:p>
        </w:tc>
        <w:tc>
          <w:tcPr>
            <w:tcW w:w="1440" w:type="dxa"/>
            <w:shd w:val="clear" w:color="auto" w:fill="auto"/>
            <w:noWrap/>
            <w:vAlign w:val="bottom"/>
          </w:tcPr>
          <w:p w:rsidR="000A6F05" w:rsidRPr="00B065C0" w:rsidRDefault="000A6F05" w:rsidP="009A5F48">
            <w:pPr>
              <w:jc w:val="right"/>
            </w:pPr>
            <w:r w:rsidRPr="00B065C0">
              <w:t>2.17E-03</w:t>
            </w:r>
          </w:p>
        </w:tc>
        <w:tc>
          <w:tcPr>
            <w:tcW w:w="1620" w:type="dxa"/>
            <w:shd w:val="clear" w:color="auto" w:fill="auto"/>
            <w:noWrap/>
            <w:vAlign w:val="bottom"/>
          </w:tcPr>
          <w:p w:rsidR="000A6F05" w:rsidRPr="00B065C0" w:rsidRDefault="000A6F05" w:rsidP="009A5F48">
            <w:pPr>
              <w:jc w:val="right"/>
            </w:pPr>
            <w:r w:rsidRPr="00B065C0">
              <w:t>-19.3</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global warming (GWP100)</w:t>
            </w:r>
          </w:p>
        </w:tc>
        <w:tc>
          <w:tcPr>
            <w:tcW w:w="1620" w:type="dxa"/>
            <w:shd w:val="clear" w:color="auto" w:fill="auto"/>
            <w:noWrap/>
            <w:vAlign w:val="bottom"/>
          </w:tcPr>
          <w:p w:rsidR="000A6F05" w:rsidRPr="00B065C0" w:rsidRDefault="000A6F05" w:rsidP="009A5F48">
            <w:pPr>
              <w:rPr>
                <w:color w:val="000000"/>
              </w:rPr>
            </w:pPr>
            <w:r w:rsidRPr="00B065C0">
              <w:rPr>
                <w:color w:val="000000"/>
              </w:rPr>
              <w:t>kg CO2 eq</w:t>
            </w:r>
          </w:p>
        </w:tc>
        <w:tc>
          <w:tcPr>
            <w:tcW w:w="1440" w:type="dxa"/>
            <w:shd w:val="clear" w:color="auto" w:fill="auto"/>
            <w:noWrap/>
            <w:vAlign w:val="bottom"/>
          </w:tcPr>
          <w:p w:rsidR="000A6F05" w:rsidRPr="00B065C0" w:rsidRDefault="000A6F05" w:rsidP="009A5F48">
            <w:pPr>
              <w:jc w:val="right"/>
            </w:pPr>
            <w:r w:rsidRPr="00B065C0">
              <w:t>2.80E-01</w:t>
            </w:r>
          </w:p>
        </w:tc>
        <w:tc>
          <w:tcPr>
            <w:tcW w:w="1440" w:type="dxa"/>
            <w:shd w:val="clear" w:color="auto" w:fill="auto"/>
            <w:noWrap/>
            <w:vAlign w:val="bottom"/>
          </w:tcPr>
          <w:p w:rsidR="000A6F05" w:rsidRPr="00B065C0" w:rsidRDefault="000A6F05" w:rsidP="009A5F48">
            <w:pPr>
              <w:jc w:val="right"/>
            </w:pPr>
            <w:r w:rsidRPr="00B065C0">
              <w:t>2.27E-01</w:t>
            </w:r>
          </w:p>
        </w:tc>
        <w:tc>
          <w:tcPr>
            <w:tcW w:w="1620" w:type="dxa"/>
            <w:shd w:val="clear" w:color="auto" w:fill="auto"/>
            <w:noWrap/>
            <w:vAlign w:val="bottom"/>
          </w:tcPr>
          <w:p w:rsidR="000A6F05" w:rsidRPr="00B065C0" w:rsidRDefault="000A6F05" w:rsidP="009A5F48">
            <w:pPr>
              <w:jc w:val="right"/>
            </w:pPr>
            <w:r w:rsidRPr="00B065C0">
              <w:t>-19.0</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ozone layer depletion (ODP)</w:t>
            </w:r>
          </w:p>
        </w:tc>
        <w:tc>
          <w:tcPr>
            <w:tcW w:w="1620" w:type="dxa"/>
            <w:shd w:val="clear" w:color="auto" w:fill="auto"/>
            <w:noWrap/>
            <w:vAlign w:val="bottom"/>
          </w:tcPr>
          <w:p w:rsidR="000A6F05" w:rsidRPr="00B065C0" w:rsidRDefault="000A6F05" w:rsidP="009A5F48">
            <w:pPr>
              <w:rPr>
                <w:color w:val="000000"/>
              </w:rPr>
            </w:pPr>
            <w:r w:rsidRPr="00B065C0">
              <w:rPr>
                <w:color w:val="000000"/>
              </w:rPr>
              <w:t>kg CFC-11 eq</w:t>
            </w:r>
          </w:p>
        </w:tc>
        <w:tc>
          <w:tcPr>
            <w:tcW w:w="1440" w:type="dxa"/>
            <w:shd w:val="clear" w:color="auto" w:fill="auto"/>
            <w:noWrap/>
            <w:vAlign w:val="bottom"/>
          </w:tcPr>
          <w:p w:rsidR="000A6F05" w:rsidRPr="00B065C0" w:rsidRDefault="000A6F05" w:rsidP="009A5F48">
            <w:pPr>
              <w:jc w:val="right"/>
            </w:pPr>
            <w:r w:rsidRPr="00B065C0">
              <w:t>2.76E-08</w:t>
            </w:r>
          </w:p>
        </w:tc>
        <w:tc>
          <w:tcPr>
            <w:tcW w:w="1440" w:type="dxa"/>
            <w:shd w:val="clear" w:color="auto" w:fill="auto"/>
            <w:noWrap/>
            <w:vAlign w:val="bottom"/>
          </w:tcPr>
          <w:p w:rsidR="000A6F05" w:rsidRPr="00B065C0" w:rsidRDefault="000A6F05" w:rsidP="009A5F48">
            <w:pPr>
              <w:jc w:val="right"/>
            </w:pPr>
            <w:r w:rsidRPr="00B065C0">
              <w:t>2.22E-08</w:t>
            </w:r>
          </w:p>
        </w:tc>
        <w:tc>
          <w:tcPr>
            <w:tcW w:w="1620" w:type="dxa"/>
            <w:shd w:val="clear" w:color="auto" w:fill="auto"/>
            <w:noWrap/>
            <w:vAlign w:val="bottom"/>
          </w:tcPr>
          <w:p w:rsidR="000A6F05" w:rsidRPr="00B065C0" w:rsidRDefault="000A6F05" w:rsidP="009A5F48">
            <w:pPr>
              <w:jc w:val="right"/>
            </w:pPr>
            <w:r w:rsidRPr="00B065C0">
              <w:t>-19.7</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human toxicity</w:t>
            </w:r>
          </w:p>
        </w:tc>
        <w:tc>
          <w:tcPr>
            <w:tcW w:w="1620" w:type="dxa"/>
            <w:shd w:val="clear" w:color="auto" w:fill="auto"/>
            <w:noWrap/>
            <w:vAlign w:val="bottom"/>
          </w:tcPr>
          <w:p w:rsidR="000A6F05" w:rsidRPr="00B065C0" w:rsidRDefault="000A6F05" w:rsidP="009A5F48">
            <w:pPr>
              <w:rPr>
                <w:color w:val="000000"/>
              </w:rPr>
            </w:pPr>
            <w:r w:rsidRPr="00B065C0">
              <w:rPr>
                <w:color w:val="000000"/>
              </w:rPr>
              <w:t>kg 1,4-DB eq</w:t>
            </w:r>
          </w:p>
        </w:tc>
        <w:tc>
          <w:tcPr>
            <w:tcW w:w="1440" w:type="dxa"/>
            <w:shd w:val="clear" w:color="auto" w:fill="auto"/>
            <w:noWrap/>
            <w:vAlign w:val="bottom"/>
          </w:tcPr>
          <w:p w:rsidR="000A6F05" w:rsidRPr="00B065C0" w:rsidRDefault="000A6F05" w:rsidP="009A5F48">
            <w:pPr>
              <w:jc w:val="right"/>
            </w:pPr>
            <w:r w:rsidRPr="00B065C0">
              <w:t>9.36E-02</w:t>
            </w:r>
          </w:p>
        </w:tc>
        <w:tc>
          <w:tcPr>
            <w:tcW w:w="1440" w:type="dxa"/>
            <w:shd w:val="clear" w:color="auto" w:fill="auto"/>
            <w:noWrap/>
            <w:vAlign w:val="bottom"/>
          </w:tcPr>
          <w:p w:rsidR="000A6F05" w:rsidRPr="00B065C0" w:rsidRDefault="000A6F05" w:rsidP="009A5F48">
            <w:pPr>
              <w:jc w:val="right"/>
            </w:pPr>
            <w:r w:rsidRPr="00B065C0">
              <w:t>7.75E-02</w:t>
            </w:r>
          </w:p>
        </w:tc>
        <w:tc>
          <w:tcPr>
            <w:tcW w:w="1620" w:type="dxa"/>
            <w:shd w:val="clear" w:color="auto" w:fill="auto"/>
            <w:noWrap/>
            <w:vAlign w:val="bottom"/>
          </w:tcPr>
          <w:p w:rsidR="000A6F05" w:rsidRPr="00B065C0" w:rsidRDefault="000A6F05" w:rsidP="009A5F48">
            <w:pPr>
              <w:jc w:val="right"/>
            </w:pPr>
            <w:r w:rsidRPr="00B065C0">
              <w:t>-17.3</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fresh water aquatic ecotox.</w:t>
            </w:r>
          </w:p>
        </w:tc>
        <w:tc>
          <w:tcPr>
            <w:tcW w:w="1620" w:type="dxa"/>
            <w:shd w:val="clear" w:color="auto" w:fill="auto"/>
            <w:noWrap/>
            <w:vAlign w:val="bottom"/>
          </w:tcPr>
          <w:p w:rsidR="000A6F05" w:rsidRPr="00B065C0" w:rsidRDefault="000A6F05" w:rsidP="009A5F48">
            <w:pPr>
              <w:rPr>
                <w:color w:val="000000"/>
              </w:rPr>
            </w:pPr>
            <w:r w:rsidRPr="00B065C0">
              <w:rPr>
                <w:color w:val="000000"/>
              </w:rPr>
              <w:t>kg 1,4-DB eq</w:t>
            </w:r>
          </w:p>
        </w:tc>
        <w:tc>
          <w:tcPr>
            <w:tcW w:w="1440" w:type="dxa"/>
            <w:shd w:val="clear" w:color="auto" w:fill="auto"/>
            <w:noWrap/>
            <w:vAlign w:val="bottom"/>
          </w:tcPr>
          <w:p w:rsidR="000A6F05" w:rsidRPr="00B065C0" w:rsidRDefault="000A6F05" w:rsidP="009A5F48">
            <w:pPr>
              <w:jc w:val="right"/>
            </w:pPr>
            <w:r w:rsidRPr="00B065C0">
              <w:t>3.91E-03</w:t>
            </w:r>
          </w:p>
        </w:tc>
        <w:tc>
          <w:tcPr>
            <w:tcW w:w="1440" w:type="dxa"/>
            <w:shd w:val="clear" w:color="auto" w:fill="auto"/>
            <w:noWrap/>
            <w:vAlign w:val="bottom"/>
          </w:tcPr>
          <w:p w:rsidR="000A6F05" w:rsidRPr="00B065C0" w:rsidRDefault="000A6F05" w:rsidP="009A5F48">
            <w:pPr>
              <w:jc w:val="right"/>
            </w:pPr>
            <w:r w:rsidRPr="00B065C0">
              <w:t>3.48E-03</w:t>
            </w:r>
          </w:p>
        </w:tc>
        <w:tc>
          <w:tcPr>
            <w:tcW w:w="1620" w:type="dxa"/>
            <w:shd w:val="clear" w:color="auto" w:fill="auto"/>
            <w:noWrap/>
            <w:vAlign w:val="bottom"/>
          </w:tcPr>
          <w:p w:rsidR="000A6F05" w:rsidRPr="00B065C0" w:rsidRDefault="000A6F05" w:rsidP="009A5F48">
            <w:pPr>
              <w:jc w:val="right"/>
            </w:pPr>
            <w:r w:rsidRPr="00B065C0">
              <w:t>-11.1</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marine aquatic ecotoxicity</w:t>
            </w:r>
          </w:p>
        </w:tc>
        <w:tc>
          <w:tcPr>
            <w:tcW w:w="1620" w:type="dxa"/>
            <w:shd w:val="clear" w:color="auto" w:fill="auto"/>
            <w:noWrap/>
            <w:vAlign w:val="bottom"/>
          </w:tcPr>
          <w:p w:rsidR="000A6F05" w:rsidRPr="00B065C0" w:rsidRDefault="000A6F05" w:rsidP="009A5F48">
            <w:pPr>
              <w:rPr>
                <w:color w:val="000000"/>
              </w:rPr>
            </w:pPr>
            <w:r w:rsidRPr="00B065C0">
              <w:rPr>
                <w:color w:val="000000"/>
              </w:rPr>
              <w:t>kg 1,4-DB eq</w:t>
            </w:r>
          </w:p>
        </w:tc>
        <w:tc>
          <w:tcPr>
            <w:tcW w:w="1440" w:type="dxa"/>
            <w:shd w:val="clear" w:color="auto" w:fill="auto"/>
            <w:noWrap/>
            <w:vAlign w:val="bottom"/>
          </w:tcPr>
          <w:p w:rsidR="000A6F05" w:rsidRPr="00B065C0" w:rsidRDefault="000A6F05" w:rsidP="009A5F48">
            <w:pPr>
              <w:jc w:val="right"/>
            </w:pPr>
            <w:r w:rsidRPr="00B065C0">
              <w:t>3.52E+01</w:t>
            </w:r>
          </w:p>
        </w:tc>
        <w:tc>
          <w:tcPr>
            <w:tcW w:w="1440" w:type="dxa"/>
            <w:shd w:val="clear" w:color="auto" w:fill="auto"/>
            <w:noWrap/>
            <w:vAlign w:val="bottom"/>
          </w:tcPr>
          <w:p w:rsidR="000A6F05" w:rsidRPr="00B065C0" w:rsidRDefault="000A6F05" w:rsidP="009A5F48">
            <w:pPr>
              <w:jc w:val="right"/>
            </w:pPr>
            <w:r w:rsidRPr="00B065C0">
              <w:t>3.24E+01</w:t>
            </w:r>
          </w:p>
        </w:tc>
        <w:tc>
          <w:tcPr>
            <w:tcW w:w="1620" w:type="dxa"/>
            <w:shd w:val="clear" w:color="auto" w:fill="auto"/>
            <w:noWrap/>
            <w:vAlign w:val="bottom"/>
          </w:tcPr>
          <w:p w:rsidR="000A6F05" w:rsidRPr="00B065C0" w:rsidRDefault="000A6F05" w:rsidP="009A5F48">
            <w:pPr>
              <w:jc w:val="right"/>
            </w:pPr>
            <w:r w:rsidRPr="00B065C0">
              <w:t>-7.9</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terrestrial ecotoxicity</w:t>
            </w:r>
          </w:p>
        </w:tc>
        <w:tc>
          <w:tcPr>
            <w:tcW w:w="1620" w:type="dxa"/>
            <w:shd w:val="clear" w:color="auto" w:fill="auto"/>
            <w:noWrap/>
            <w:vAlign w:val="bottom"/>
          </w:tcPr>
          <w:p w:rsidR="000A6F05" w:rsidRPr="00B065C0" w:rsidRDefault="000A6F05" w:rsidP="009A5F48">
            <w:pPr>
              <w:rPr>
                <w:color w:val="000000"/>
              </w:rPr>
            </w:pPr>
            <w:r w:rsidRPr="00B065C0">
              <w:rPr>
                <w:color w:val="000000"/>
              </w:rPr>
              <w:t>kg 1,4-DB eq</w:t>
            </w:r>
          </w:p>
        </w:tc>
        <w:tc>
          <w:tcPr>
            <w:tcW w:w="1440" w:type="dxa"/>
            <w:shd w:val="clear" w:color="auto" w:fill="auto"/>
            <w:noWrap/>
            <w:vAlign w:val="bottom"/>
          </w:tcPr>
          <w:p w:rsidR="000A6F05" w:rsidRPr="00B065C0" w:rsidRDefault="000A6F05" w:rsidP="009A5F48">
            <w:pPr>
              <w:jc w:val="right"/>
            </w:pPr>
            <w:r w:rsidRPr="00B065C0">
              <w:t>7.24E-04</w:t>
            </w:r>
          </w:p>
        </w:tc>
        <w:tc>
          <w:tcPr>
            <w:tcW w:w="1440" w:type="dxa"/>
            <w:shd w:val="clear" w:color="auto" w:fill="auto"/>
            <w:noWrap/>
            <w:vAlign w:val="bottom"/>
          </w:tcPr>
          <w:p w:rsidR="000A6F05" w:rsidRPr="00B065C0" w:rsidRDefault="000A6F05" w:rsidP="009A5F48">
            <w:pPr>
              <w:jc w:val="right"/>
            </w:pPr>
            <w:r w:rsidRPr="00B065C0">
              <w:t>6.94E-04</w:t>
            </w:r>
          </w:p>
        </w:tc>
        <w:tc>
          <w:tcPr>
            <w:tcW w:w="1620" w:type="dxa"/>
            <w:shd w:val="clear" w:color="auto" w:fill="auto"/>
            <w:noWrap/>
            <w:vAlign w:val="bottom"/>
          </w:tcPr>
          <w:p w:rsidR="000A6F05" w:rsidRPr="00B065C0" w:rsidRDefault="000A6F05" w:rsidP="009A5F48">
            <w:pPr>
              <w:jc w:val="right"/>
            </w:pPr>
            <w:r w:rsidRPr="00B065C0">
              <w:t>-4.1</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photochemical oxidation</w:t>
            </w:r>
          </w:p>
        </w:tc>
        <w:tc>
          <w:tcPr>
            <w:tcW w:w="1620" w:type="dxa"/>
            <w:shd w:val="clear" w:color="auto" w:fill="auto"/>
            <w:noWrap/>
            <w:vAlign w:val="bottom"/>
          </w:tcPr>
          <w:p w:rsidR="000A6F05" w:rsidRPr="00B065C0" w:rsidRDefault="000A6F05" w:rsidP="009A5F48">
            <w:pPr>
              <w:rPr>
                <w:color w:val="000000"/>
              </w:rPr>
            </w:pPr>
            <w:r w:rsidRPr="00B065C0">
              <w:rPr>
                <w:color w:val="000000"/>
              </w:rPr>
              <w:t>kg C2H4</w:t>
            </w:r>
          </w:p>
        </w:tc>
        <w:tc>
          <w:tcPr>
            <w:tcW w:w="1440" w:type="dxa"/>
            <w:shd w:val="clear" w:color="auto" w:fill="auto"/>
            <w:noWrap/>
            <w:vAlign w:val="bottom"/>
          </w:tcPr>
          <w:p w:rsidR="000A6F05" w:rsidRPr="00B065C0" w:rsidRDefault="000A6F05" w:rsidP="009A5F48">
            <w:pPr>
              <w:jc w:val="right"/>
            </w:pPr>
            <w:r w:rsidRPr="00B065C0">
              <w:t>4.52E-05</w:t>
            </w:r>
          </w:p>
        </w:tc>
        <w:tc>
          <w:tcPr>
            <w:tcW w:w="1440" w:type="dxa"/>
            <w:shd w:val="clear" w:color="auto" w:fill="auto"/>
            <w:noWrap/>
            <w:vAlign w:val="bottom"/>
          </w:tcPr>
          <w:p w:rsidR="000A6F05" w:rsidRPr="00B065C0" w:rsidRDefault="000A6F05" w:rsidP="009A5F48">
            <w:pPr>
              <w:jc w:val="right"/>
            </w:pPr>
            <w:r w:rsidRPr="00B065C0">
              <w:t>3.71E-05</w:t>
            </w:r>
          </w:p>
        </w:tc>
        <w:tc>
          <w:tcPr>
            <w:tcW w:w="1620" w:type="dxa"/>
            <w:shd w:val="clear" w:color="auto" w:fill="auto"/>
            <w:noWrap/>
            <w:vAlign w:val="bottom"/>
          </w:tcPr>
          <w:p w:rsidR="000A6F05" w:rsidRPr="00B065C0" w:rsidRDefault="000A6F05" w:rsidP="009A5F48">
            <w:pPr>
              <w:jc w:val="right"/>
            </w:pPr>
            <w:r w:rsidRPr="00B065C0">
              <w:t>-17.9</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acidification</w:t>
            </w:r>
          </w:p>
        </w:tc>
        <w:tc>
          <w:tcPr>
            <w:tcW w:w="1620" w:type="dxa"/>
            <w:shd w:val="clear" w:color="auto" w:fill="auto"/>
            <w:noWrap/>
            <w:vAlign w:val="bottom"/>
          </w:tcPr>
          <w:p w:rsidR="000A6F05" w:rsidRPr="00B065C0" w:rsidRDefault="000A6F05" w:rsidP="009A5F48">
            <w:pPr>
              <w:rPr>
                <w:color w:val="000000"/>
              </w:rPr>
            </w:pPr>
            <w:r w:rsidRPr="00B065C0">
              <w:rPr>
                <w:color w:val="000000"/>
              </w:rPr>
              <w:t>kg SO2 eq</w:t>
            </w:r>
          </w:p>
        </w:tc>
        <w:tc>
          <w:tcPr>
            <w:tcW w:w="1440" w:type="dxa"/>
            <w:shd w:val="clear" w:color="auto" w:fill="auto"/>
            <w:noWrap/>
            <w:vAlign w:val="bottom"/>
          </w:tcPr>
          <w:p w:rsidR="000A6F05" w:rsidRPr="00B065C0" w:rsidRDefault="000A6F05" w:rsidP="009A5F48">
            <w:pPr>
              <w:jc w:val="right"/>
            </w:pPr>
            <w:r w:rsidRPr="00B065C0">
              <w:t>1.66E-03</w:t>
            </w:r>
          </w:p>
        </w:tc>
        <w:tc>
          <w:tcPr>
            <w:tcW w:w="1440" w:type="dxa"/>
            <w:shd w:val="clear" w:color="auto" w:fill="auto"/>
            <w:noWrap/>
            <w:vAlign w:val="bottom"/>
          </w:tcPr>
          <w:p w:rsidR="000A6F05" w:rsidRPr="00B065C0" w:rsidRDefault="000A6F05" w:rsidP="009A5F48">
            <w:pPr>
              <w:jc w:val="right"/>
            </w:pPr>
            <w:r w:rsidRPr="00B065C0">
              <w:t>1.34E-03</w:t>
            </w:r>
          </w:p>
        </w:tc>
        <w:tc>
          <w:tcPr>
            <w:tcW w:w="1620" w:type="dxa"/>
            <w:shd w:val="clear" w:color="auto" w:fill="auto"/>
            <w:noWrap/>
            <w:vAlign w:val="bottom"/>
          </w:tcPr>
          <w:p w:rsidR="000A6F05" w:rsidRPr="00B065C0" w:rsidRDefault="000A6F05" w:rsidP="009A5F48">
            <w:pPr>
              <w:jc w:val="right"/>
            </w:pPr>
            <w:r w:rsidRPr="00B065C0">
              <w:t>-18.9</w:t>
            </w:r>
          </w:p>
        </w:tc>
      </w:tr>
      <w:tr w:rsidR="000A6F05" w:rsidRPr="00B065C0" w:rsidTr="009A5F48">
        <w:trPr>
          <w:trHeight w:val="397"/>
        </w:trPr>
        <w:tc>
          <w:tcPr>
            <w:tcW w:w="3255" w:type="dxa"/>
            <w:shd w:val="clear" w:color="auto" w:fill="auto"/>
            <w:noWrap/>
            <w:vAlign w:val="bottom"/>
          </w:tcPr>
          <w:p w:rsidR="000A6F05" w:rsidRPr="00B065C0" w:rsidRDefault="000A6F05" w:rsidP="009A5F48">
            <w:pPr>
              <w:rPr>
                <w:color w:val="000000"/>
              </w:rPr>
            </w:pPr>
            <w:r w:rsidRPr="00B065C0">
              <w:rPr>
                <w:color w:val="000000"/>
              </w:rPr>
              <w:t>eutrophication</w:t>
            </w:r>
          </w:p>
        </w:tc>
        <w:tc>
          <w:tcPr>
            <w:tcW w:w="1620" w:type="dxa"/>
            <w:shd w:val="clear" w:color="auto" w:fill="auto"/>
            <w:noWrap/>
            <w:vAlign w:val="bottom"/>
          </w:tcPr>
          <w:p w:rsidR="000A6F05" w:rsidRPr="00B065C0" w:rsidRDefault="000A6F05" w:rsidP="009A5F48">
            <w:pPr>
              <w:rPr>
                <w:color w:val="000000"/>
              </w:rPr>
            </w:pPr>
            <w:r w:rsidRPr="00B065C0">
              <w:rPr>
                <w:color w:val="000000"/>
              </w:rPr>
              <w:t>kg PO4--- eq</w:t>
            </w:r>
          </w:p>
        </w:tc>
        <w:tc>
          <w:tcPr>
            <w:tcW w:w="1440" w:type="dxa"/>
            <w:shd w:val="clear" w:color="auto" w:fill="auto"/>
            <w:noWrap/>
            <w:vAlign w:val="bottom"/>
          </w:tcPr>
          <w:p w:rsidR="000A6F05" w:rsidRPr="00B065C0" w:rsidRDefault="000A6F05" w:rsidP="009A5F48">
            <w:pPr>
              <w:jc w:val="right"/>
            </w:pPr>
            <w:r w:rsidRPr="00B065C0">
              <w:t>2.61E-04</w:t>
            </w:r>
          </w:p>
        </w:tc>
        <w:tc>
          <w:tcPr>
            <w:tcW w:w="1440" w:type="dxa"/>
            <w:shd w:val="clear" w:color="auto" w:fill="auto"/>
            <w:noWrap/>
            <w:vAlign w:val="bottom"/>
          </w:tcPr>
          <w:p w:rsidR="000A6F05" w:rsidRPr="00B065C0" w:rsidRDefault="000A6F05" w:rsidP="009A5F48">
            <w:pPr>
              <w:jc w:val="right"/>
            </w:pPr>
            <w:r w:rsidRPr="00B065C0">
              <w:t>2.08E-04</w:t>
            </w:r>
          </w:p>
        </w:tc>
        <w:tc>
          <w:tcPr>
            <w:tcW w:w="1620" w:type="dxa"/>
            <w:shd w:val="clear" w:color="auto" w:fill="auto"/>
            <w:noWrap/>
            <w:vAlign w:val="bottom"/>
          </w:tcPr>
          <w:p w:rsidR="000A6F05" w:rsidRPr="00B065C0" w:rsidRDefault="000A6F05" w:rsidP="009A5F48">
            <w:pPr>
              <w:jc w:val="right"/>
            </w:pPr>
            <w:r w:rsidRPr="00B065C0">
              <w:t>-20.4</w:t>
            </w:r>
          </w:p>
        </w:tc>
      </w:tr>
    </w:tbl>
    <w:p w:rsidR="000A6F05" w:rsidRDefault="000A6F05" w:rsidP="000A6F05">
      <w:pPr>
        <w:pStyle w:val="8ICRText"/>
        <w:rPr>
          <w:sz w:val="24"/>
        </w:rPr>
      </w:pPr>
    </w:p>
    <w:p w:rsidR="000A6F05" w:rsidRDefault="000A6F05" w:rsidP="000A6F05">
      <w:pPr>
        <w:rPr>
          <w:rFonts w:eastAsia="MS Mincho"/>
          <w:lang w:val="en-GB"/>
        </w:rPr>
      </w:pPr>
      <w:r>
        <w:br w:type="page"/>
      </w:r>
    </w:p>
    <w:p w:rsidR="000A6F05" w:rsidRPr="00B065C0" w:rsidRDefault="000A6F05" w:rsidP="000A6F05">
      <w:pPr>
        <w:pStyle w:val="Caption"/>
        <w:rPr>
          <w:b w:val="0"/>
          <w:sz w:val="24"/>
          <w:szCs w:val="24"/>
          <w:lang w:val="en-US"/>
        </w:rPr>
      </w:pPr>
      <w:bookmarkStart w:id="30" w:name="_Ref410034456"/>
      <w:r w:rsidRPr="00B065C0">
        <w:rPr>
          <w:b w:val="0"/>
          <w:sz w:val="24"/>
          <w:szCs w:val="24"/>
          <w:lang w:val="en-US"/>
        </w:rPr>
        <w:lastRenderedPageBreak/>
        <w:t xml:space="preserve">Table </w:t>
      </w:r>
      <w:bookmarkEnd w:id="30"/>
      <w:r>
        <w:rPr>
          <w:b w:val="0"/>
          <w:sz w:val="24"/>
          <w:szCs w:val="24"/>
          <w:lang w:val="en-US"/>
        </w:rPr>
        <w:t>5</w:t>
      </w:r>
      <w:r w:rsidRPr="00B065C0">
        <w:rPr>
          <w:b w:val="0"/>
          <w:sz w:val="24"/>
          <w:szCs w:val="24"/>
          <w:lang w:val="en-US"/>
        </w:rPr>
        <w:t>: Impact of the production and 1</w:t>
      </w:r>
      <w:r w:rsidRPr="00B065C0">
        <w:rPr>
          <w:b w:val="0"/>
          <w:sz w:val="24"/>
          <w:szCs w:val="24"/>
          <w:vertAlign w:val="superscript"/>
          <w:lang w:val="en-US"/>
        </w:rPr>
        <w:t>st</w:t>
      </w:r>
      <w:r w:rsidRPr="00B065C0">
        <w:rPr>
          <w:b w:val="0"/>
          <w:sz w:val="24"/>
          <w:szCs w:val="24"/>
          <w:lang w:val="en-US"/>
        </w:rPr>
        <w:t xml:space="preserve"> transport steps against the total impact of the cold chain (in %)</w:t>
      </w:r>
    </w:p>
    <w:p w:rsidR="000A6F05" w:rsidRPr="00B065C0" w:rsidRDefault="000A6F05" w:rsidP="000A6F05">
      <w:pPr>
        <w:rPr>
          <w:lang w:val="en-US"/>
        </w:rPr>
      </w:pPr>
    </w:p>
    <w:tbl>
      <w:tblPr>
        <w:tblW w:w="7417" w:type="dxa"/>
        <w:tblInd w:w="55" w:type="dxa"/>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3935"/>
        <w:gridCol w:w="1741"/>
        <w:gridCol w:w="1741"/>
      </w:tblGrid>
      <w:tr w:rsidR="000A6F05" w:rsidRPr="00B065C0" w:rsidTr="009A5F48">
        <w:trPr>
          <w:trHeight w:val="255"/>
        </w:trPr>
        <w:tc>
          <w:tcPr>
            <w:tcW w:w="3935" w:type="dxa"/>
            <w:shd w:val="clear" w:color="auto" w:fill="auto"/>
            <w:noWrap/>
            <w:vAlign w:val="center"/>
          </w:tcPr>
          <w:p w:rsidR="000A6F05" w:rsidRPr="00B065C0" w:rsidRDefault="000A6F05" w:rsidP="009A5F48">
            <w:pPr>
              <w:rPr>
                <w:color w:val="000000"/>
                <w:lang w:eastAsia="ja-JP"/>
              </w:rPr>
            </w:pPr>
            <w:r w:rsidRPr="00B065C0">
              <w:rPr>
                <w:color w:val="000000"/>
                <w:lang w:eastAsia="ja-JP"/>
              </w:rPr>
              <w:t>Impact category</w:t>
            </w:r>
          </w:p>
        </w:tc>
        <w:tc>
          <w:tcPr>
            <w:tcW w:w="1741" w:type="dxa"/>
            <w:shd w:val="clear" w:color="auto" w:fill="auto"/>
            <w:noWrap/>
            <w:vAlign w:val="center"/>
          </w:tcPr>
          <w:p w:rsidR="000A6F05" w:rsidRPr="00B065C0" w:rsidRDefault="000A6F05" w:rsidP="009A5F48">
            <w:pPr>
              <w:jc w:val="right"/>
              <w:rPr>
                <w:color w:val="000000"/>
                <w:lang w:eastAsia="ja-JP"/>
              </w:rPr>
            </w:pPr>
            <w:r w:rsidRPr="00B065C0">
              <w:rPr>
                <w:color w:val="000000"/>
                <w:lang w:eastAsia="ja-JP"/>
              </w:rPr>
              <w:t>Chilled salmon (%)</w:t>
            </w:r>
          </w:p>
        </w:tc>
        <w:tc>
          <w:tcPr>
            <w:tcW w:w="1741" w:type="dxa"/>
            <w:shd w:val="clear" w:color="auto" w:fill="auto"/>
            <w:noWrap/>
            <w:vAlign w:val="center"/>
          </w:tcPr>
          <w:p w:rsidR="000A6F05" w:rsidRPr="00B065C0" w:rsidRDefault="000A6F05" w:rsidP="009A5F48">
            <w:pPr>
              <w:jc w:val="right"/>
              <w:rPr>
                <w:color w:val="000000"/>
                <w:lang w:eastAsia="ja-JP"/>
              </w:rPr>
            </w:pPr>
            <w:r w:rsidRPr="00B065C0">
              <w:rPr>
                <w:color w:val="000000"/>
                <w:lang w:eastAsia="ja-JP"/>
              </w:rPr>
              <w:t>Superchilled salmon (%)</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abiotic depletion</w:t>
            </w:r>
          </w:p>
        </w:tc>
        <w:tc>
          <w:tcPr>
            <w:tcW w:w="1741" w:type="dxa"/>
            <w:shd w:val="clear" w:color="auto" w:fill="auto"/>
            <w:noWrap/>
            <w:vAlign w:val="bottom"/>
          </w:tcPr>
          <w:p w:rsidR="000A6F05" w:rsidRPr="00B065C0" w:rsidRDefault="000A6F05" w:rsidP="009A5F48">
            <w:pPr>
              <w:jc w:val="right"/>
            </w:pPr>
            <w:r w:rsidRPr="00B065C0">
              <w:t>90.2</w:t>
            </w:r>
          </w:p>
        </w:tc>
        <w:tc>
          <w:tcPr>
            <w:tcW w:w="1741" w:type="dxa"/>
            <w:shd w:val="clear" w:color="auto" w:fill="auto"/>
            <w:noWrap/>
            <w:vAlign w:val="bottom"/>
          </w:tcPr>
          <w:p w:rsidR="000A6F05" w:rsidRPr="00B065C0" w:rsidRDefault="000A6F05" w:rsidP="009A5F48">
            <w:pPr>
              <w:jc w:val="right"/>
            </w:pPr>
            <w:r w:rsidRPr="00B065C0">
              <w:t>87.9</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global warming (GWP100)</w:t>
            </w:r>
          </w:p>
        </w:tc>
        <w:tc>
          <w:tcPr>
            <w:tcW w:w="1741" w:type="dxa"/>
            <w:shd w:val="clear" w:color="auto" w:fill="auto"/>
            <w:noWrap/>
            <w:vAlign w:val="bottom"/>
          </w:tcPr>
          <w:p w:rsidR="000A6F05" w:rsidRPr="00B065C0" w:rsidRDefault="000A6F05" w:rsidP="009A5F48">
            <w:pPr>
              <w:jc w:val="right"/>
            </w:pPr>
            <w:r w:rsidRPr="00B065C0">
              <w:t>85.9</w:t>
            </w:r>
          </w:p>
        </w:tc>
        <w:tc>
          <w:tcPr>
            <w:tcW w:w="1741" w:type="dxa"/>
            <w:shd w:val="clear" w:color="auto" w:fill="auto"/>
            <w:noWrap/>
            <w:vAlign w:val="bottom"/>
          </w:tcPr>
          <w:p w:rsidR="000A6F05" w:rsidRPr="00B065C0" w:rsidRDefault="000A6F05" w:rsidP="009A5F48">
            <w:pPr>
              <w:jc w:val="right"/>
            </w:pPr>
            <w:r w:rsidRPr="00B065C0">
              <w:t>82.6</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ozone layer depletion (ODP)</w:t>
            </w:r>
          </w:p>
        </w:tc>
        <w:tc>
          <w:tcPr>
            <w:tcW w:w="1741" w:type="dxa"/>
            <w:shd w:val="clear" w:color="auto" w:fill="auto"/>
            <w:noWrap/>
            <w:vAlign w:val="bottom"/>
          </w:tcPr>
          <w:p w:rsidR="000A6F05" w:rsidRPr="00B065C0" w:rsidRDefault="000A6F05" w:rsidP="009A5F48">
            <w:pPr>
              <w:jc w:val="right"/>
            </w:pPr>
            <w:r w:rsidRPr="00B065C0">
              <w:t>88.3</w:t>
            </w:r>
          </w:p>
        </w:tc>
        <w:tc>
          <w:tcPr>
            <w:tcW w:w="1741" w:type="dxa"/>
            <w:shd w:val="clear" w:color="auto" w:fill="auto"/>
            <w:noWrap/>
            <w:vAlign w:val="bottom"/>
          </w:tcPr>
          <w:p w:rsidR="000A6F05" w:rsidRPr="00B065C0" w:rsidRDefault="000A6F05" w:rsidP="009A5F48">
            <w:pPr>
              <w:jc w:val="right"/>
            </w:pPr>
            <w:r w:rsidRPr="00B065C0">
              <w:t>85.4</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human toxicity</w:t>
            </w:r>
          </w:p>
        </w:tc>
        <w:tc>
          <w:tcPr>
            <w:tcW w:w="1741" w:type="dxa"/>
            <w:shd w:val="clear" w:color="auto" w:fill="auto"/>
            <w:noWrap/>
            <w:vAlign w:val="bottom"/>
          </w:tcPr>
          <w:p w:rsidR="000A6F05" w:rsidRPr="00B065C0" w:rsidRDefault="000A6F05" w:rsidP="009A5F48">
            <w:pPr>
              <w:jc w:val="right"/>
            </w:pPr>
            <w:r w:rsidRPr="00B065C0">
              <w:t>85.4</w:t>
            </w:r>
          </w:p>
        </w:tc>
        <w:tc>
          <w:tcPr>
            <w:tcW w:w="1741" w:type="dxa"/>
            <w:shd w:val="clear" w:color="auto" w:fill="auto"/>
            <w:noWrap/>
            <w:vAlign w:val="bottom"/>
          </w:tcPr>
          <w:p w:rsidR="000A6F05" w:rsidRPr="00B065C0" w:rsidRDefault="000A6F05" w:rsidP="009A5F48">
            <w:pPr>
              <w:jc w:val="right"/>
            </w:pPr>
            <w:r w:rsidRPr="00B065C0">
              <w:t>82.3</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fresh water aquatic ecotox.</w:t>
            </w:r>
          </w:p>
        </w:tc>
        <w:tc>
          <w:tcPr>
            <w:tcW w:w="1741" w:type="dxa"/>
            <w:shd w:val="clear" w:color="auto" w:fill="auto"/>
            <w:noWrap/>
            <w:vAlign w:val="bottom"/>
          </w:tcPr>
          <w:p w:rsidR="000A6F05" w:rsidRPr="00B065C0" w:rsidRDefault="000A6F05" w:rsidP="009A5F48">
            <w:pPr>
              <w:jc w:val="right"/>
            </w:pPr>
            <w:r w:rsidRPr="00B065C0">
              <w:t>54.2</w:t>
            </w:r>
          </w:p>
        </w:tc>
        <w:tc>
          <w:tcPr>
            <w:tcW w:w="1741" w:type="dxa"/>
            <w:shd w:val="clear" w:color="auto" w:fill="auto"/>
            <w:noWrap/>
            <w:vAlign w:val="bottom"/>
          </w:tcPr>
          <w:p w:rsidR="000A6F05" w:rsidRPr="00B065C0" w:rsidRDefault="000A6F05" w:rsidP="009A5F48">
            <w:pPr>
              <w:jc w:val="right"/>
            </w:pPr>
            <w:r w:rsidRPr="00B065C0">
              <w:t>48.5</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marine aquatic ecotoxicity</w:t>
            </w:r>
          </w:p>
        </w:tc>
        <w:tc>
          <w:tcPr>
            <w:tcW w:w="1741" w:type="dxa"/>
            <w:shd w:val="clear" w:color="auto" w:fill="auto"/>
            <w:noWrap/>
            <w:vAlign w:val="bottom"/>
          </w:tcPr>
          <w:p w:rsidR="000A6F05" w:rsidRPr="00B065C0" w:rsidRDefault="000A6F05" w:rsidP="009A5F48">
            <w:pPr>
              <w:jc w:val="right"/>
            </w:pPr>
            <w:r w:rsidRPr="00B065C0">
              <w:t>36.2</w:t>
            </w:r>
          </w:p>
        </w:tc>
        <w:tc>
          <w:tcPr>
            <w:tcW w:w="1741" w:type="dxa"/>
            <w:shd w:val="clear" w:color="auto" w:fill="auto"/>
            <w:noWrap/>
            <w:vAlign w:val="bottom"/>
          </w:tcPr>
          <w:p w:rsidR="000A6F05" w:rsidRPr="00B065C0" w:rsidRDefault="000A6F05" w:rsidP="009A5F48">
            <w:pPr>
              <w:jc w:val="right"/>
            </w:pPr>
            <w:r w:rsidRPr="00B065C0">
              <w:t>30.8</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terrestrial ecotoxicity</w:t>
            </w:r>
          </w:p>
        </w:tc>
        <w:tc>
          <w:tcPr>
            <w:tcW w:w="1741" w:type="dxa"/>
            <w:shd w:val="clear" w:color="auto" w:fill="auto"/>
            <w:noWrap/>
            <w:vAlign w:val="bottom"/>
          </w:tcPr>
          <w:p w:rsidR="000A6F05" w:rsidRPr="00B065C0" w:rsidRDefault="000A6F05" w:rsidP="009A5F48">
            <w:pPr>
              <w:jc w:val="right"/>
            </w:pPr>
            <w:r w:rsidRPr="00B065C0">
              <w:t>43.5</w:t>
            </w:r>
          </w:p>
        </w:tc>
        <w:tc>
          <w:tcPr>
            <w:tcW w:w="1741" w:type="dxa"/>
            <w:shd w:val="clear" w:color="auto" w:fill="auto"/>
            <w:noWrap/>
            <w:vAlign w:val="bottom"/>
          </w:tcPr>
          <w:p w:rsidR="000A6F05" w:rsidRPr="00B065C0" w:rsidRDefault="000A6F05" w:rsidP="009A5F48">
            <w:pPr>
              <w:jc w:val="right"/>
            </w:pPr>
            <w:r w:rsidRPr="00B065C0">
              <w:t>41.1</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photochemical oxidation</w:t>
            </w:r>
          </w:p>
        </w:tc>
        <w:tc>
          <w:tcPr>
            <w:tcW w:w="1741" w:type="dxa"/>
            <w:shd w:val="clear" w:color="auto" w:fill="auto"/>
            <w:noWrap/>
            <w:vAlign w:val="bottom"/>
          </w:tcPr>
          <w:p w:rsidR="000A6F05" w:rsidRPr="00B065C0" w:rsidRDefault="000A6F05" w:rsidP="009A5F48">
            <w:pPr>
              <w:jc w:val="right"/>
            </w:pPr>
            <w:r w:rsidRPr="00B065C0">
              <w:t>82.8</w:t>
            </w:r>
          </w:p>
        </w:tc>
        <w:tc>
          <w:tcPr>
            <w:tcW w:w="1741" w:type="dxa"/>
            <w:shd w:val="clear" w:color="auto" w:fill="auto"/>
            <w:noWrap/>
            <w:vAlign w:val="bottom"/>
          </w:tcPr>
          <w:p w:rsidR="000A6F05" w:rsidRPr="00B065C0" w:rsidRDefault="000A6F05" w:rsidP="009A5F48">
            <w:pPr>
              <w:jc w:val="right"/>
            </w:pPr>
            <w:r w:rsidRPr="00B065C0">
              <w:t>79.0</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acidification</w:t>
            </w:r>
          </w:p>
        </w:tc>
        <w:tc>
          <w:tcPr>
            <w:tcW w:w="1741" w:type="dxa"/>
            <w:shd w:val="clear" w:color="auto" w:fill="auto"/>
            <w:noWrap/>
            <w:vAlign w:val="bottom"/>
          </w:tcPr>
          <w:p w:rsidR="000A6F05" w:rsidRPr="00B065C0" w:rsidRDefault="000A6F05" w:rsidP="009A5F48">
            <w:pPr>
              <w:jc w:val="right"/>
            </w:pPr>
            <w:r w:rsidRPr="00B065C0">
              <w:t>85.7</w:t>
            </w:r>
          </w:p>
        </w:tc>
        <w:tc>
          <w:tcPr>
            <w:tcW w:w="1741" w:type="dxa"/>
            <w:shd w:val="clear" w:color="auto" w:fill="auto"/>
            <w:noWrap/>
            <w:vAlign w:val="bottom"/>
          </w:tcPr>
          <w:p w:rsidR="000A6F05" w:rsidRPr="00B065C0" w:rsidRDefault="000A6F05" w:rsidP="009A5F48">
            <w:pPr>
              <w:jc w:val="right"/>
            </w:pPr>
            <w:r w:rsidRPr="00B065C0">
              <w:t>82.4</w:t>
            </w:r>
          </w:p>
        </w:tc>
      </w:tr>
      <w:tr w:rsidR="000A6F05" w:rsidRPr="00B065C0" w:rsidTr="009A5F48">
        <w:trPr>
          <w:trHeight w:val="397"/>
        </w:trPr>
        <w:tc>
          <w:tcPr>
            <w:tcW w:w="3935" w:type="dxa"/>
            <w:shd w:val="clear" w:color="auto" w:fill="auto"/>
            <w:noWrap/>
            <w:vAlign w:val="bottom"/>
          </w:tcPr>
          <w:p w:rsidR="000A6F05" w:rsidRPr="00B065C0" w:rsidRDefault="000A6F05" w:rsidP="009A5F48">
            <w:pPr>
              <w:rPr>
                <w:color w:val="000000"/>
              </w:rPr>
            </w:pPr>
            <w:r w:rsidRPr="00B065C0">
              <w:rPr>
                <w:color w:val="000000"/>
              </w:rPr>
              <w:t>eutrophication</w:t>
            </w:r>
          </w:p>
        </w:tc>
        <w:tc>
          <w:tcPr>
            <w:tcW w:w="1741" w:type="dxa"/>
            <w:shd w:val="clear" w:color="auto" w:fill="auto"/>
            <w:noWrap/>
            <w:vAlign w:val="bottom"/>
          </w:tcPr>
          <w:p w:rsidR="000A6F05" w:rsidRPr="00B065C0" w:rsidRDefault="000A6F05" w:rsidP="009A5F48">
            <w:pPr>
              <w:jc w:val="right"/>
            </w:pPr>
            <w:r w:rsidRPr="00B065C0">
              <w:t>89.6</w:t>
            </w:r>
          </w:p>
        </w:tc>
        <w:tc>
          <w:tcPr>
            <w:tcW w:w="1741" w:type="dxa"/>
            <w:shd w:val="clear" w:color="auto" w:fill="auto"/>
            <w:noWrap/>
            <w:vAlign w:val="bottom"/>
          </w:tcPr>
          <w:p w:rsidR="000A6F05" w:rsidRPr="00B065C0" w:rsidRDefault="000A6F05" w:rsidP="009A5F48">
            <w:pPr>
              <w:jc w:val="right"/>
            </w:pPr>
            <w:r w:rsidRPr="00B065C0">
              <w:t>86.9</w:t>
            </w:r>
          </w:p>
        </w:tc>
      </w:tr>
    </w:tbl>
    <w:p w:rsidR="000A6F05" w:rsidRPr="00B065C0" w:rsidRDefault="000A6F05" w:rsidP="000A6F05">
      <w:pPr>
        <w:pStyle w:val="8ICRText"/>
        <w:rPr>
          <w:sz w:val="24"/>
        </w:rPr>
      </w:pPr>
    </w:p>
    <w:p w:rsidR="000A6F05" w:rsidRPr="00AA59C4" w:rsidRDefault="000A6F05" w:rsidP="000A6F05">
      <w:pPr>
        <w:rPr>
          <w:lang w:val="en-US"/>
        </w:rPr>
      </w:pPr>
    </w:p>
    <w:p w:rsidR="00E302D4" w:rsidRPr="00883743" w:rsidRDefault="00E302D4" w:rsidP="001448F6">
      <w:pPr>
        <w:rPr>
          <w:lang w:val="en-GB"/>
        </w:rPr>
      </w:pPr>
      <w:bookmarkStart w:id="31" w:name="_GoBack"/>
      <w:bookmarkEnd w:id="31"/>
    </w:p>
    <w:sectPr w:rsidR="00E302D4" w:rsidRPr="00883743" w:rsidSect="000F236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D13" w:rsidRDefault="00470D13">
      <w:r>
        <w:separator/>
      </w:r>
    </w:p>
  </w:endnote>
  <w:endnote w:type="continuationSeparator" w:id="0">
    <w:p w:rsidR="00470D13" w:rsidRDefault="00470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4564567"/>
      <w:docPartObj>
        <w:docPartGallery w:val="Page Numbers (Bottom of Page)"/>
        <w:docPartUnique/>
      </w:docPartObj>
    </w:sdtPr>
    <w:sdtEndPr/>
    <w:sdtContent>
      <w:p w:rsidR="008F77AB" w:rsidRDefault="008F77AB">
        <w:pPr>
          <w:pStyle w:val="Footer"/>
          <w:jc w:val="right"/>
        </w:pPr>
        <w:r>
          <w:fldChar w:fldCharType="begin"/>
        </w:r>
        <w:r>
          <w:instrText>PAGE   \* MERGEFORMAT</w:instrText>
        </w:r>
        <w:r>
          <w:fldChar w:fldCharType="separate"/>
        </w:r>
        <w:r w:rsidR="000A6F05">
          <w:rPr>
            <w:noProof/>
          </w:rPr>
          <w:t>16</w:t>
        </w:r>
        <w:r>
          <w:rPr>
            <w:noProof/>
          </w:rPr>
          <w:fldChar w:fldCharType="end"/>
        </w:r>
      </w:p>
    </w:sdtContent>
  </w:sdt>
  <w:p w:rsidR="008F77AB" w:rsidRDefault="008F7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D13" w:rsidRDefault="00470D13">
      <w:r>
        <w:separator/>
      </w:r>
    </w:p>
  </w:footnote>
  <w:footnote w:type="continuationSeparator" w:id="0">
    <w:p w:rsidR="00470D13" w:rsidRDefault="00470D13">
      <w:r>
        <w:continuationSeparator/>
      </w:r>
    </w:p>
  </w:footnote>
  <w:footnote w:id="1">
    <w:p w:rsidR="008F77AB" w:rsidRPr="00D86CA6" w:rsidRDefault="008F77AB" w:rsidP="00D86CA6">
      <w:pPr>
        <w:pStyle w:val="FootnoteText"/>
        <w:rPr>
          <w:lang w:val="en-GB"/>
        </w:rPr>
      </w:pPr>
      <w:r w:rsidRPr="00D86CA6">
        <w:rPr>
          <w:rStyle w:val="FootnoteReference"/>
          <w:lang w:val="en-GB"/>
        </w:rPr>
        <w:t>*</w:t>
      </w:r>
      <w:r w:rsidRPr="00D86CA6">
        <w:rPr>
          <w:lang w:val="en-GB"/>
        </w:rPr>
        <w:t xml:space="preserve"> </w:t>
      </w:r>
      <w:r w:rsidRPr="00D86CA6">
        <w:rPr>
          <w:iCs/>
          <w:lang w:val="en-GB"/>
        </w:rPr>
        <w:t>Corresponding author: Tel: 33 1 40 96 65 02 Fax: 33 1 40 96 60 75 E-mail: hong-minh.hoang</w:t>
      </w:r>
      <w:r w:rsidRPr="00D86CA6">
        <w:rPr>
          <w:rFonts w:cs="Times"/>
          <w:lang w:val="en-US"/>
        </w:rPr>
        <w:t>@</w:t>
      </w:r>
      <w:r w:rsidRPr="00D86CA6">
        <w:rPr>
          <w:iCs/>
          <w:lang w:val="en-GB"/>
        </w:rPr>
        <w:t>irstea.fr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B47"/>
    <w:multiLevelType w:val="multilevel"/>
    <w:tmpl w:val="F8E2AF7C"/>
    <w:lvl w:ilvl="0">
      <w:start w:val="1"/>
      <w:numFmt w:val="decimal"/>
      <w:pStyle w:val="Heading1"/>
      <w:lvlText w:val="%1"/>
      <w:lvlJc w:val="left"/>
      <w:pPr>
        <w:tabs>
          <w:tab w:val="num" w:pos="1857"/>
        </w:tabs>
        <w:ind w:left="1857" w:hanging="432"/>
      </w:pPr>
      <w:rPr>
        <w:rFonts w:hint="default"/>
      </w:rPr>
    </w:lvl>
    <w:lvl w:ilvl="1">
      <w:start w:val="1"/>
      <w:numFmt w:val="decimal"/>
      <w:lvlText w:val="%1.%2"/>
      <w:lvlJc w:val="left"/>
      <w:pPr>
        <w:tabs>
          <w:tab w:val="num" w:pos="2001"/>
        </w:tabs>
        <w:ind w:left="2001" w:hanging="576"/>
      </w:pPr>
      <w:rPr>
        <w:rFonts w:hint="default"/>
      </w:rPr>
    </w:lvl>
    <w:lvl w:ilvl="2">
      <w:start w:val="1"/>
      <w:numFmt w:val="decimal"/>
      <w:pStyle w:val="Heading3"/>
      <w:lvlText w:val="%1.%2.%3"/>
      <w:lvlJc w:val="left"/>
      <w:pPr>
        <w:tabs>
          <w:tab w:val="num" w:pos="2145"/>
        </w:tabs>
        <w:ind w:left="2145" w:hanging="720"/>
      </w:pPr>
      <w:rPr>
        <w:rFonts w:hint="default"/>
      </w:rPr>
    </w:lvl>
    <w:lvl w:ilvl="3">
      <w:start w:val="1"/>
      <w:numFmt w:val="decimal"/>
      <w:lvlText w:val="%1.%2.%3.%4"/>
      <w:lvlJc w:val="left"/>
      <w:pPr>
        <w:tabs>
          <w:tab w:val="num" w:pos="2289"/>
        </w:tabs>
        <w:ind w:left="2289" w:hanging="864"/>
      </w:pPr>
      <w:rPr>
        <w:rFonts w:hint="default"/>
      </w:rPr>
    </w:lvl>
    <w:lvl w:ilvl="4">
      <w:start w:val="1"/>
      <w:numFmt w:val="decimal"/>
      <w:lvlText w:val="%1.%2.%3.%4.%5"/>
      <w:lvlJc w:val="left"/>
      <w:pPr>
        <w:tabs>
          <w:tab w:val="num" w:pos="2433"/>
        </w:tabs>
        <w:ind w:left="2433" w:hanging="1008"/>
      </w:pPr>
      <w:rPr>
        <w:rFonts w:hint="default"/>
      </w:rPr>
    </w:lvl>
    <w:lvl w:ilvl="5">
      <w:start w:val="1"/>
      <w:numFmt w:val="decimal"/>
      <w:lvlText w:val="%1.%2.%3.%4.%5.%6"/>
      <w:lvlJc w:val="left"/>
      <w:pPr>
        <w:tabs>
          <w:tab w:val="num" w:pos="2577"/>
        </w:tabs>
        <w:ind w:left="2577" w:hanging="1152"/>
      </w:pPr>
      <w:rPr>
        <w:rFonts w:hint="default"/>
      </w:rPr>
    </w:lvl>
    <w:lvl w:ilvl="6">
      <w:start w:val="1"/>
      <w:numFmt w:val="decimal"/>
      <w:lvlText w:val="%1.%2.%3.%4.%5.%6.%7"/>
      <w:lvlJc w:val="left"/>
      <w:pPr>
        <w:tabs>
          <w:tab w:val="num" w:pos="2721"/>
        </w:tabs>
        <w:ind w:left="2721" w:hanging="1296"/>
      </w:pPr>
      <w:rPr>
        <w:rFonts w:hint="default"/>
      </w:rPr>
    </w:lvl>
    <w:lvl w:ilvl="7">
      <w:start w:val="1"/>
      <w:numFmt w:val="decimal"/>
      <w:lvlText w:val="%1.%2.%3.%4.%5.%6.%7.%8"/>
      <w:lvlJc w:val="left"/>
      <w:pPr>
        <w:tabs>
          <w:tab w:val="num" w:pos="2865"/>
        </w:tabs>
        <w:ind w:left="2865" w:hanging="1440"/>
      </w:pPr>
      <w:rPr>
        <w:rFonts w:hint="default"/>
      </w:rPr>
    </w:lvl>
    <w:lvl w:ilvl="8">
      <w:start w:val="1"/>
      <w:numFmt w:val="decimal"/>
      <w:lvlText w:val="%1.%2.%3.%4.%5.%6.%7.%8.%9"/>
      <w:lvlJc w:val="left"/>
      <w:pPr>
        <w:tabs>
          <w:tab w:val="num" w:pos="3009"/>
        </w:tabs>
        <w:ind w:left="3009" w:hanging="1584"/>
      </w:pPr>
      <w:rPr>
        <w:rFonts w:hint="default"/>
      </w:rPr>
    </w:lvl>
  </w:abstractNum>
  <w:abstractNum w:abstractNumId="1">
    <w:nsid w:val="03CC468B"/>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F22E3B"/>
    <w:multiLevelType w:val="hybridMultilevel"/>
    <w:tmpl w:val="5DE0E224"/>
    <w:lvl w:ilvl="0" w:tplc="D86E6F40">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DA6F8D"/>
    <w:multiLevelType w:val="multilevel"/>
    <w:tmpl w:val="9716C00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19A208FC"/>
    <w:multiLevelType w:val="hybridMultilevel"/>
    <w:tmpl w:val="C12C5A1C"/>
    <w:lvl w:ilvl="0" w:tplc="6B1A4E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D070A9"/>
    <w:multiLevelType w:val="hybridMultilevel"/>
    <w:tmpl w:val="3154E7D4"/>
    <w:lvl w:ilvl="0" w:tplc="67BE49A2">
      <w:start w:val="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42F60"/>
    <w:multiLevelType w:val="hybridMultilevel"/>
    <w:tmpl w:val="77E64B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940554"/>
    <w:multiLevelType w:val="hybridMultilevel"/>
    <w:tmpl w:val="7930C6BC"/>
    <w:lvl w:ilvl="0" w:tplc="75ACCB38">
      <w:start w:val="1"/>
      <w:numFmt w:val="upperRoman"/>
      <w:lvlText w:val="%1."/>
      <w:lvlJc w:val="right"/>
      <w:pPr>
        <w:tabs>
          <w:tab w:val="num" w:pos="720"/>
        </w:tabs>
        <w:ind w:left="720" w:hanging="18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254F0443"/>
    <w:multiLevelType w:val="multilevel"/>
    <w:tmpl w:val="A7503AD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EFE720F"/>
    <w:multiLevelType w:val="hybridMultilevel"/>
    <w:tmpl w:val="D6AACA0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98F53D0"/>
    <w:multiLevelType w:val="multilevel"/>
    <w:tmpl w:val="F19ED7A6"/>
    <w:lvl w:ilvl="0">
      <w:start w:val="4"/>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C5414FC"/>
    <w:multiLevelType w:val="multilevel"/>
    <w:tmpl w:val="63BEE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F0267F4"/>
    <w:multiLevelType w:val="hybridMultilevel"/>
    <w:tmpl w:val="F53200E0"/>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6763941"/>
    <w:multiLevelType w:val="hybridMultilevel"/>
    <w:tmpl w:val="88F0E20A"/>
    <w:lvl w:ilvl="0" w:tplc="71FC6036">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70E0CFE"/>
    <w:multiLevelType w:val="hybridMultilevel"/>
    <w:tmpl w:val="F3908EBC"/>
    <w:lvl w:ilvl="0" w:tplc="7422AD54">
      <w:start w:val="1"/>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97A7681"/>
    <w:multiLevelType w:val="multilevel"/>
    <w:tmpl w:val="26329AB6"/>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47C3841"/>
    <w:multiLevelType w:val="hybridMultilevel"/>
    <w:tmpl w:val="AA3677A6"/>
    <w:lvl w:ilvl="0" w:tplc="99BA07F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903DCA"/>
    <w:multiLevelType w:val="hybridMultilevel"/>
    <w:tmpl w:val="7AFA3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4E3D4F"/>
    <w:multiLevelType w:val="multilevel"/>
    <w:tmpl w:val="040C001F"/>
    <w:numStyleLink w:val="Style1"/>
  </w:abstractNum>
  <w:abstractNum w:abstractNumId="19">
    <w:nsid w:val="6A4A6368"/>
    <w:multiLevelType w:val="multilevel"/>
    <w:tmpl w:val="040C001F"/>
    <w:numStyleLink w:val="Style1"/>
  </w:abstractNum>
  <w:abstractNum w:abstractNumId="20">
    <w:nsid w:val="6AAD3D01"/>
    <w:multiLevelType w:val="multilevel"/>
    <w:tmpl w:val="0748A950"/>
    <w:lvl w:ilvl="0">
      <w:start w:val="3"/>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D841CF4"/>
    <w:multiLevelType w:val="hybridMultilevel"/>
    <w:tmpl w:val="732276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D14020"/>
    <w:multiLevelType w:val="hybridMultilevel"/>
    <w:tmpl w:val="8D08D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3D8699F"/>
    <w:multiLevelType w:val="hybridMultilevel"/>
    <w:tmpl w:val="F82A22BE"/>
    <w:lvl w:ilvl="0" w:tplc="7BF4CCB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192EA4"/>
    <w:multiLevelType w:val="hybridMultilevel"/>
    <w:tmpl w:val="55DEA8BE"/>
    <w:lvl w:ilvl="0" w:tplc="901864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A6E101E"/>
    <w:multiLevelType w:val="multilevel"/>
    <w:tmpl w:val="040C001F"/>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C232F57"/>
    <w:multiLevelType w:val="hybridMultilevel"/>
    <w:tmpl w:val="B84246B8"/>
    <w:lvl w:ilvl="0" w:tplc="040C0001">
      <w:start w:val="1"/>
      <w:numFmt w:val="bullet"/>
      <w:lvlText w:val=""/>
      <w:lvlJc w:val="left"/>
      <w:pPr>
        <w:ind w:left="1287" w:hanging="360"/>
      </w:pPr>
      <w:rPr>
        <w:rFonts w:ascii="Symbol" w:hAnsi="Symbol" w:hint="default"/>
      </w:rPr>
    </w:lvl>
    <w:lvl w:ilvl="1" w:tplc="040C0001">
      <w:start w:val="1"/>
      <w:numFmt w:val="bullet"/>
      <w:lvlText w:val=""/>
      <w:lvlJc w:val="left"/>
      <w:pPr>
        <w:ind w:left="2007" w:hanging="360"/>
      </w:pPr>
      <w:rPr>
        <w:rFonts w:ascii="Symbol" w:hAnsi="Symbol"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7C6A33D8"/>
    <w:multiLevelType w:val="hybridMultilevel"/>
    <w:tmpl w:val="8D08DE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9475B"/>
    <w:multiLevelType w:val="hybridMultilevel"/>
    <w:tmpl w:val="80082A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75258B"/>
    <w:multiLevelType w:val="hybridMultilevel"/>
    <w:tmpl w:val="19B0BEFC"/>
    <w:lvl w:ilvl="0" w:tplc="04090001">
      <w:start w:val="1"/>
      <w:numFmt w:val="bullet"/>
      <w:lvlText w:val=""/>
      <w:lvlJc w:val="left"/>
      <w:pPr>
        <w:ind w:left="1334" w:hanging="360"/>
      </w:pPr>
      <w:rPr>
        <w:rFonts w:ascii="Symbol" w:hAnsi="Symbol" w:hint="default"/>
      </w:rPr>
    </w:lvl>
    <w:lvl w:ilvl="1" w:tplc="04090003" w:tentative="1">
      <w:start w:val="1"/>
      <w:numFmt w:val="bullet"/>
      <w:lvlText w:val="o"/>
      <w:lvlJc w:val="left"/>
      <w:pPr>
        <w:ind w:left="2054" w:hanging="360"/>
      </w:pPr>
      <w:rPr>
        <w:rFonts w:ascii="Courier New" w:hAnsi="Courier New" w:cs="Courier New" w:hint="default"/>
      </w:rPr>
    </w:lvl>
    <w:lvl w:ilvl="2" w:tplc="04090005" w:tentative="1">
      <w:start w:val="1"/>
      <w:numFmt w:val="bullet"/>
      <w:lvlText w:val=""/>
      <w:lvlJc w:val="left"/>
      <w:pPr>
        <w:ind w:left="2774" w:hanging="360"/>
      </w:pPr>
      <w:rPr>
        <w:rFonts w:ascii="Wingdings" w:hAnsi="Wingdings" w:hint="default"/>
      </w:rPr>
    </w:lvl>
    <w:lvl w:ilvl="3" w:tplc="04090001" w:tentative="1">
      <w:start w:val="1"/>
      <w:numFmt w:val="bullet"/>
      <w:lvlText w:val=""/>
      <w:lvlJc w:val="left"/>
      <w:pPr>
        <w:ind w:left="3494" w:hanging="360"/>
      </w:pPr>
      <w:rPr>
        <w:rFonts w:ascii="Symbol" w:hAnsi="Symbol" w:hint="default"/>
      </w:rPr>
    </w:lvl>
    <w:lvl w:ilvl="4" w:tplc="04090003" w:tentative="1">
      <w:start w:val="1"/>
      <w:numFmt w:val="bullet"/>
      <w:lvlText w:val="o"/>
      <w:lvlJc w:val="left"/>
      <w:pPr>
        <w:ind w:left="4214" w:hanging="360"/>
      </w:pPr>
      <w:rPr>
        <w:rFonts w:ascii="Courier New" w:hAnsi="Courier New" w:cs="Courier New" w:hint="default"/>
      </w:rPr>
    </w:lvl>
    <w:lvl w:ilvl="5" w:tplc="04090005" w:tentative="1">
      <w:start w:val="1"/>
      <w:numFmt w:val="bullet"/>
      <w:lvlText w:val=""/>
      <w:lvlJc w:val="left"/>
      <w:pPr>
        <w:ind w:left="4934" w:hanging="360"/>
      </w:pPr>
      <w:rPr>
        <w:rFonts w:ascii="Wingdings" w:hAnsi="Wingdings" w:hint="default"/>
      </w:rPr>
    </w:lvl>
    <w:lvl w:ilvl="6" w:tplc="04090001" w:tentative="1">
      <w:start w:val="1"/>
      <w:numFmt w:val="bullet"/>
      <w:lvlText w:val=""/>
      <w:lvlJc w:val="left"/>
      <w:pPr>
        <w:ind w:left="5654" w:hanging="360"/>
      </w:pPr>
      <w:rPr>
        <w:rFonts w:ascii="Symbol" w:hAnsi="Symbol" w:hint="default"/>
      </w:rPr>
    </w:lvl>
    <w:lvl w:ilvl="7" w:tplc="04090003" w:tentative="1">
      <w:start w:val="1"/>
      <w:numFmt w:val="bullet"/>
      <w:lvlText w:val="o"/>
      <w:lvlJc w:val="left"/>
      <w:pPr>
        <w:ind w:left="6374" w:hanging="360"/>
      </w:pPr>
      <w:rPr>
        <w:rFonts w:ascii="Courier New" w:hAnsi="Courier New" w:cs="Courier New" w:hint="default"/>
      </w:rPr>
    </w:lvl>
    <w:lvl w:ilvl="8" w:tplc="04090005" w:tentative="1">
      <w:start w:val="1"/>
      <w:numFmt w:val="bullet"/>
      <w:lvlText w:val=""/>
      <w:lvlJc w:val="left"/>
      <w:pPr>
        <w:ind w:left="7094" w:hanging="360"/>
      </w:pPr>
      <w:rPr>
        <w:rFonts w:ascii="Wingdings" w:hAnsi="Wingdings" w:hint="default"/>
      </w:rPr>
    </w:lvl>
  </w:abstractNum>
  <w:num w:numId="1">
    <w:abstractNumId w:val="7"/>
  </w:num>
  <w:num w:numId="2">
    <w:abstractNumId w:val="0"/>
  </w:num>
  <w:num w:numId="3">
    <w:abstractNumId w:val="11"/>
  </w:num>
  <w:num w:numId="4">
    <w:abstractNumId w:val="15"/>
  </w:num>
  <w:num w:numId="5">
    <w:abstractNumId w:val="13"/>
  </w:num>
  <w:num w:numId="6">
    <w:abstractNumId w:val="2"/>
  </w:num>
  <w:num w:numId="7">
    <w:abstractNumId w:val="6"/>
  </w:num>
  <w:num w:numId="8">
    <w:abstractNumId w:val="9"/>
  </w:num>
  <w:num w:numId="9">
    <w:abstractNumId w:val="19"/>
  </w:num>
  <w:num w:numId="10">
    <w:abstractNumId w:val="12"/>
  </w:num>
  <w:num w:numId="11">
    <w:abstractNumId w:val="3"/>
  </w:num>
  <w:num w:numId="12">
    <w:abstractNumId w:val="20"/>
  </w:num>
  <w:num w:numId="13">
    <w:abstractNumId w:val="10"/>
  </w:num>
  <w:num w:numId="14">
    <w:abstractNumId w:val="16"/>
  </w:num>
  <w:num w:numId="15">
    <w:abstractNumId w:val="23"/>
  </w:num>
  <w:num w:numId="16">
    <w:abstractNumId w:val="1"/>
  </w:num>
  <w:num w:numId="17">
    <w:abstractNumId w:val="26"/>
  </w:num>
  <w:num w:numId="18">
    <w:abstractNumId w:val="21"/>
  </w:num>
  <w:num w:numId="19">
    <w:abstractNumId w:val="14"/>
  </w:num>
  <w:num w:numId="20">
    <w:abstractNumId w:val="29"/>
  </w:num>
  <w:num w:numId="21">
    <w:abstractNumId w:val="8"/>
  </w:num>
  <w:num w:numId="22">
    <w:abstractNumId w:val="25"/>
  </w:num>
  <w:num w:numId="23">
    <w:abstractNumId w:val="18"/>
  </w:num>
  <w:num w:numId="24">
    <w:abstractNumId w:val="17"/>
  </w:num>
  <w:num w:numId="25">
    <w:abstractNumId w:val="5"/>
  </w:num>
  <w:num w:numId="26">
    <w:abstractNumId w:val="27"/>
  </w:num>
  <w:num w:numId="27">
    <w:abstractNumId w:val="22"/>
  </w:num>
  <w:num w:numId="28">
    <w:abstractNumId w:val="28"/>
  </w:num>
  <w:num w:numId="29">
    <w:abstractNumId w:val="2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 Cop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wzzzxr91fdteke2p0tp59ejvve00s0edp09&quot;&gt;ACV&lt;record-ids&gt;&lt;item&gt;2&lt;/item&gt;&lt;item&gt;7&lt;/item&gt;&lt;item&gt;8&lt;/item&gt;&lt;item&gt;9&lt;/item&gt;&lt;item&gt;17&lt;/item&gt;&lt;item&gt;18&lt;/item&gt;&lt;item&gt;20&lt;/item&gt;&lt;item&gt;21&lt;/item&gt;&lt;item&gt;22&lt;/item&gt;&lt;item&gt;23&lt;/item&gt;&lt;item&gt;24&lt;/item&gt;&lt;item&gt;25&lt;/item&gt;&lt;item&gt;27&lt;/item&gt;&lt;item&gt;29&lt;/item&gt;&lt;item&gt;30&lt;/item&gt;&lt;item&gt;31&lt;/item&gt;&lt;item&gt;32&lt;/item&gt;&lt;item&gt;34&lt;/item&gt;&lt;item&gt;36&lt;/item&gt;&lt;item&gt;42&lt;/item&gt;&lt;item&gt;43&lt;/item&gt;&lt;item&gt;44&lt;/item&gt;&lt;item&gt;45&lt;/item&gt;&lt;item&gt;47&lt;/item&gt;&lt;item&gt;48&lt;/item&gt;&lt;item&gt;49&lt;/item&gt;&lt;/record-ids&gt;&lt;/item&gt;&lt;/Libraries&gt;"/>
  </w:docVars>
  <w:rsids>
    <w:rsidRoot w:val="000377DA"/>
    <w:rsid w:val="00005659"/>
    <w:rsid w:val="00013CF7"/>
    <w:rsid w:val="00022113"/>
    <w:rsid w:val="00024F25"/>
    <w:rsid w:val="00030230"/>
    <w:rsid w:val="0003469E"/>
    <w:rsid w:val="000377DA"/>
    <w:rsid w:val="000464C3"/>
    <w:rsid w:val="000554B9"/>
    <w:rsid w:val="00055C71"/>
    <w:rsid w:val="0005610C"/>
    <w:rsid w:val="000562E1"/>
    <w:rsid w:val="00060CEB"/>
    <w:rsid w:val="00067688"/>
    <w:rsid w:val="00075627"/>
    <w:rsid w:val="00077E11"/>
    <w:rsid w:val="00082EBC"/>
    <w:rsid w:val="00097018"/>
    <w:rsid w:val="00097BAC"/>
    <w:rsid w:val="000A0437"/>
    <w:rsid w:val="000A243A"/>
    <w:rsid w:val="000A3D7B"/>
    <w:rsid w:val="000A6F05"/>
    <w:rsid w:val="000B1E8D"/>
    <w:rsid w:val="000B3F06"/>
    <w:rsid w:val="000C0DC9"/>
    <w:rsid w:val="000C5BE9"/>
    <w:rsid w:val="000C72B7"/>
    <w:rsid w:val="000D34EA"/>
    <w:rsid w:val="000D37D5"/>
    <w:rsid w:val="000D6B87"/>
    <w:rsid w:val="000E0F0F"/>
    <w:rsid w:val="000E28AD"/>
    <w:rsid w:val="000F0E46"/>
    <w:rsid w:val="000F1961"/>
    <w:rsid w:val="000F2368"/>
    <w:rsid w:val="000F2425"/>
    <w:rsid w:val="000F5712"/>
    <w:rsid w:val="000F5E8B"/>
    <w:rsid w:val="000F710D"/>
    <w:rsid w:val="001003E9"/>
    <w:rsid w:val="0010233E"/>
    <w:rsid w:val="0010482E"/>
    <w:rsid w:val="00107D91"/>
    <w:rsid w:val="00120D61"/>
    <w:rsid w:val="00122EB5"/>
    <w:rsid w:val="00125BE8"/>
    <w:rsid w:val="0013141F"/>
    <w:rsid w:val="001355DC"/>
    <w:rsid w:val="00140BD2"/>
    <w:rsid w:val="001428FE"/>
    <w:rsid w:val="001448F6"/>
    <w:rsid w:val="001459E1"/>
    <w:rsid w:val="00146842"/>
    <w:rsid w:val="00160278"/>
    <w:rsid w:val="00165090"/>
    <w:rsid w:val="00167B51"/>
    <w:rsid w:val="001764A0"/>
    <w:rsid w:val="00177A64"/>
    <w:rsid w:val="001862D5"/>
    <w:rsid w:val="00192A5F"/>
    <w:rsid w:val="00195F56"/>
    <w:rsid w:val="00197EF8"/>
    <w:rsid w:val="001A081C"/>
    <w:rsid w:val="001A149A"/>
    <w:rsid w:val="001A1E76"/>
    <w:rsid w:val="001A27BC"/>
    <w:rsid w:val="001A4A05"/>
    <w:rsid w:val="001A4A0A"/>
    <w:rsid w:val="001A6B40"/>
    <w:rsid w:val="001A6C39"/>
    <w:rsid w:val="001A74D0"/>
    <w:rsid w:val="001B17E6"/>
    <w:rsid w:val="001B411D"/>
    <w:rsid w:val="001B563C"/>
    <w:rsid w:val="001B5798"/>
    <w:rsid w:val="001B587F"/>
    <w:rsid w:val="001C11C5"/>
    <w:rsid w:val="001D0BB0"/>
    <w:rsid w:val="001E03FA"/>
    <w:rsid w:val="001E1B89"/>
    <w:rsid w:val="001E335B"/>
    <w:rsid w:val="001E4C2E"/>
    <w:rsid w:val="001E6805"/>
    <w:rsid w:val="001F0F2E"/>
    <w:rsid w:val="001F1ED0"/>
    <w:rsid w:val="001F32A6"/>
    <w:rsid w:val="001F4A59"/>
    <w:rsid w:val="001F5626"/>
    <w:rsid w:val="001F7340"/>
    <w:rsid w:val="00200BDB"/>
    <w:rsid w:val="00202BE3"/>
    <w:rsid w:val="0021007C"/>
    <w:rsid w:val="002134E7"/>
    <w:rsid w:val="002166ED"/>
    <w:rsid w:val="00223DD6"/>
    <w:rsid w:val="0022531F"/>
    <w:rsid w:val="00230B97"/>
    <w:rsid w:val="00233072"/>
    <w:rsid w:val="00235922"/>
    <w:rsid w:val="0023786C"/>
    <w:rsid w:val="002419DB"/>
    <w:rsid w:val="00245005"/>
    <w:rsid w:val="00250D84"/>
    <w:rsid w:val="00251325"/>
    <w:rsid w:val="00253A97"/>
    <w:rsid w:val="00255188"/>
    <w:rsid w:val="002559B0"/>
    <w:rsid w:val="00261997"/>
    <w:rsid w:val="00262109"/>
    <w:rsid w:val="00265A63"/>
    <w:rsid w:val="00267086"/>
    <w:rsid w:val="002733FF"/>
    <w:rsid w:val="002741D9"/>
    <w:rsid w:val="00282991"/>
    <w:rsid w:val="00284C19"/>
    <w:rsid w:val="0029073B"/>
    <w:rsid w:val="0029103C"/>
    <w:rsid w:val="002A6628"/>
    <w:rsid w:val="002B10C2"/>
    <w:rsid w:val="002C0022"/>
    <w:rsid w:val="002C1E48"/>
    <w:rsid w:val="002C212E"/>
    <w:rsid w:val="002D0AC2"/>
    <w:rsid w:val="002D246C"/>
    <w:rsid w:val="002E0FB8"/>
    <w:rsid w:val="002E36FB"/>
    <w:rsid w:val="002E4EF3"/>
    <w:rsid w:val="002E5A03"/>
    <w:rsid w:val="002E6031"/>
    <w:rsid w:val="002F2DAD"/>
    <w:rsid w:val="003017EC"/>
    <w:rsid w:val="0031606E"/>
    <w:rsid w:val="00317E5A"/>
    <w:rsid w:val="00320EC2"/>
    <w:rsid w:val="00321EF9"/>
    <w:rsid w:val="003270AE"/>
    <w:rsid w:val="00331EBB"/>
    <w:rsid w:val="00332AED"/>
    <w:rsid w:val="0033355F"/>
    <w:rsid w:val="00333C7B"/>
    <w:rsid w:val="00340ED2"/>
    <w:rsid w:val="00341052"/>
    <w:rsid w:val="00345DE8"/>
    <w:rsid w:val="00346FA3"/>
    <w:rsid w:val="00347473"/>
    <w:rsid w:val="00347897"/>
    <w:rsid w:val="00350199"/>
    <w:rsid w:val="0035034C"/>
    <w:rsid w:val="00351F58"/>
    <w:rsid w:val="00353470"/>
    <w:rsid w:val="00353E21"/>
    <w:rsid w:val="00356210"/>
    <w:rsid w:val="00364818"/>
    <w:rsid w:val="00367D28"/>
    <w:rsid w:val="00371F4E"/>
    <w:rsid w:val="003750D8"/>
    <w:rsid w:val="00384377"/>
    <w:rsid w:val="003849E3"/>
    <w:rsid w:val="003908B5"/>
    <w:rsid w:val="00390AD0"/>
    <w:rsid w:val="00396361"/>
    <w:rsid w:val="003A6421"/>
    <w:rsid w:val="003B66E0"/>
    <w:rsid w:val="003B787D"/>
    <w:rsid w:val="003C0019"/>
    <w:rsid w:val="003C1007"/>
    <w:rsid w:val="003C1C1D"/>
    <w:rsid w:val="003C6611"/>
    <w:rsid w:val="003D6063"/>
    <w:rsid w:val="003D7732"/>
    <w:rsid w:val="003E0A77"/>
    <w:rsid w:val="003E2C87"/>
    <w:rsid w:val="003E5CA2"/>
    <w:rsid w:val="003E6E25"/>
    <w:rsid w:val="003F0368"/>
    <w:rsid w:val="003F6D13"/>
    <w:rsid w:val="0040262B"/>
    <w:rsid w:val="00403F6A"/>
    <w:rsid w:val="00405CC8"/>
    <w:rsid w:val="00406EEE"/>
    <w:rsid w:val="00407317"/>
    <w:rsid w:val="00410269"/>
    <w:rsid w:val="00415282"/>
    <w:rsid w:val="00417046"/>
    <w:rsid w:val="004278BE"/>
    <w:rsid w:val="004309CF"/>
    <w:rsid w:val="00431342"/>
    <w:rsid w:val="004324B6"/>
    <w:rsid w:val="0043327B"/>
    <w:rsid w:val="00433893"/>
    <w:rsid w:val="00441B3E"/>
    <w:rsid w:val="0044206C"/>
    <w:rsid w:val="004421A2"/>
    <w:rsid w:val="0044410D"/>
    <w:rsid w:val="00444BBE"/>
    <w:rsid w:val="00447328"/>
    <w:rsid w:val="00452AD4"/>
    <w:rsid w:val="00454BC6"/>
    <w:rsid w:val="00455CDE"/>
    <w:rsid w:val="00457E3B"/>
    <w:rsid w:val="00460949"/>
    <w:rsid w:val="00461AFB"/>
    <w:rsid w:val="00461C79"/>
    <w:rsid w:val="0046728E"/>
    <w:rsid w:val="00470D13"/>
    <w:rsid w:val="00472014"/>
    <w:rsid w:val="004728D7"/>
    <w:rsid w:val="004847EF"/>
    <w:rsid w:val="00487DD4"/>
    <w:rsid w:val="00490D10"/>
    <w:rsid w:val="004A24F2"/>
    <w:rsid w:val="004B003D"/>
    <w:rsid w:val="004B0AC9"/>
    <w:rsid w:val="004B3008"/>
    <w:rsid w:val="004C0601"/>
    <w:rsid w:val="004C1E60"/>
    <w:rsid w:val="004C510F"/>
    <w:rsid w:val="004C73AB"/>
    <w:rsid w:val="004D1042"/>
    <w:rsid w:val="004D31D7"/>
    <w:rsid w:val="004D6B7D"/>
    <w:rsid w:val="004E236A"/>
    <w:rsid w:val="004E24F9"/>
    <w:rsid w:val="004E53EC"/>
    <w:rsid w:val="004E6614"/>
    <w:rsid w:val="004E7052"/>
    <w:rsid w:val="004F24E4"/>
    <w:rsid w:val="004F64E8"/>
    <w:rsid w:val="00505F44"/>
    <w:rsid w:val="0050667C"/>
    <w:rsid w:val="00506A82"/>
    <w:rsid w:val="005077A9"/>
    <w:rsid w:val="00514676"/>
    <w:rsid w:val="0051658E"/>
    <w:rsid w:val="00517F39"/>
    <w:rsid w:val="0052048E"/>
    <w:rsid w:val="00520B9E"/>
    <w:rsid w:val="00522E0E"/>
    <w:rsid w:val="0052376A"/>
    <w:rsid w:val="00523B75"/>
    <w:rsid w:val="00524AC1"/>
    <w:rsid w:val="00530E09"/>
    <w:rsid w:val="00535635"/>
    <w:rsid w:val="0053570B"/>
    <w:rsid w:val="00537452"/>
    <w:rsid w:val="00541E6F"/>
    <w:rsid w:val="005434D1"/>
    <w:rsid w:val="00552C77"/>
    <w:rsid w:val="0055460C"/>
    <w:rsid w:val="00555622"/>
    <w:rsid w:val="00562514"/>
    <w:rsid w:val="00572C9A"/>
    <w:rsid w:val="0057520E"/>
    <w:rsid w:val="00581DFE"/>
    <w:rsid w:val="00583D84"/>
    <w:rsid w:val="00584C25"/>
    <w:rsid w:val="00585663"/>
    <w:rsid w:val="00590E42"/>
    <w:rsid w:val="005A062A"/>
    <w:rsid w:val="005A35DB"/>
    <w:rsid w:val="005A556E"/>
    <w:rsid w:val="005B62AF"/>
    <w:rsid w:val="005B72CC"/>
    <w:rsid w:val="005C0337"/>
    <w:rsid w:val="005C081C"/>
    <w:rsid w:val="005C4D16"/>
    <w:rsid w:val="005C669D"/>
    <w:rsid w:val="005D02AE"/>
    <w:rsid w:val="005D061B"/>
    <w:rsid w:val="005D273B"/>
    <w:rsid w:val="005E1255"/>
    <w:rsid w:val="005E7AAF"/>
    <w:rsid w:val="005F0892"/>
    <w:rsid w:val="005F7F12"/>
    <w:rsid w:val="00603264"/>
    <w:rsid w:val="00613344"/>
    <w:rsid w:val="00616EAF"/>
    <w:rsid w:val="00622F53"/>
    <w:rsid w:val="00626460"/>
    <w:rsid w:val="006271FA"/>
    <w:rsid w:val="0065385F"/>
    <w:rsid w:val="006577BA"/>
    <w:rsid w:val="006577FA"/>
    <w:rsid w:val="00663488"/>
    <w:rsid w:val="006645A6"/>
    <w:rsid w:val="00664A63"/>
    <w:rsid w:val="00666142"/>
    <w:rsid w:val="00666346"/>
    <w:rsid w:val="006753DE"/>
    <w:rsid w:val="006757BE"/>
    <w:rsid w:val="00676DF4"/>
    <w:rsid w:val="00682A78"/>
    <w:rsid w:val="00683AC2"/>
    <w:rsid w:val="00684AF4"/>
    <w:rsid w:val="00685F7A"/>
    <w:rsid w:val="00686F8B"/>
    <w:rsid w:val="006902BC"/>
    <w:rsid w:val="00690F48"/>
    <w:rsid w:val="0069266C"/>
    <w:rsid w:val="006937A0"/>
    <w:rsid w:val="00693E9A"/>
    <w:rsid w:val="00695E13"/>
    <w:rsid w:val="006A5778"/>
    <w:rsid w:val="006C1C61"/>
    <w:rsid w:val="006C6C2C"/>
    <w:rsid w:val="006D0B99"/>
    <w:rsid w:val="006D13FC"/>
    <w:rsid w:val="006D32DC"/>
    <w:rsid w:val="006D4A61"/>
    <w:rsid w:val="006D5196"/>
    <w:rsid w:val="006D7A8B"/>
    <w:rsid w:val="006E0549"/>
    <w:rsid w:val="006E32F1"/>
    <w:rsid w:val="006E4541"/>
    <w:rsid w:val="006E6A57"/>
    <w:rsid w:val="006E7A50"/>
    <w:rsid w:val="006F40CE"/>
    <w:rsid w:val="006F5DBE"/>
    <w:rsid w:val="00702970"/>
    <w:rsid w:val="00714224"/>
    <w:rsid w:val="00714AE1"/>
    <w:rsid w:val="00714CEF"/>
    <w:rsid w:val="00722DF6"/>
    <w:rsid w:val="00726F1C"/>
    <w:rsid w:val="00730763"/>
    <w:rsid w:val="00733B64"/>
    <w:rsid w:val="00737CD9"/>
    <w:rsid w:val="00741154"/>
    <w:rsid w:val="00745627"/>
    <w:rsid w:val="00747A5D"/>
    <w:rsid w:val="00750B15"/>
    <w:rsid w:val="00750E5B"/>
    <w:rsid w:val="00751E27"/>
    <w:rsid w:val="007543F1"/>
    <w:rsid w:val="00756C2A"/>
    <w:rsid w:val="007614D8"/>
    <w:rsid w:val="00762BBC"/>
    <w:rsid w:val="007662A0"/>
    <w:rsid w:val="00771FB9"/>
    <w:rsid w:val="00773F92"/>
    <w:rsid w:val="0077401B"/>
    <w:rsid w:val="00776502"/>
    <w:rsid w:val="00776618"/>
    <w:rsid w:val="007816FB"/>
    <w:rsid w:val="00782404"/>
    <w:rsid w:val="0078424F"/>
    <w:rsid w:val="0079172B"/>
    <w:rsid w:val="00793582"/>
    <w:rsid w:val="007963B0"/>
    <w:rsid w:val="007A0D02"/>
    <w:rsid w:val="007A2A2A"/>
    <w:rsid w:val="007A623C"/>
    <w:rsid w:val="007B43E2"/>
    <w:rsid w:val="007C20DF"/>
    <w:rsid w:val="007C2E50"/>
    <w:rsid w:val="007C3617"/>
    <w:rsid w:val="007C681F"/>
    <w:rsid w:val="007D356A"/>
    <w:rsid w:val="007D3926"/>
    <w:rsid w:val="007D4CA6"/>
    <w:rsid w:val="007D77CB"/>
    <w:rsid w:val="007E588B"/>
    <w:rsid w:val="007E74B6"/>
    <w:rsid w:val="007F0D49"/>
    <w:rsid w:val="007F1D97"/>
    <w:rsid w:val="007F3724"/>
    <w:rsid w:val="007F3DA4"/>
    <w:rsid w:val="007F5202"/>
    <w:rsid w:val="00805DD5"/>
    <w:rsid w:val="008114DB"/>
    <w:rsid w:val="00811C52"/>
    <w:rsid w:val="0081244F"/>
    <w:rsid w:val="0081280A"/>
    <w:rsid w:val="00814DDC"/>
    <w:rsid w:val="008152BD"/>
    <w:rsid w:val="00820362"/>
    <w:rsid w:val="0082614A"/>
    <w:rsid w:val="00827035"/>
    <w:rsid w:val="008315CD"/>
    <w:rsid w:val="0083298E"/>
    <w:rsid w:val="00832EEF"/>
    <w:rsid w:val="008339E7"/>
    <w:rsid w:val="0083402A"/>
    <w:rsid w:val="00834A9A"/>
    <w:rsid w:val="00841FD6"/>
    <w:rsid w:val="00842233"/>
    <w:rsid w:val="00845BA3"/>
    <w:rsid w:val="00845ECD"/>
    <w:rsid w:val="00852E2D"/>
    <w:rsid w:val="00854991"/>
    <w:rsid w:val="00854F4A"/>
    <w:rsid w:val="00860847"/>
    <w:rsid w:val="00873AE1"/>
    <w:rsid w:val="00876CDF"/>
    <w:rsid w:val="00876FC5"/>
    <w:rsid w:val="00880853"/>
    <w:rsid w:val="00883074"/>
    <w:rsid w:val="00883743"/>
    <w:rsid w:val="00887F7A"/>
    <w:rsid w:val="00893FF6"/>
    <w:rsid w:val="008A15DA"/>
    <w:rsid w:val="008A4804"/>
    <w:rsid w:val="008B113A"/>
    <w:rsid w:val="008C2162"/>
    <w:rsid w:val="008C4012"/>
    <w:rsid w:val="008C5CC1"/>
    <w:rsid w:val="008D2C26"/>
    <w:rsid w:val="008D47E8"/>
    <w:rsid w:val="008D52AD"/>
    <w:rsid w:val="008D66F7"/>
    <w:rsid w:val="008E5122"/>
    <w:rsid w:val="008E7008"/>
    <w:rsid w:val="008F2D32"/>
    <w:rsid w:val="008F338F"/>
    <w:rsid w:val="008F452E"/>
    <w:rsid w:val="008F77AB"/>
    <w:rsid w:val="009005A8"/>
    <w:rsid w:val="0090310D"/>
    <w:rsid w:val="009056F9"/>
    <w:rsid w:val="009145F9"/>
    <w:rsid w:val="0092106F"/>
    <w:rsid w:val="00923730"/>
    <w:rsid w:val="00924655"/>
    <w:rsid w:val="00925F0B"/>
    <w:rsid w:val="00927E40"/>
    <w:rsid w:val="0093058D"/>
    <w:rsid w:val="00933651"/>
    <w:rsid w:val="00934D98"/>
    <w:rsid w:val="00935F64"/>
    <w:rsid w:val="00936C93"/>
    <w:rsid w:val="0094240C"/>
    <w:rsid w:val="009443A9"/>
    <w:rsid w:val="00944E57"/>
    <w:rsid w:val="0094526C"/>
    <w:rsid w:val="009471A1"/>
    <w:rsid w:val="0094760D"/>
    <w:rsid w:val="00952F69"/>
    <w:rsid w:val="00957C8F"/>
    <w:rsid w:val="009611D5"/>
    <w:rsid w:val="009611DB"/>
    <w:rsid w:val="00964738"/>
    <w:rsid w:val="00964879"/>
    <w:rsid w:val="009668EB"/>
    <w:rsid w:val="00974105"/>
    <w:rsid w:val="00980054"/>
    <w:rsid w:val="0098381E"/>
    <w:rsid w:val="00983D15"/>
    <w:rsid w:val="00987245"/>
    <w:rsid w:val="00987D81"/>
    <w:rsid w:val="00990479"/>
    <w:rsid w:val="00991E6F"/>
    <w:rsid w:val="0099462F"/>
    <w:rsid w:val="00997428"/>
    <w:rsid w:val="009A2B3A"/>
    <w:rsid w:val="009A6911"/>
    <w:rsid w:val="009B42F3"/>
    <w:rsid w:val="009B77E2"/>
    <w:rsid w:val="009D5C24"/>
    <w:rsid w:val="009D783E"/>
    <w:rsid w:val="009E110B"/>
    <w:rsid w:val="009E1504"/>
    <w:rsid w:val="009E5D4A"/>
    <w:rsid w:val="009F2EB3"/>
    <w:rsid w:val="009F3771"/>
    <w:rsid w:val="009F666D"/>
    <w:rsid w:val="00A020A3"/>
    <w:rsid w:val="00A02AE8"/>
    <w:rsid w:val="00A02FE5"/>
    <w:rsid w:val="00A0377D"/>
    <w:rsid w:val="00A03A5D"/>
    <w:rsid w:val="00A06024"/>
    <w:rsid w:val="00A117AA"/>
    <w:rsid w:val="00A20982"/>
    <w:rsid w:val="00A224E7"/>
    <w:rsid w:val="00A251E5"/>
    <w:rsid w:val="00A26972"/>
    <w:rsid w:val="00A275D7"/>
    <w:rsid w:val="00A32161"/>
    <w:rsid w:val="00A322F8"/>
    <w:rsid w:val="00A418DE"/>
    <w:rsid w:val="00A44791"/>
    <w:rsid w:val="00A50287"/>
    <w:rsid w:val="00A50F89"/>
    <w:rsid w:val="00A55885"/>
    <w:rsid w:val="00A57DAE"/>
    <w:rsid w:val="00A60779"/>
    <w:rsid w:val="00A63937"/>
    <w:rsid w:val="00A665EC"/>
    <w:rsid w:val="00A85B3B"/>
    <w:rsid w:val="00A86E20"/>
    <w:rsid w:val="00A87F9F"/>
    <w:rsid w:val="00A90090"/>
    <w:rsid w:val="00A92D3C"/>
    <w:rsid w:val="00A93AB3"/>
    <w:rsid w:val="00A95419"/>
    <w:rsid w:val="00A9597F"/>
    <w:rsid w:val="00A9692D"/>
    <w:rsid w:val="00A97FA6"/>
    <w:rsid w:val="00AA6798"/>
    <w:rsid w:val="00AA6B14"/>
    <w:rsid w:val="00AB13AE"/>
    <w:rsid w:val="00AB3439"/>
    <w:rsid w:val="00AB43C9"/>
    <w:rsid w:val="00AB7855"/>
    <w:rsid w:val="00AB7970"/>
    <w:rsid w:val="00AC02BA"/>
    <w:rsid w:val="00AC0AB6"/>
    <w:rsid w:val="00AC5B28"/>
    <w:rsid w:val="00AD1F72"/>
    <w:rsid w:val="00AD7185"/>
    <w:rsid w:val="00AE0DFC"/>
    <w:rsid w:val="00AE35E5"/>
    <w:rsid w:val="00AF0567"/>
    <w:rsid w:val="00AF1583"/>
    <w:rsid w:val="00AF2CEA"/>
    <w:rsid w:val="00AF64EB"/>
    <w:rsid w:val="00AF7269"/>
    <w:rsid w:val="00B0115F"/>
    <w:rsid w:val="00B03ACE"/>
    <w:rsid w:val="00B040A2"/>
    <w:rsid w:val="00B046FD"/>
    <w:rsid w:val="00B10757"/>
    <w:rsid w:val="00B107CD"/>
    <w:rsid w:val="00B10E0A"/>
    <w:rsid w:val="00B11535"/>
    <w:rsid w:val="00B11BD5"/>
    <w:rsid w:val="00B1297C"/>
    <w:rsid w:val="00B12D0F"/>
    <w:rsid w:val="00B17D7E"/>
    <w:rsid w:val="00B3545C"/>
    <w:rsid w:val="00B3572F"/>
    <w:rsid w:val="00B359E8"/>
    <w:rsid w:val="00B3604E"/>
    <w:rsid w:val="00B363E8"/>
    <w:rsid w:val="00B3718F"/>
    <w:rsid w:val="00B401DA"/>
    <w:rsid w:val="00B40454"/>
    <w:rsid w:val="00B44C45"/>
    <w:rsid w:val="00B5026D"/>
    <w:rsid w:val="00B5401F"/>
    <w:rsid w:val="00B54028"/>
    <w:rsid w:val="00B550A4"/>
    <w:rsid w:val="00B648C8"/>
    <w:rsid w:val="00B67151"/>
    <w:rsid w:val="00B73131"/>
    <w:rsid w:val="00B74E46"/>
    <w:rsid w:val="00B75034"/>
    <w:rsid w:val="00B77A6B"/>
    <w:rsid w:val="00B84C08"/>
    <w:rsid w:val="00B87EFB"/>
    <w:rsid w:val="00B92AE2"/>
    <w:rsid w:val="00B934BA"/>
    <w:rsid w:val="00B9464A"/>
    <w:rsid w:val="00BA07EE"/>
    <w:rsid w:val="00BB2FB3"/>
    <w:rsid w:val="00BB588F"/>
    <w:rsid w:val="00BC0B48"/>
    <w:rsid w:val="00BC10E9"/>
    <w:rsid w:val="00BC132C"/>
    <w:rsid w:val="00BC5532"/>
    <w:rsid w:val="00BC722C"/>
    <w:rsid w:val="00BC7934"/>
    <w:rsid w:val="00BD2675"/>
    <w:rsid w:val="00BF7CE3"/>
    <w:rsid w:val="00C01E24"/>
    <w:rsid w:val="00C0344D"/>
    <w:rsid w:val="00C0586B"/>
    <w:rsid w:val="00C06195"/>
    <w:rsid w:val="00C10BAA"/>
    <w:rsid w:val="00C1167E"/>
    <w:rsid w:val="00C15574"/>
    <w:rsid w:val="00C21924"/>
    <w:rsid w:val="00C224A4"/>
    <w:rsid w:val="00C244D0"/>
    <w:rsid w:val="00C25668"/>
    <w:rsid w:val="00C30849"/>
    <w:rsid w:val="00C340ED"/>
    <w:rsid w:val="00C40773"/>
    <w:rsid w:val="00C57478"/>
    <w:rsid w:val="00C65EBC"/>
    <w:rsid w:val="00C672EE"/>
    <w:rsid w:val="00C67559"/>
    <w:rsid w:val="00C67625"/>
    <w:rsid w:val="00C7206C"/>
    <w:rsid w:val="00C84C45"/>
    <w:rsid w:val="00C9186D"/>
    <w:rsid w:val="00C94AC0"/>
    <w:rsid w:val="00C96604"/>
    <w:rsid w:val="00CA0039"/>
    <w:rsid w:val="00CA14D4"/>
    <w:rsid w:val="00CA396D"/>
    <w:rsid w:val="00CA64F0"/>
    <w:rsid w:val="00CC24EB"/>
    <w:rsid w:val="00CC3175"/>
    <w:rsid w:val="00CC4B50"/>
    <w:rsid w:val="00CC6E29"/>
    <w:rsid w:val="00CD6BD0"/>
    <w:rsid w:val="00CD7593"/>
    <w:rsid w:val="00CE0B1C"/>
    <w:rsid w:val="00CE1DD7"/>
    <w:rsid w:val="00CE5DAB"/>
    <w:rsid w:val="00CE72B7"/>
    <w:rsid w:val="00CE7CD0"/>
    <w:rsid w:val="00CF4F94"/>
    <w:rsid w:val="00CF7116"/>
    <w:rsid w:val="00D0156B"/>
    <w:rsid w:val="00D121C7"/>
    <w:rsid w:val="00D1620D"/>
    <w:rsid w:val="00D17386"/>
    <w:rsid w:val="00D23F1B"/>
    <w:rsid w:val="00D240A7"/>
    <w:rsid w:val="00D27FF9"/>
    <w:rsid w:val="00D310D6"/>
    <w:rsid w:val="00D328D0"/>
    <w:rsid w:val="00D33768"/>
    <w:rsid w:val="00D3440A"/>
    <w:rsid w:val="00D373D5"/>
    <w:rsid w:val="00D4141C"/>
    <w:rsid w:val="00D423FD"/>
    <w:rsid w:val="00D47B61"/>
    <w:rsid w:val="00D47ECC"/>
    <w:rsid w:val="00D5244E"/>
    <w:rsid w:val="00D52D7C"/>
    <w:rsid w:val="00D55417"/>
    <w:rsid w:val="00D562CA"/>
    <w:rsid w:val="00D60E84"/>
    <w:rsid w:val="00D6229A"/>
    <w:rsid w:val="00D62AF6"/>
    <w:rsid w:val="00D63E45"/>
    <w:rsid w:val="00D65EE7"/>
    <w:rsid w:val="00D7628A"/>
    <w:rsid w:val="00D80707"/>
    <w:rsid w:val="00D80E90"/>
    <w:rsid w:val="00D831A0"/>
    <w:rsid w:val="00D86CA6"/>
    <w:rsid w:val="00DA29F4"/>
    <w:rsid w:val="00DA391F"/>
    <w:rsid w:val="00DA4800"/>
    <w:rsid w:val="00DA691D"/>
    <w:rsid w:val="00DB2896"/>
    <w:rsid w:val="00DB4271"/>
    <w:rsid w:val="00DB4CCE"/>
    <w:rsid w:val="00DB4F5E"/>
    <w:rsid w:val="00DB7089"/>
    <w:rsid w:val="00DC1D7D"/>
    <w:rsid w:val="00DC4945"/>
    <w:rsid w:val="00DC6861"/>
    <w:rsid w:val="00DC6B20"/>
    <w:rsid w:val="00DD1F7B"/>
    <w:rsid w:val="00DD600E"/>
    <w:rsid w:val="00DE3019"/>
    <w:rsid w:val="00DF1E98"/>
    <w:rsid w:val="00DF3A62"/>
    <w:rsid w:val="00DF4916"/>
    <w:rsid w:val="00DF4E19"/>
    <w:rsid w:val="00DF5A70"/>
    <w:rsid w:val="00DF6A03"/>
    <w:rsid w:val="00E00402"/>
    <w:rsid w:val="00E00D58"/>
    <w:rsid w:val="00E20FE2"/>
    <w:rsid w:val="00E21ACF"/>
    <w:rsid w:val="00E302D4"/>
    <w:rsid w:val="00E30508"/>
    <w:rsid w:val="00E33698"/>
    <w:rsid w:val="00E365BC"/>
    <w:rsid w:val="00E46309"/>
    <w:rsid w:val="00E601E9"/>
    <w:rsid w:val="00E62009"/>
    <w:rsid w:val="00E64794"/>
    <w:rsid w:val="00E6608E"/>
    <w:rsid w:val="00E730DB"/>
    <w:rsid w:val="00E7766F"/>
    <w:rsid w:val="00E81C86"/>
    <w:rsid w:val="00E84762"/>
    <w:rsid w:val="00E84C3B"/>
    <w:rsid w:val="00E91844"/>
    <w:rsid w:val="00E92B9D"/>
    <w:rsid w:val="00E93E2B"/>
    <w:rsid w:val="00E94C9F"/>
    <w:rsid w:val="00E96E21"/>
    <w:rsid w:val="00E97024"/>
    <w:rsid w:val="00EA365B"/>
    <w:rsid w:val="00EA6F97"/>
    <w:rsid w:val="00EB03F2"/>
    <w:rsid w:val="00EB0D4E"/>
    <w:rsid w:val="00EB1FB1"/>
    <w:rsid w:val="00EB460A"/>
    <w:rsid w:val="00EB78F3"/>
    <w:rsid w:val="00EC2FED"/>
    <w:rsid w:val="00EC7EDB"/>
    <w:rsid w:val="00ED5E1F"/>
    <w:rsid w:val="00ED741D"/>
    <w:rsid w:val="00EE00E0"/>
    <w:rsid w:val="00EE2623"/>
    <w:rsid w:val="00EE4C10"/>
    <w:rsid w:val="00EE5BF7"/>
    <w:rsid w:val="00EF50E1"/>
    <w:rsid w:val="00EF5B4C"/>
    <w:rsid w:val="00EF5FC0"/>
    <w:rsid w:val="00F032AE"/>
    <w:rsid w:val="00F05923"/>
    <w:rsid w:val="00F21ABE"/>
    <w:rsid w:val="00F23054"/>
    <w:rsid w:val="00F23627"/>
    <w:rsid w:val="00F25395"/>
    <w:rsid w:val="00F26683"/>
    <w:rsid w:val="00F330E3"/>
    <w:rsid w:val="00F34967"/>
    <w:rsid w:val="00F414A4"/>
    <w:rsid w:val="00F42C16"/>
    <w:rsid w:val="00F43A8E"/>
    <w:rsid w:val="00F51510"/>
    <w:rsid w:val="00F5729D"/>
    <w:rsid w:val="00F60451"/>
    <w:rsid w:val="00F62B55"/>
    <w:rsid w:val="00F655F2"/>
    <w:rsid w:val="00F678E5"/>
    <w:rsid w:val="00F750C4"/>
    <w:rsid w:val="00F814B4"/>
    <w:rsid w:val="00F847B4"/>
    <w:rsid w:val="00F84E35"/>
    <w:rsid w:val="00F8582E"/>
    <w:rsid w:val="00F86596"/>
    <w:rsid w:val="00F8684F"/>
    <w:rsid w:val="00F900B4"/>
    <w:rsid w:val="00F9444C"/>
    <w:rsid w:val="00FA3509"/>
    <w:rsid w:val="00FA4DD0"/>
    <w:rsid w:val="00FA6A63"/>
    <w:rsid w:val="00FB02F8"/>
    <w:rsid w:val="00FB2707"/>
    <w:rsid w:val="00FB2EBD"/>
    <w:rsid w:val="00FB60CA"/>
    <w:rsid w:val="00FB690E"/>
    <w:rsid w:val="00FC47BF"/>
    <w:rsid w:val="00FD20D7"/>
    <w:rsid w:val="00FD46D6"/>
    <w:rsid w:val="00FD5316"/>
    <w:rsid w:val="00FD68DA"/>
    <w:rsid w:val="00FE0EA0"/>
    <w:rsid w:val="00FE10CF"/>
    <w:rsid w:val="00FE1414"/>
    <w:rsid w:val="00FE3D1D"/>
    <w:rsid w:val="00FE4187"/>
    <w:rsid w:val="00FF2AA6"/>
    <w:rsid w:val="00FF3C1D"/>
    <w:rsid w:val="00FF47B0"/>
    <w:rsid w:val="00FF4ACC"/>
    <w:rsid w:val="00FF4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7DA"/>
    <w:rPr>
      <w:rFonts w:eastAsia="Times New Roman"/>
      <w:bCs/>
      <w:sz w:val="24"/>
      <w:szCs w:val="24"/>
    </w:rPr>
  </w:style>
  <w:style w:type="paragraph" w:styleId="Heading1">
    <w:name w:val="heading 1"/>
    <w:basedOn w:val="Normal"/>
    <w:next w:val="Normal"/>
    <w:autoRedefine/>
    <w:qFormat/>
    <w:rsid w:val="005A556E"/>
    <w:pPr>
      <w:keepNext/>
      <w:numPr>
        <w:numId w:val="2"/>
      </w:numPr>
      <w:spacing w:before="240" w:after="60"/>
      <w:outlineLvl w:val="0"/>
    </w:pPr>
    <w:rPr>
      <w:rFonts w:cs="Arial"/>
      <w:b/>
      <w:bCs w:val="0"/>
      <w:caps/>
      <w:kern w:val="32"/>
      <w:sz w:val="28"/>
      <w:szCs w:val="32"/>
    </w:rPr>
  </w:style>
  <w:style w:type="paragraph" w:styleId="Heading3">
    <w:name w:val="heading 3"/>
    <w:basedOn w:val="Normal"/>
    <w:next w:val="Normal"/>
    <w:autoRedefine/>
    <w:qFormat/>
    <w:rsid w:val="00454BC6"/>
    <w:pPr>
      <w:keepNext/>
      <w:numPr>
        <w:ilvl w:val="2"/>
        <w:numId w:val="2"/>
      </w:numPr>
      <w:spacing w:before="240" w:after="60"/>
      <w:outlineLvl w:val="2"/>
    </w:pPr>
    <w:rPr>
      <w:rFonts w:cs="Arial"/>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77DA"/>
    <w:rPr>
      <w:sz w:val="20"/>
      <w:szCs w:val="20"/>
    </w:rPr>
  </w:style>
  <w:style w:type="character" w:styleId="FootnoteReference">
    <w:name w:val="footnote reference"/>
    <w:semiHidden/>
    <w:rsid w:val="000377DA"/>
    <w:rPr>
      <w:vertAlign w:val="superscript"/>
    </w:rPr>
  </w:style>
  <w:style w:type="paragraph" w:styleId="BodyText">
    <w:name w:val="Body Text"/>
    <w:basedOn w:val="Normal"/>
    <w:link w:val="BodyTextChar"/>
    <w:rsid w:val="00405CC8"/>
    <w:rPr>
      <w:bCs w:val="0"/>
      <w:szCs w:val="20"/>
      <w:lang w:val="en-GB"/>
    </w:rPr>
  </w:style>
  <w:style w:type="character" w:customStyle="1" w:styleId="BodyTextChar">
    <w:name w:val="Body Text Char"/>
    <w:link w:val="BodyText"/>
    <w:rsid w:val="00405CC8"/>
    <w:rPr>
      <w:rFonts w:eastAsia="Times New Roman"/>
      <w:sz w:val="24"/>
      <w:lang w:val="en-GB"/>
    </w:rPr>
  </w:style>
  <w:style w:type="character" w:styleId="Hyperlink">
    <w:name w:val="Hyperlink"/>
    <w:rsid w:val="0031606E"/>
    <w:rPr>
      <w:color w:val="0000FF"/>
      <w:u w:val="single"/>
    </w:rPr>
  </w:style>
  <w:style w:type="character" w:styleId="FollowedHyperlink">
    <w:name w:val="FollowedHyperlink"/>
    <w:basedOn w:val="DefaultParagraphFont"/>
    <w:rsid w:val="00927E40"/>
    <w:rPr>
      <w:color w:val="800080" w:themeColor="followedHyperlink"/>
      <w:u w:val="single"/>
    </w:rPr>
  </w:style>
  <w:style w:type="paragraph" w:styleId="Caption">
    <w:name w:val="caption"/>
    <w:basedOn w:val="Normal"/>
    <w:next w:val="Normal"/>
    <w:uiPriority w:val="35"/>
    <w:unhideWhenUsed/>
    <w:qFormat/>
    <w:rsid w:val="002E36FB"/>
    <w:rPr>
      <w:b/>
      <w:sz w:val="20"/>
      <w:szCs w:val="20"/>
    </w:rPr>
  </w:style>
  <w:style w:type="paragraph" w:styleId="BalloonText">
    <w:name w:val="Balloon Text"/>
    <w:basedOn w:val="Normal"/>
    <w:link w:val="BalloonTextChar"/>
    <w:rsid w:val="00262109"/>
    <w:rPr>
      <w:rFonts w:ascii="Tahoma" w:hAnsi="Tahoma" w:cs="Tahoma"/>
      <w:sz w:val="16"/>
      <w:szCs w:val="16"/>
    </w:rPr>
  </w:style>
  <w:style w:type="character" w:customStyle="1" w:styleId="BalloonTextChar">
    <w:name w:val="Balloon Text Char"/>
    <w:basedOn w:val="DefaultParagraphFont"/>
    <w:link w:val="BalloonText"/>
    <w:rsid w:val="00262109"/>
    <w:rPr>
      <w:rFonts w:ascii="Tahoma" w:eastAsia="Times New Roman" w:hAnsi="Tahoma" w:cs="Tahoma"/>
      <w:bCs/>
      <w:sz w:val="16"/>
      <w:szCs w:val="16"/>
    </w:rPr>
  </w:style>
  <w:style w:type="character" w:styleId="PlaceholderText">
    <w:name w:val="Placeholder Text"/>
    <w:basedOn w:val="DefaultParagraphFont"/>
    <w:uiPriority w:val="99"/>
    <w:semiHidden/>
    <w:rsid w:val="0094760D"/>
    <w:rPr>
      <w:color w:val="808080"/>
    </w:rPr>
  </w:style>
  <w:style w:type="paragraph" w:styleId="ListParagraph">
    <w:name w:val="List Paragraph"/>
    <w:basedOn w:val="Normal"/>
    <w:uiPriority w:val="34"/>
    <w:qFormat/>
    <w:rsid w:val="00EE5BF7"/>
    <w:pPr>
      <w:ind w:left="720"/>
      <w:contextualSpacing/>
    </w:pPr>
  </w:style>
  <w:style w:type="paragraph" w:styleId="Header">
    <w:name w:val="header"/>
    <w:basedOn w:val="Normal"/>
    <w:link w:val="HeaderChar"/>
    <w:rsid w:val="00B73131"/>
    <w:pPr>
      <w:tabs>
        <w:tab w:val="center" w:pos="4703"/>
        <w:tab w:val="right" w:pos="9406"/>
      </w:tabs>
    </w:pPr>
  </w:style>
  <w:style w:type="character" w:customStyle="1" w:styleId="HeaderChar">
    <w:name w:val="Header Char"/>
    <w:basedOn w:val="DefaultParagraphFont"/>
    <w:link w:val="Header"/>
    <w:rsid w:val="00B73131"/>
    <w:rPr>
      <w:rFonts w:eastAsia="Times New Roman"/>
      <w:bCs/>
      <w:sz w:val="24"/>
      <w:szCs w:val="24"/>
    </w:rPr>
  </w:style>
  <w:style w:type="paragraph" w:styleId="Footer">
    <w:name w:val="footer"/>
    <w:basedOn w:val="Normal"/>
    <w:link w:val="FooterChar"/>
    <w:uiPriority w:val="99"/>
    <w:rsid w:val="00B73131"/>
    <w:pPr>
      <w:tabs>
        <w:tab w:val="center" w:pos="4703"/>
        <w:tab w:val="right" w:pos="9406"/>
      </w:tabs>
    </w:pPr>
  </w:style>
  <w:style w:type="character" w:customStyle="1" w:styleId="FooterChar">
    <w:name w:val="Footer Char"/>
    <w:basedOn w:val="DefaultParagraphFont"/>
    <w:link w:val="Footer"/>
    <w:uiPriority w:val="99"/>
    <w:rsid w:val="00B73131"/>
    <w:rPr>
      <w:rFonts w:eastAsia="Times New Roman"/>
      <w:bCs/>
      <w:sz w:val="24"/>
      <w:szCs w:val="24"/>
    </w:rPr>
  </w:style>
  <w:style w:type="character" w:styleId="CommentReference">
    <w:name w:val="annotation reference"/>
    <w:basedOn w:val="DefaultParagraphFont"/>
    <w:rsid w:val="00626460"/>
    <w:rPr>
      <w:sz w:val="16"/>
      <w:szCs w:val="16"/>
    </w:rPr>
  </w:style>
  <w:style w:type="paragraph" w:styleId="CommentText">
    <w:name w:val="annotation text"/>
    <w:basedOn w:val="Normal"/>
    <w:link w:val="CommentTextChar"/>
    <w:rsid w:val="00626460"/>
    <w:rPr>
      <w:sz w:val="20"/>
      <w:szCs w:val="20"/>
    </w:rPr>
  </w:style>
  <w:style w:type="character" w:customStyle="1" w:styleId="CommentTextChar">
    <w:name w:val="Comment Text Char"/>
    <w:basedOn w:val="DefaultParagraphFont"/>
    <w:link w:val="CommentText"/>
    <w:rsid w:val="00626460"/>
    <w:rPr>
      <w:rFonts w:eastAsia="Times New Roman"/>
      <w:bCs/>
    </w:rPr>
  </w:style>
  <w:style w:type="paragraph" w:styleId="CommentSubject">
    <w:name w:val="annotation subject"/>
    <w:basedOn w:val="CommentText"/>
    <w:next w:val="CommentText"/>
    <w:link w:val="CommentSubjectChar"/>
    <w:rsid w:val="00626460"/>
    <w:rPr>
      <w:b/>
    </w:rPr>
  </w:style>
  <w:style w:type="character" w:customStyle="1" w:styleId="CommentSubjectChar">
    <w:name w:val="Comment Subject Char"/>
    <w:basedOn w:val="CommentTextChar"/>
    <w:link w:val="CommentSubject"/>
    <w:rsid w:val="00626460"/>
    <w:rPr>
      <w:rFonts w:eastAsia="Times New Roman"/>
      <w:b/>
      <w:bCs/>
    </w:rPr>
  </w:style>
  <w:style w:type="paragraph" w:customStyle="1" w:styleId="Default">
    <w:name w:val="Default"/>
    <w:rsid w:val="001448F6"/>
    <w:pPr>
      <w:autoSpaceDE w:val="0"/>
      <w:autoSpaceDN w:val="0"/>
      <w:adjustRightInd w:val="0"/>
    </w:pPr>
    <w:rPr>
      <w:rFonts w:ascii="Arial" w:hAnsi="Arial" w:cs="Arial"/>
      <w:color w:val="000000"/>
      <w:sz w:val="24"/>
      <w:szCs w:val="24"/>
      <w:lang w:val="en-US"/>
    </w:rPr>
  </w:style>
  <w:style w:type="paragraph" w:customStyle="1" w:styleId="8ICRText">
    <w:name w:val="8_ICR_Text"/>
    <w:uiPriority w:val="99"/>
    <w:rsid w:val="00195F56"/>
    <w:pPr>
      <w:jc w:val="both"/>
    </w:pPr>
    <w:rPr>
      <w:sz w:val="22"/>
      <w:szCs w:val="24"/>
      <w:lang w:val="en-GB"/>
    </w:rPr>
  </w:style>
  <w:style w:type="paragraph" w:customStyle="1" w:styleId="7ICRSectionHeadings">
    <w:name w:val="7_ICR_Section_Headings"/>
    <w:basedOn w:val="Normal"/>
    <w:uiPriority w:val="99"/>
    <w:rsid w:val="00A02FE5"/>
    <w:pPr>
      <w:spacing w:before="240" w:after="240"/>
      <w:jc w:val="center"/>
    </w:pPr>
    <w:rPr>
      <w:rFonts w:eastAsia="MS Mincho"/>
      <w:b/>
      <w:bCs w:val="0"/>
      <w:lang w:val="en-GB"/>
    </w:rPr>
  </w:style>
  <w:style w:type="paragraph" w:customStyle="1" w:styleId="7ICRSubSectionHeadings">
    <w:name w:val="7_ICR_Sub_Section_Headings"/>
    <w:basedOn w:val="8ICRText"/>
    <w:next w:val="8ICRText"/>
    <w:uiPriority w:val="99"/>
    <w:rsid w:val="00A02FE5"/>
    <w:pPr>
      <w:spacing w:before="240"/>
      <w:jc w:val="left"/>
    </w:pPr>
    <w:rPr>
      <w:b/>
    </w:rPr>
  </w:style>
  <w:style w:type="paragraph" w:customStyle="1" w:styleId="7ICRSubSubSectionHeadings">
    <w:name w:val="7_ICR_Sub_Sub_Section_Headings"/>
    <w:basedOn w:val="7ICRSubSectionHeadings"/>
    <w:next w:val="8ICRText"/>
    <w:autoRedefine/>
    <w:uiPriority w:val="99"/>
    <w:rsid w:val="00A02FE5"/>
    <w:pPr>
      <w:numPr>
        <w:ilvl w:val="2"/>
      </w:numPr>
    </w:pPr>
    <w:rPr>
      <w:b w:val="0"/>
    </w:rPr>
  </w:style>
  <w:style w:type="numbering" w:customStyle="1" w:styleId="Style1">
    <w:name w:val="Style1"/>
    <w:uiPriority w:val="99"/>
    <w:rsid w:val="00CE72B7"/>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iPriority="35"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7DA"/>
    <w:rPr>
      <w:rFonts w:eastAsia="Times New Roman"/>
      <w:bCs/>
      <w:sz w:val="24"/>
      <w:szCs w:val="24"/>
    </w:rPr>
  </w:style>
  <w:style w:type="paragraph" w:styleId="Heading1">
    <w:name w:val="heading 1"/>
    <w:basedOn w:val="Normal"/>
    <w:next w:val="Normal"/>
    <w:autoRedefine/>
    <w:qFormat/>
    <w:rsid w:val="005A556E"/>
    <w:pPr>
      <w:keepNext/>
      <w:numPr>
        <w:numId w:val="2"/>
      </w:numPr>
      <w:spacing w:before="240" w:after="60"/>
      <w:outlineLvl w:val="0"/>
    </w:pPr>
    <w:rPr>
      <w:rFonts w:cs="Arial"/>
      <w:b/>
      <w:bCs w:val="0"/>
      <w:caps/>
      <w:kern w:val="32"/>
      <w:sz w:val="28"/>
      <w:szCs w:val="32"/>
    </w:rPr>
  </w:style>
  <w:style w:type="paragraph" w:styleId="Heading3">
    <w:name w:val="heading 3"/>
    <w:basedOn w:val="Normal"/>
    <w:next w:val="Normal"/>
    <w:autoRedefine/>
    <w:qFormat/>
    <w:rsid w:val="00454BC6"/>
    <w:pPr>
      <w:keepNext/>
      <w:numPr>
        <w:ilvl w:val="2"/>
        <w:numId w:val="2"/>
      </w:numPr>
      <w:spacing w:before="240" w:after="60"/>
      <w:outlineLvl w:val="2"/>
    </w:pPr>
    <w:rPr>
      <w:rFonts w:cs="Arial"/>
      <w:b/>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0377DA"/>
    <w:rPr>
      <w:sz w:val="20"/>
      <w:szCs w:val="20"/>
    </w:rPr>
  </w:style>
  <w:style w:type="character" w:styleId="FootnoteReference">
    <w:name w:val="footnote reference"/>
    <w:semiHidden/>
    <w:rsid w:val="000377DA"/>
    <w:rPr>
      <w:vertAlign w:val="superscript"/>
    </w:rPr>
  </w:style>
  <w:style w:type="paragraph" w:styleId="BodyText">
    <w:name w:val="Body Text"/>
    <w:basedOn w:val="Normal"/>
    <w:link w:val="BodyTextChar"/>
    <w:rsid w:val="00405CC8"/>
    <w:rPr>
      <w:bCs w:val="0"/>
      <w:szCs w:val="20"/>
      <w:lang w:val="en-GB"/>
    </w:rPr>
  </w:style>
  <w:style w:type="character" w:customStyle="1" w:styleId="BodyTextChar">
    <w:name w:val="Body Text Char"/>
    <w:link w:val="BodyText"/>
    <w:rsid w:val="00405CC8"/>
    <w:rPr>
      <w:rFonts w:eastAsia="Times New Roman"/>
      <w:sz w:val="24"/>
      <w:lang w:val="en-GB"/>
    </w:rPr>
  </w:style>
  <w:style w:type="character" w:styleId="Hyperlink">
    <w:name w:val="Hyperlink"/>
    <w:rsid w:val="0031606E"/>
    <w:rPr>
      <w:color w:val="0000FF"/>
      <w:u w:val="single"/>
    </w:rPr>
  </w:style>
  <w:style w:type="character" w:styleId="FollowedHyperlink">
    <w:name w:val="FollowedHyperlink"/>
    <w:basedOn w:val="DefaultParagraphFont"/>
    <w:rsid w:val="00927E40"/>
    <w:rPr>
      <w:color w:val="800080" w:themeColor="followedHyperlink"/>
      <w:u w:val="single"/>
    </w:rPr>
  </w:style>
  <w:style w:type="paragraph" w:styleId="Caption">
    <w:name w:val="caption"/>
    <w:basedOn w:val="Normal"/>
    <w:next w:val="Normal"/>
    <w:uiPriority w:val="35"/>
    <w:unhideWhenUsed/>
    <w:qFormat/>
    <w:rsid w:val="002E36FB"/>
    <w:rPr>
      <w:b/>
      <w:sz w:val="20"/>
      <w:szCs w:val="20"/>
    </w:rPr>
  </w:style>
  <w:style w:type="paragraph" w:styleId="BalloonText">
    <w:name w:val="Balloon Text"/>
    <w:basedOn w:val="Normal"/>
    <w:link w:val="BalloonTextChar"/>
    <w:rsid w:val="00262109"/>
    <w:rPr>
      <w:rFonts w:ascii="Tahoma" w:hAnsi="Tahoma" w:cs="Tahoma"/>
      <w:sz w:val="16"/>
      <w:szCs w:val="16"/>
    </w:rPr>
  </w:style>
  <w:style w:type="character" w:customStyle="1" w:styleId="BalloonTextChar">
    <w:name w:val="Balloon Text Char"/>
    <w:basedOn w:val="DefaultParagraphFont"/>
    <w:link w:val="BalloonText"/>
    <w:rsid w:val="00262109"/>
    <w:rPr>
      <w:rFonts w:ascii="Tahoma" w:eastAsia="Times New Roman" w:hAnsi="Tahoma" w:cs="Tahoma"/>
      <w:bCs/>
      <w:sz w:val="16"/>
      <w:szCs w:val="16"/>
    </w:rPr>
  </w:style>
  <w:style w:type="character" w:styleId="PlaceholderText">
    <w:name w:val="Placeholder Text"/>
    <w:basedOn w:val="DefaultParagraphFont"/>
    <w:uiPriority w:val="99"/>
    <w:semiHidden/>
    <w:rsid w:val="0094760D"/>
    <w:rPr>
      <w:color w:val="808080"/>
    </w:rPr>
  </w:style>
  <w:style w:type="paragraph" w:styleId="ListParagraph">
    <w:name w:val="List Paragraph"/>
    <w:basedOn w:val="Normal"/>
    <w:uiPriority w:val="34"/>
    <w:qFormat/>
    <w:rsid w:val="00EE5BF7"/>
    <w:pPr>
      <w:ind w:left="720"/>
      <w:contextualSpacing/>
    </w:pPr>
  </w:style>
  <w:style w:type="paragraph" w:styleId="Header">
    <w:name w:val="header"/>
    <w:basedOn w:val="Normal"/>
    <w:link w:val="HeaderChar"/>
    <w:rsid w:val="00B73131"/>
    <w:pPr>
      <w:tabs>
        <w:tab w:val="center" w:pos="4703"/>
        <w:tab w:val="right" w:pos="9406"/>
      </w:tabs>
    </w:pPr>
  </w:style>
  <w:style w:type="character" w:customStyle="1" w:styleId="HeaderChar">
    <w:name w:val="Header Char"/>
    <w:basedOn w:val="DefaultParagraphFont"/>
    <w:link w:val="Header"/>
    <w:rsid w:val="00B73131"/>
    <w:rPr>
      <w:rFonts w:eastAsia="Times New Roman"/>
      <w:bCs/>
      <w:sz w:val="24"/>
      <w:szCs w:val="24"/>
    </w:rPr>
  </w:style>
  <w:style w:type="paragraph" w:styleId="Footer">
    <w:name w:val="footer"/>
    <w:basedOn w:val="Normal"/>
    <w:link w:val="FooterChar"/>
    <w:uiPriority w:val="99"/>
    <w:rsid w:val="00B73131"/>
    <w:pPr>
      <w:tabs>
        <w:tab w:val="center" w:pos="4703"/>
        <w:tab w:val="right" w:pos="9406"/>
      </w:tabs>
    </w:pPr>
  </w:style>
  <w:style w:type="character" w:customStyle="1" w:styleId="FooterChar">
    <w:name w:val="Footer Char"/>
    <w:basedOn w:val="DefaultParagraphFont"/>
    <w:link w:val="Footer"/>
    <w:uiPriority w:val="99"/>
    <w:rsid w:val="00B73131"/>
    <w:rPr>
      <w:rFonts w:eastAsia="Times New Roman"/>
      <w:bCs/>
      <w:sz w:val="24"/>
      <w:szCs w:val="24"/>
    </w:rPr>
  </w:style>
  <w:style w:type="character" w:styleId="CommentReference">
    <w:name w:val="annotation reference"/>
    <w:basedOn w:val="DefaultParagraphFont"/>
    <w:rsid w:val="00626460"/>
    <w:rPr>
      <w:sz w:val="16"/>
      <w:szCs w:val="16"/>
    </w:rPr>
  </w:style>
  <w:style w:type="paragraph" w:styleId="CommentText">
    <w:name w:val="annotation text"/>
    <w:basedOn w:val="Normal"/>
    <w:link w:val="CommentTextChar"/>
    <w:rsid w:val="00626460"/>
    <w:rPr>
      <w:sz w:val="20"/>
      <w:szCs w:val="20"/>
    </w:rPr>
  </w:style>
  <w:style w:type="character" w:customStyle="1" w:styleId="CommentTextChar">
    <w:name w:val="Comment Text Char"/>
    <w:basedOn w:val="DefaultParagraphFont"/>
    <w:link w:val="CommentText"/>
    <w:rsid w:val="00626460"/>
    <w:rPr>
      <w:rFonts w:eastAsia="Times New Roman"/>
      <w:bCs/>
    </w:rPr>
  </w:style>
  <w:style w:type="paragraph" w:styleId="CommentSubject">
    <w:name w:val="annotation subject"/>
    <w:basedOn w:val="CommentText"/>
    <w:next w:val="CommentText"/>
    <w:link w:val="CommentSubjectChar"/>
    <w:rsid w:val="00626460"/>
    <w:rPr>
      <w:b/>
    </w:rPr>
  </w:style>
  <w:style w:type="character" w:customStyle="1" w:styleId="CommentSubjectChar">
    <w:name w:val="Comment Subject Char"/>
    <w:basedOn w:val="CommentTextChar"/>
    <w:link w:val="CommentSubject"/>
    <w:rsid w:val="00626460"/>
    <w:rPr>
      <w:rFonts w:eastAsia="Times New Roman"/>
      <w:b/>
      <w:bCs/>
    </w:rPr>
  </w:style>
  <w:style w:type="paragraph" w:customStyle="1" w:styleId="Default">
    <w:name w:val="Default"/>
    <w:rsid w:val="001448F6"/>
    <w:pPr>
      <w:autoSpaceDE w:val="0"/>
      <w:autoSpaceDN w:val="0"/>
      <w:adjustRightInd w:val="0"/>
    </w:pPr>
    <w:rPr>
      <w:rFonts w:ascii="Arial" w:hAnsi="Arial" w:cs="Arial"/>
      <w:color w:val="000000"/>
      <w:sz w:val="24"/>
      <w:szCs w:val="24"/>
      <w:lang w:val="en-US"/>
    </w:rPr>
  </w:style>
  <w:style w:type="paragraph" w:customStyle="1" w:styleId="8ICRText">
    <w:name w:val="8_ICR_Text"/>
    <w:uiPriority w:val="99"/>
    <w:rsid w:val="00195F56"/>
    <w:pPr>
      <w:jc w:val="both"/>
    </w:pPr>
    <w:rPr>
      <w:sz w:val="22"/>
      <w:szCs w:val="24"/>
      <w:lang w:val="en-GB"/>
    </w:rPr>
  </w:style>
  <w:style w:type="paragraph" w:customStyle="1" w:styleId="7ICRSectionHeadings">
    <w:name w:val="7_ICR_Section_Headings"/>
    <w:basedOn w:val="Normal"/>
    <w:uiPriority w:val="99"/>
    <w:rsid w:val="00A02FE5"/>
    <w:pPr>
      <w:spacing w:before="240" w:after="240"/>
      <w:jc w:val="center"/>
    </w:pPr>
    <w:rPr>
      <w:rFonts w:eastAsia="MS Mincho"/>
      <w:b/>
      <w:bCs w:val="0"/>
      <w:lang w:val="en-GB"/>
    </w:rPr>
  </w:style>
  <w:style w:type="paragraph" w:customStyle="1" w:styleId="7ICRSubSectionHeadings">
    <w:name w:val="7_ICR_Sub_Section_Headings"/>
    <w:basedOn w:val="8ICRText"/>
    <w:next w:val="8ICRText"/>
    <w:uiPriority w:val="99"/>
    <w:rsid w:val="00A02FE5"/>
    <w:pPr>
      <w:spacing w:before="240"/>
      <w:jc w:val="left"/>
    </w:pPr>
    <w:rPr>
      <w:b/>
    </w:rPr>
  </w:style>
  <w:style w:type="paragraph" w:customStyle="1" w:styleId="7ICRSubSubSectionHeadings">
    <w:name w:val="7_ICR_Sub_Sub_Section_Headings"/>
    <w:basedOn w:val="7ICRSubSectionHeadings"/>
    <w:next w:val="8ICRText"/>
    <w:autoRedefine/>
    <w:uiPriority w:val="99"/>
    <w:rsid w:val="00A02FE5"/>
    <w:pPr>
      <w:numPr>
        <w:ilvl w:val="2"/>
      </w:numPr>
    </w:pPr>
    <w:rPr>
      <w:b w:val="0"/>
    </w:rPr>
  </w:style>
  <w:style w:type="numbering" w:customStyle="1" w:styleId="Style1">
    <w:name w:val="Style1"/>
    <w:uiPriority w:val="99"/>
    <w:rsid w:val="00CE72B7"/>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imsby.ac.uk/documents/defra/trns-refrigeenergy.pdf" TargetMode="Externa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pre-sustainability.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ur-lex.europa.eu/legal-content/EN/TXT/?uri=CELEX:32010R1060"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2E9B7-F323-4A23-B618-7D5C7CB11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12765</Words>
  <Characters>72764</Characters>
  <Application>Microsoft Office Word</Application>
  <DocSecurity>0</DocSecurity>
  <Lines>606</Lines>
  <Paragraphs>170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Cemagref</Company>
  <LinksUpToDate>false</LinksUpToDate>
  <CharactersWithSpaces>85359</CharactersWithSpaces>
  <SharedDoc>false</SharedDoc>
  <HLinks>
    <vt:vector size="138" baseType="variant">
      <vt:variant>
        <vt:i4>4390923</vt:i4>
      </vt:variant>
      <vt:variant>
        <vt:i4>160</vt:i4>
      </vt:variant>
      <vt:variant>
        <vt:i4>0</vt:i4>
      </vt:variant>
      <vt:variant>
        <vt:i4>5</vt:i4>
      </vt:variant>
      <vt:variant>
        <vt:lpwstr/>
      </vt:variant>
      <vt:variant>
        <vt:lpwstr>_ENREF_21</vt:lpwstr>
      </vt:variant>
      <vt:variant>
        <vt:i4>4390923</vt:i4>
      </vt:variant>
      <vt:variant>
        <vt:i4>141</vt:i4>
      </vt:variant>
      <vt:variant>
        <vt:i4>0</vt:i4>
      </vt:variant>
      <vt:variant>
        <vt:i4>5</vt:i4>
      </vt:variant>
      <vt:variant>
        <vt:lpwstr/>
      </vt:variant>
      <vt:variant>
        <vt:lpwstr>_ENREF_20</vt:lpwstr>
      </vt:variant>
      <vt:variant>
        <vt:i4>4587531</vt:i4>
      </vt:variant>
      <vt:variant>
        <vt:i4>135</vt:i4>
      </vt:variant>
      <vt:variant>
        <vt:i4>0</vt:i4>
      </vt:variant>
      <vt:variant>
        <vt:i4>5</vt:i4>
      </vt:variant>
      <vt:variant>
        <vt:lpwstr/>
      </vt:variant>
      <vt:variant>
        <vt:lpwstr>_ENREF_7</vt:lpwstr>
      </vt:variant>
      <vt:variant>
        <vt:i4>4194315</vt:i4>
      </vt:variant>
      <vt:variant>
        <vt:i4>117</vt:i4>
      </vt:variant>
      <vt:variant>
        <vt:i4>0</vt:i4>
      </vt:variant>
      <vt:variant>
        <vt:i4>5</vt:i4>
      </vt:variant>
      <vt:variant>
        <vt:lpwstr/>
      </vt:variant>
      <vt:variant>
        <vt:lpwstr>_ENREF_12</vt:lpwstr>
      </vt:variant>
      <vt:variant>
        <vt:i4>4194315</vt:i4>
      </vt:variant>
      <vt:variant>
        <vt:i4>111</vt:i4>
      </vt:variant>
      <vt:variant>
        <vt:i4>0</vt:i4>
      </vt:variant>
      <vt:variant>
        <vt:i4>5</vt:i4>
      </vt:variant>
      <vt:variant>
        <vt:lpwstr/>
      </vt:variant>
      <vt:variant>
        <vt:lpwstr>_ENREF_14</vt:lpwstr>
      </vt:variant>
      <vt:variant>
        <vt:i4>4653067</vt:i4>
      </vt:variant>
      <vt:variant>
        <vt:i4>102</vt:i4>
      </vt:variant>
      <vt:variant>
        <vt:i4>0</vt:i4>
      </vt:variant>
      <vt:variant>
        <vt:i4>5</vt:i4>
      </vt:variant>
      <vt:variant>
        <vt:lpwstr/>
      </vt:variant>
      <vt:variant>
        <vt:lpwstr>_ENREF_6</vt:lpwstr>
      </vt:variant>
      <vt:variant>
        <vt:i4>4390923</vt:i4>
      </vt:variant>
      <vt:variant>
        <vt:i4>96</vt:i4>
      </vt:variant>
      <vt:variant>
        <vt:i4>0</vt:i4>
      </vt:variant>
      <vt:variant>
        <vt:i4>5</vt:i4>
      </vt:variant>
      <vt:variant>
        <vt:lpwstr/>
      </vt:variant>
      <vt:variant>
        <vt:lpwstr>_ENREF_2</vt:lpwstr>
      </vt:variant>
      <vt:variant>
        <vt:i4>4194315</vt:i4>
      </vt:variant>
      <vt:variant>
        <vt:i4>90</vt:i4>
      </vt:variant>
      <vt:variant>
        <vt:i4>0</vt:i4>
      </vt:variant>
      <vt:variant>
        <vt:i4>5</vt:i4>
      </vt:variant>
      <vt:variant>
        <vt:lpwstr/>
      </vt:variant>
      <vt:variant>
        <vt:lpwstr>_ENREF_16</vt:lpwstr>
      </vt:variant>
      <vt:variant>
        <vt:i4>4390923</vt:i4>
      </vt:variant>
      <vt:variant>
        <vt:i4>84</vt:i4>
      </vt:variant>
      <vt:variant>
        <vt:i4>0</vt:i4>
      </vt:variant>
      <vt:variant>
        <vt:i4>5</vt:i4>
      </vt:variant>
      <vt:variant>
        <vt:lpwstr/>
      </vt:variant>
      <vt:variant>
        <vt:lpwstr>_ENREF_2</vt:lpwstr>
      </vt:variant>
      <vt:variant>
        <vt:i4>4718603</vt:i4>
      </vt:variant>
      <vt:variant>
        <vt:i4>78</vt:i4>
      </vt:variant>
      <vt:variant>
        <vt:i4>0</vt:i4>
      </vt:variant>
      <vt:variant>
        <vt:i4>5</vt:i4>
      </vt:variant>
      <vt:variant>
        <vt:lpwstr/>
      </vt:variant>
      <vt:variant>
        <vt:lpwstr>_ENREF_9</vt:lpwstr>
      </vt:variant>
      <vt:variant>
        <vt:i4>4194315</vt:i4>
      </vt:variant>
      <vt:variant>
        <vt:i4>72</vt:i4>
      </vt:variant>
      <vt:variant>
        <vt:i4>0</vt:i4>
      </vt:variant>
      <vt:variant>
        <vt:i4>5</vt:i4>
      </vt:variant>
      <vt:variant>
        <vt:lpwstr/>
      </vt:variant>
      <vt:variant>
        <vt:lpwstr>_ENREF_19</vt:lpwstr>
      </vt:variant>
      <vt:variant>
        <vt:i4>4784139</vt:i4>
      </vt:variant>
      <vt:variant>
        <vt:i4>66</vt:i4>
      </vt:variant>
      <vt:variant>
        <vt:i4>0</vt:i4>
      </vt:variant>
      <vt:variant>
        <vt:i4>5</vt:i4>
      </vt:variant>
      <vt:variant>
        <vt:lpwstr/>
      </vt:variant>
      <vt:variant>
        <vt:lpwstr>_ENREF_8</vt:lpwstr>
      </vt:variant>
      <vt:variant>
        <vt:i4>4194315</vt:i4>
      </vt:variant>
      <vt:variant>
        <vt:i4>60</vt:i4>
      </vt:variant>
      <vt:variant>
        <vt:i4>0</vt:i4>
      </vt:variant>
      <vt:variant>
        <vt:i4>5</vt:i4>
      </vt:variant>
      <vt:variant>
        <vt:lpwstr/>
      </vt:variant>
      <vt:variant>
        <vt:lpwstr>_ENREF_18</vt:lpwstr>
      </vt:variant>
      <vt:variant>
        <vt:i4>4653067</vt:i4>
      </vt:variant>
      <vt:variant>
        <vt:i4>54</vt:i4>
      </vt:variant>
      <vt:variant>
        <vt:i4>0</vt:i4>
      </vt:variant>
      <vt:variant>
        <vt:i4>5</vt:i4>
      </vt:variant>
      <vt:variant>
        <vt:lpwstr/>
      </vt:variant>
      <vt:variant>
        <vt:lpwstr>_ENREF_6</vt:lpwstr>
      </vt:variant>
      <vt:variant>
        <vt:i4>4325387</vt:i4>
      </vt:variant>
      <vt:variant>
        <vt:i4>48</vt:i4>
      </vt:variant>
      <vt:variant>
        <vt:i4>0</vt:i4>
      </vt:variant>
      <vt:variant>
        <vt:i4>5</vt:i4>
      </vt:variant>
      <vt:variant>
        <vt:lpwstr/>
      </vt:variant>
      <vt:variant>
        <vt:lpwstr>_ENREF_3</vt:lpwstr>
      </vt:variant>
      <vt:variant>
        <vt:i4>4194315</vt:i4>
      </vt:variant>
      <vt:variant>
        <vt:i4>42</vt:i4>
      </vt:variant>
      <vt:variant>
        <vt:i4>0</vt:i4>
      </vt:variant>
      <vt:variant>
        <vt:i4>5</vt:i4>
      </vt:variant>
      <vt:variant>
        <vt:lpwstr/>
      </vt:variant>
      <vt:variant>
        <vt:lpwstr>_ENREF_1</vt:lpwstr>
      </vt:variant>
      <vt:variant>
        <vt:i4>4456459</vt:i4>
      </vt:variant>
      <vt:variant>
        <vt:i4>36</vt:i4>
      </vt:variant>
      <vt:variant>
        <vt:i4>0</vt:i4>
      </vt:variant>
      <vt:variant>
        <vt:i4>5</vt:i4>
      </vt:variant>
      <vt:variant>
        <vt:lpwstr/>
      </vt:variant>
      <vt:variant>
        <vt:lpwstr>_ENREF_5</vt:lpwstr>
      </vt:variant>
      <vt:variant>
        <vt:i4>4194315</vt:i4>
      </vt:variant>
      <vt:variant>
        <vt:i4>30</vt:i4>
      </vt:variant>
      <vt:variant>
        <vt:i4>0</vt:i4>
      </vt:variant>
      <vt:variant>
        <vt:i4>5</vt:i4>
      </vt:variant>
      <vt:variant>
        <vt:lpwstr/>
      </vt:variant>
      <vt:variant>
        <vt:lpwstr>_ENREF_15</vt:lpwstr>
      </vt:variant>
      <vt:variant>
        <vt:i4>4194315</vt:i4>
      </vt:variant>
      <vt:variant>
        <vt:i4>24</vt:i4>
      </vt:variant>
      <vt:variant>
        <vt:i4>0</vt:i4>
      </vt:variant>
      <vt:variant>
        <vt:i4>5</vt:i4>
      </vt:variant>
      <vt:variant>
        <vt:lpwstr/>
      </vt:variant>
      <vt:variant>
        <vt:lpwstr>_ENREF_10</vt:lpwstr>
      </vt:variant>
      <vt:variant>
        <vt:i4>4194315</vt:i4>
      </vt:variant>
      <vt:variant>
        <vt:i4>18</vt:i4>
      </vt:variant>
      <vt:variant>
        <vt:i4>0</vt:i4>
      </vt:variant>
      <vt:variant>
        <vt:i4>5</vt:i4>
      </vt:variant>
      <vt:variant>
        <vt:lpwstr/>
      </vt:variant>
      <vt:variant>
        <vt:lpwstr>_ENREF_17</vt:lpwstr>
      </vt:variant>
      <vt:variant>
        <vt:i4>4194315</vt:i4>
      </vt:variant>
      <vt:variant>
        <vt:i4>12</vt:i4>
      </vt:variant>
      <vt:variant>
        <vt:i4>0</vt:i4>
      </vt:variant>
      <vt:variant>
        <vt:i4>5</vt:i4>
      </vt:variant>
      <vt:variant>
        <vt:lpwstr/>
      </vt:variant>
      <vt:variant>
        <vt:lpwstr>_ENREF_13</vt:lpwstr>
      </vt:variant>
      <vt:variant>
        <vt:i4>4194315</vt:i4>
      </vt:variant>
      <vt:variant>
        <vt:i4>6</vt:i4>
      </vt:variant>
      <vt:variant>
        <vt:i4>0</vt:i4>
      </vt:variant>
      <vt:variant>
        <vt:i4>5</vt:i4>
      </vt:variant>
      <vt:variant>
        <vt:lpwstr/>
      </vt:variant>
      <vt:variant>
        <vt:lpwstr>_ENREF_11</vt:lpwstr>
      </vt:variant>
      <vt:variant>
        <vt:i4>4521995</vt:i4>
      </vt:variant>
      <vt:variant>
        <vt:i4>0</vt:i4>
      </vt:variant>
      <vt:variant>
        <vt:i4>0</vt:i4>
      </vt:variant>
      <vt:variant>
        <vt:i4>5</vt:i4>
      </vt:variant>
      <vt:variant>
        <vt:lpwstr/>
      </vt:variant>
      <vt:variant>
        <vt:lpwstr>_ENREF_4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hong-minh.hoang</dc:creator>
  <cp:lastModifiedBy>Tim</cp:lastModifiedBy>
  <cp:revision>2</cp:revision>
  <cp:lastPrinted>2015-05-07T15:10:00Z</cp:lastPrinted>
  <dcterms:created xsi:type="dcterms:W3CDTF">2017-05-18T09:10:00Z</dcterms:created>
  <dcterms:modified xsi:type="dcterms:W3CDTF">2017-05-18T09:10:00Z</dcterms:modified>
</cp:coreProperties>
</file>